
<file path=[Content_Types].xml><?xml version="1.0" encoding="utf-8"?>
<Types xmlns="http://schemas.openxmlformats.org/package/2006/content-types">
  <Default Extension="xml" ContentType="application/xml"/>
  <Default Extension="png" ContentType="image/png"/>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iagrams/colors1.xml" ContentType="application/vnd.openxmlformats-officedocument.drawingml.diagramColors+xml"/>
  <Override PartName="/word/diagrams/data1.xml" ContentType="application/vnd.openxmlformats-officedocument.drawingml.diagramData+xml"/>
  <Override PartName="/word/diagrams/drawing1.xml" ContentType="application/vnd.ms-office.drawingml.diagramDrawing+xml"/>
  <Override PartName="/word/diagrams/layout1.xml" ContentType="application/vnd.openxmlformats-officedocument.drawingml.diagramLayout+xml"/>
  <Override PartName="/word/diagrams/quickStyle1.xml" ContentType="application/vnd.openxmlformats-officedocument.drawingml.diagramStyle+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1B4DD08B">
      <w:pPr>
        <w:pStyle w:val="10"/>
        <w:rPr>
          <w:rFonts w:hint="eastAsia"/>
        </w:rPr>
      </w:pPr>
      <w:r>
        <w:rPr>
          <w:rFonts w:hint="eastAsia"/>
        </w:rPr>
        <w:t>资阳市雁江区城镇垃圾处置体系建设工程</w:t>
      </w:r>
    </w:p>
    <w:p w14:paraId="060CCF92">
      <w:pPr>
        <w:pStyle w:val="10"/>
        <w:rPr>
          <w:rFonts w:hint="eastAsia" w:eastAsia="黑体"/>
          <w:lang w:val="en-US" w:eastAsia="zh-CN"/>
        </w:rPr>
      </w:pPr>
      <w:r>
        <w:rPr>
          <w:rFonts w:hint="eastAsia"/>
          <w:b w:val="0"/>
          <w:bCs w:val="0"/>
          <w:lang w:val="en-US" w:eastAsia="zh-CN"/>
        </w:rPr>
        <w:t>项目情况说明</w:t>
      </w:r>
    </w:p>
    <w:p w14:paraId="4BE77A53">
      <w:pPr>
        <w:pStyle w:val="3"/>
      </w:pPr>
      <w:bookmarkStart w:id="0" w:name="_Toc127041675"/>
      <w:r>
        <w:rPr>
          <w:rFonts w:hint="eastAsia"/>
        </w:rPr>
        <w:t>第一章 项目基本情况</w:t>
      </w:r>
      <w:bookmarkEnd w:id="0"/>
    </w:p>
    <w:p w14:paraId="3E79AFD8">
      <w:pPr>
        <w:pStyle w:val="4"/>
      </w:pPr>
      <w:r>
        <w:rPr>
          <w:rFonts w:hint="eastAsia"/>
        </w:rPr>
        <w:t>1</w:t>
      </w:r>
      <w:r>
        <w:t xml:space="preserve">.1 </w:t>
      </w:r>
      <w:r>
        <w:rPr>
          <w:rFonts w:hint="eastAsia"/>
        </w:rPr>
        <w:t>相关规划情况</w:t>
      </w:r>
    </w:p>
    <w:p w14:paraId="6AE29F87">
      <w:pPr>
        <w:pStyle w:val="5"/>
      </w:pPr>
      <w:bookmarkStart w:id="1" w:name="_Toc97736392"/>
      <w:r>
        <w:rPr>
          <w:rFonts w:hint="eastAsia"/>
        </w:rPr>
        <w:t>1</w:t>
      </w:r>
      <w:r>
        <w:t xml:space="preserve">.1.1 </w:t>
      </w:r>
      <w:r>
        <w:rPr>
          <w:rFonts w:hint="eastAsia"/>
        </w:rPr>
        <w:t>国家层面的</w:t>
      </w:r>
      <w:bookmarkEnd w:id="1"/>
      <w:r>
        <w:rPr>
          <w:rFonts w:hint="eastAsia"/>
        </w:rPr>
        <w:t>行业发展规划</w:t>
      </w:r>
    </w:p>
    <w:p w14:paraId="5EE4F29F">
      <w:pPr>
        <w:ind w:firstLine="560"/>
        <w:rPr>
          <w:rFonts w:hint="eastAsia"/>
        </w:rPr>
      </w:pPr>
      <w:r>
        <w:rPr>
          <w:rFonts w:hint="eastAsia"/>
        </w:rPr>
        <w:t>开展“无废城市”建设，是深入贯彻落实习近平生态文明思想的具体行动，是推动减污降碳协同增效的重要举措，是实现美丽中国建设目标的内在要求。党中央、国务院高度重视“无废城市”建设工作。自2018年国务院办公厅印发《“无废城市”建设试点工作方案》(国办发〔2018〕128号)以来，深圳等11个城市和雄安新区等5个特殊地区积极开展改革试点，取得明显成效。2021年11月，《中共中央国务院关于深入打好污染防治攻坚战的意见》印发实施，明确提出要稳步推进“无废城市”建设。为指导地方做好“十四五”时期“无废城市”建设工作，在总结改革试点经验基础上，制定本方案。</w:t>
      </w:r>
    </w:p>
    <w:p w14:paraId="510C7AB6">
      <w:pPr>
        <w:ind w:firstLine="560"/>
        <w:rPr>
          <w:rFonts w:hint="eastAsia"/>
        </w:rPr>
      </w:pPr>
      <w:r>
        <w:rPr>
          <w:rFonts w:hint="eastAsia"/>
        </w:rPr>
        <w:t>工作目标。推动100个左右地级及以上城市开展“无废城市”建设，到2025年，“无废城市”固体废物产生强度较快下降，综合利用水平显著提升，无害化处置能力有效保障，减污降碳协同增效作用充分发挥，基本实现固体废物管理信息“一张网”,“无废”理念得到广泛认同，固体废物治理体系和治理能力得到明显提升。</w:t>
      </w:r>
    </w:p>
    <w:p w14:paraId="68D51045">
      <w:pPr>
        <w:ind w:firstLine="560"/>
      </w:pPr>
      <w:r>
        <w:rPr>
          <w:rFonts w:hint="eastAsia"/>
        </w:rPr>
        <w:t>主要任务：推动形成绿色低碳生活方式，促进生活源固体废物减量化、资源化。深入推进生活垃圾分类工作，建立完善分类投放、分类收集、分类运输、分类处理系统。构建城乡融合的农村生活垃圾治理体系，推动城乡环卫制度并轨。加快构建废旧物资循环利用体系，推进垃圾分类收运与再生资源回收“两网融合”,促进玻璃等低值可回收物回收利用。提升城市垃圾中转站建设水平，建设环保达标的垃圾中转站。</w:t>
      </w:r>
    </w:p>
    <w:p w14:paraId="5996CFD4">
      <w:pPr>
        <w:pStyle w:val="5"/>
      </w:pPr>
      <w:bookmarkStart w:id="2" w:name="_Toc97736393"/>
      <w:r>
        <w:rPr>
          <w:rFonts w:hint="eastAsia"/>
        </w:rPr>
        <w:t>1</w:t>
      </w:r>
      <w:r>
        <w:t xml:space="preserve">.1.2 </w:t>
      </w:r>
      <w:r>
        <w:rPr>
          <w:rFonts w:hint="eastAsia"/>
        </w:rPr>
        <w:t>四川省的</w:t>
      </w:r>
      <w:bookmarkEnd w:id="2"/>
      <w:r>
        <w:rPr>
          <w:rFonts w:hint="eastAsia"/>
        </w:rPr>
        <w:t>行业发展规划</w:t>
      </w:r>
    </w:p>
    <w:p w14:paraId="3CD74E00">
      <w:pPr>
        <w:ind w:firstLine="560"/>
        <w:rPr>
          <w:rFonts w:hint="eastAsia"/>
        </w:rPr>
      </w:pPr>
      <w:r>
        <w:rPr>
          <w:rFonts w:hint="eastAsia"/>
        </w:rPr>
        <w:t>为全面贯彻落实《国务院办公厅关于转发国家发展改革委住房城乡建设部生活垃圾分类制度实施方案的通知》(国办发〔2017〕26号)精神，遵循减量化、资源化、无害化原则，深入实施生活垃圾分类，有效改善我省城乡环境，提升人居品质和文明素质，促进资源回收利用，加快推进美丽四川建设，制定本方案。</w:t>
      </w:r>
    </w:p>
    <w:p w14:paraId="37DEEC21">
      <w:pPr>
        <w:ind w:firstLine="560"/>
        <w:rPr>
          <w:rFonts w:hint="eastAsia"/>
        </w:rPr>
      </w:pPr>
      <w:r>
        <w:rPr>
          <w:rFonts w:hint="eastAsia"/>
        </w:rPr>
        <w:t>主要任务：实行生活垃圾分类收运。加强运输车辆规范化管理，配置符合密闭运输要求并有标识的生活垃圾分类运输车辆，统筹安排分类运输路线、时段和作业组织，实现规范运输。改造城区内的垃圾房、转运站、压缩站等，适应和满足垃圾分类与再生资源回收功能要求。城市管理部门牵头推进易腐垃圾、其他垃圾分类收运体系建设。</w:t>
      </w:r>
    </w:p>
    <w:p w14:paraId="26C3C56B">
      <w:pPr>
        <w:ind w:firstLine="560"/>
      </w:pPr>
      <w:r>
        <w:rPr>
          <w:rFonts w:hint="eastAsia"/>
        </w:rPr>
        <w:t>主要任务：提高可回收物回收利用水平。优化城市再生资源回收体系，整合规范再生资源回收网点，规范城市收旧行为，鼓励实施企业化运作，促进垃圾分类与再生资源回收利用“两网融合”。建设城市大件垃圾等可回收物分拣中心，培育玻璃制品、塑料等低值可回收物利用市场，鼓励在收集、分拣、转运、处理等环节融合发展，构建从垃圾分类到回收利用的完整产业链，提高处理企业的规模化、集约化水平。建立再生资源回收利用信息化平台，提供回收种类、交易价格、回收方式等信息。大件垃圾(废旧家具为主)、园林垃圾、装修垃圾等应首先资源化回收利用，并鼓励建设相应的回收利用基地。</w:t>
      </w:r>
    </w:p>
    <w:p w14:paraId="7425B56D">
      <w:pPr>
        <w:pStyle w:val="5"/>
      </w:pPr>
      <w:bookmarkStart w:id="3" w:name="_Toc97736394"/>
      <w:r>
        <w:rPr>
          <w:rFonts w:hint="eastAsia"/>
        </w:rPr>
        <w:t>1</w:t>
      </w:r>
      <w:r>
        <w:t xml:space="preserve">.1.3 </w:t>
      </w:r>
      <w:r>
        <w:rPr>
          <w:rFonts w:hint="eastAsia"/>
        </w:rPr>
        <w:t>资阳市</w:t>
      </w:r>
      <w:bookmarkEnd w:id="3"/>
      <w:r>
        <w:rPr>
          <w:rFonts w:hint="eastAsia"/>
        </w:rPr>
        <w:t>行业发展规划</w:t>
      </w:r>
    </w:p>
    <w:p w14:paraId="48478E31">
      <w:pPr>
        <w:ind w:firstLine="562"/>
        <w:rPr>
          <w:rFonts w:hint="eastAsia"/>
        </w:rPr>
      </w:pPr>
      <w:r>
        <w:rPr>
          <w:rFonts w:hint="eastAsia"/>
        </w:rPr>
        <w:t>《资阳市国民经济和社会发展第十四个五年规划和二〇三五年远景目标纲要》</w:t>
      </w:r>
    </w:p>
    <w:p w14:paraId="12746964">
      <w:pPr>
        <w:ind w:firstLine="562"/>
        <w:rPr>
          <w:rFonts w:hint="eastAsia"/>
        </w:rPr>
      </w:pPr>
      <w:r>
        <w:rPr>
          <w:rFonts w:hint="eastAsia"/>
        </w:rPr>
        <w:t>《纲要》指出，深化城乡环境综合治理，实施环境质量、城乡绿 化、环境设施、城乡容貌、文明素质“五大提升工程 ”。推行垃圾分 类和减量化、资源化，倡导公众绿色生活，在全社会营造崇尚勤俭、 节约资源的社会风尚。加快生态文明基础设施和公共服务载体建设。 加快推进资阳市雁江区生活垃圾收转运体系、中节能（安岳）工业清 洁生产及资源循环利用中心、乐至县城市垃圾填埋场生态修复项目建 设，建成乐至县农村生活垃圾分类收转运设施、资阳市垃圾处理厂封 场及生态恢复项目，规划实施低碳循环产业园项目。</w:t>
      </w:r>
    </w:p>
    <w:p w14:paraId="0A011C94">
      <w:pPr>
        <w:ind w:firstLine="562"/>
        <w:rPr>
          <w:rFonts w:hint="eastAsia"/>
        </w:rPr>
      </w:pPr>
      <w:r>
        <w:rPr>
          <w:rFonts w:hint="eastAsia"/>
        </w:rPr>
        <w:t>《资阳市生活垃圾分类管理办法》（2023年9月28日资阳市人民政府令第7号公布2024年1月1日起施行）</w:t>
      </w:r>
    </w:p>
    <w:p w14:paraId="78E8594A">
      <w:pPr>
        <w:ind w:firstLine="562"/>
        <w:rPr>
          <w:rFonts w:hint="eastAsia"/>
        </w:rPr>
      </w:pPr>
      <w:r>
        <w:rPr>
          <w:rFonts w:hint="eastAsia"/>
        </w:rPr>
        <w:t>本办法所称生活垃圾，是指在日常生活中或者为日常生活提供服 务的活动中产生的固体废物，以及法律、行政法规规定视为生活垃圾 的固体废物。</w:t>
      </w:r>
    </w:p>
    <w:p w14:paraId="1DB150F9">
      <w:pPr>
        <w:ind w:firstLine="562"/>
        <w:rPr>
          <w:rFonts w:hint="eastAsia"/>
        </w:rPr>
      </w:pPr>
      <w:r>
        <w:rPr>
          <w:rFonts w:hint="eastAsia"/>
        </w:rPr>
        <w:t>市、县（区）人民政府应当加强对生活垃圾分类管理的领导，建 立和完善生活垃圾分类管理制度，将生活垃圾分类工作纳入国民经济 和社会发展规划，保障生活垃圾分类管理的资金、土地等要素。</w:t>
      </w:r>
    </w:p>
    <w:p w14:paraId="35CCBDEF">
      <w:pPr>
        <w:ind w:firstLine="562"/>
        <w:rPr>
          <w:rFonts w:hint="eastAsia"/>
        </w:rPr>
      </w:pPr>
      <w:r>
        <w:rPr>
          <w:rFonts w:hint="eastAsia"/>
        </w:rPr>
        <w:t>市人民政府城市管理行政执法部门是本市生活垃圾分类工作的 行政主管部门，负责生活垃圾分类工作的组织实施、检查指导和监督 管理。县（区）人民政府城市管理行政执法部门按照规定职责做好本 辖区内的生活垃圾分类管理工作。</w:t>
      </w:r>
    </w:p>
    <w:p w14:paraId="45D40748">
      <w:pPr>
        <w:ind w:firstLine="562"/>
        <w:rPr>
          <w:rFonts w:hint="eastAsia"/>
        </w:rPr>
      </w:pPr>
      <w:r>
        <w:rPr>
          <w:rFonts w:hint="eastAsia"/>
        </w:rPr>
        <w:t>市、县（区）人民政府应当按照谁产生谁付费的原则，逐步建立 完善生活垃圾处理收费制度。制定收费标准要与当地经济社会发展水 平和实际需要相适应，体现城乡差别化管理。产生生活垃圾的单位、 家庭和个人应当按照规定缴纳生活垃圾处理费。生活垃圾处理费应当 专项用于生活垃圾的收集、运输和处理等，不得挪作他用。</w:t>
      </w:r>
    </w:p>
    <w:p w14:paraId="04B4D272">
      <w:pPr>
        <w:ind w:firstLine="562"/>
        <w:rPr>
          <w:rFonts w:hint="eastAsia"/>
        </w:rPr>
      </w:pPr>
      <w:r>
        <w:rPr>
          <w:rFonts w:hint="eastAsia"/>
        </w:rPr>
        <w:t>分类投放的生活垃圾应当分类收集，禁止将已分类投放的生活垃 圾混合收集。有害垃圾和可回收物定期收集，厨余垃圾和其他垃圾每 日定时收集。按照技术标准分类处置生活垃圾，定期向社会公开排放 的主要污染物名称、排放方式、排放浓度和总量，以及生活垃圾处理 设施的运行情况等。</w:t>
      </w:r>
    </w:p>
    <w:p w14:paraId="19530F4C">
      <w:pPr>
        <w:ind w:firstLine="562"/>
        <w:rPr>
          <w:rFonts w:hint="eastAsia"/>
        </w:rPr>
      </w:pPr>
      <w:r>
        <w:rPr>
          <w:rFonts w:hint="eastAsia"/>
        </w:rPr>
        <w:t>资阳市雁江区人民政府办公室《雁江区生活垃圾分类工作实 施方案》资雁府办发〔2022〕30 号</w:t>
      </w:r>
    </w:p>
    <w:p w14:paraId="05E34273">
      <w:pPr>
        <w:ind w:firstLine="562"/>
        <w:rPr>
          <w:rFonts w:hint="eastAsia"/>
        </w:rPr>
      </w:pPr>
      <w:r>
        <w:rPr>
          <w:rFonts w:hint="eastAsia"/>
        </w:rPr>
        <w:t>到 2025 年底，城东新区基本建成生活垃圾分类处理系统，实现 城东新区生活垃圾分类宣传率达 100% ，市民知晓率达 100% ，生活 垃圾分类投放参与率 100% ，生活垃圾分类收集、运输、处置覆盖率 达到90%以上，生活垃圾分类投放准确率 50%以上，生活垃圾末端 处理减量率达 35% ，可回收垃圾利用率达到 30%。</w:t>
      </w:r>
    </w:p>
    <w:p w14:paraId="4B599121">
      <w:pPr>
        <w:ind w:firstLine="562"/>
        <w:rPr>
          <w:rFonts w:hint="eastAsia"/>
        </w:rPr>
      </w:pPr>
      <w:r>
        <w:rPr>
          <w:rFonts w:hint="eastAsia"/>
        </w:rPr>
        <w:t>加大投入，保障资金。配备专业力量，加大垃圾分类工作的技术投入，积极探索垃圾分类新模式。主动争取投资，落实好国家对资源 综合利用的税收优惠政策，发挥引导带动作用，支持生活垃圾分类收 运处理设施建设。按照污染者付费原则，完善垃圾处理收费制度。加 大对生活垃圾分类体系、处理设施和监管能力建设等方面的公共财政 投入，保障垃圾前端分类、中转收运、终端处置等所需经费。</w:t>
      </w:r>
    </w:p>
    <w:p w14:paraId="2C6B0DD8">
      <w:pPr>
        <w:ind w:firstLine="562"/>
        <w:rPr>
          <w:rFonts w:hint="eastAsia"/>
        </w:rPr>
      </w:pPr>
      <w:r>
        <w:rPr>
          <w:rFonts w:hint="eastAsia"/>
        </w:rPr>
        <w:t>资阳市雁江区人民政府《资阳市雁江区“十四五 ”生态建设 和环境保护规划》资雁府发〔2023〕2 号</w:t>
      </w:r>
    </w:p>
    <w:p w14:paraId="40C7D51D">
      <w:pPr>
        <w:ind w:firstLine="562"/>
        <w:rPr>
          <w:rFonts w:hint="eastAsia"/>
        </w:rPr>
      </w:pPr>
      <w:r>
        <w:rPr>
          <w:rFonts w:hint="eastAsia"/>
        </w:rPr>
        <w:t>生态环境保护工作任重道远：生活垃圾分类收集体系尚未健全， 城市生活垃圾处理系统需进一步完善，建制镇及农村生活垃圾收集转 运体系尚未完全建成，垃圾转运“最后一公里 ”问题尚未得到根本解 决。环境治理体系与治理能力有待完善：生态环境治理能力不足，环 境监测监察人员缺乏，业务水平有待加强，监测监察手段、装备智能 化程度低，监测技术较落后，信息化建设相对滞后。</w:t>
      </w:r>
    </w:p>
    <w:p w14:paraId="2A53686B">
      <w:pPr>
        <w:ind w:firstLine="562"/>
        <w:rPr>
          <w:rFonts w:hint="eastAsia"/>
        </w:rPr>
      </w:pPr>
      <w:r>
        <w:rPr>
          <w:rFonts w:hint="eastAsia"/>
        </w:rPr>
        <w:t>到 2025 年，城乡人居环境明显改善，生态环境治理体系与治理 能力现代化建设取得明显成效。</w:t>
      </w:r>
    </w:p>
    <w:p w14:paraId="0DCB60C7">
      <w:pPr>
        <w:ind w:firstLine="562"/>
      </w:pPr>
      <w:r>
        <w:rPr>
          <w:rFonts w:hint="eastAsia"/>
        </w:rPr>
        <w:t>强化生活垃圾处置能力。循序渐进推进垃圾分类处理设施建设， 加快飞灰、渗滤液、残渣处置设施和可回收物分拣、大件垃圾处理设 施建设，持续推进厨余垃圾综合利用设施建设。加强生活垃圾无害化 处理设施建设，鼓励按程序及规定跨区域无害化焚烧处理生活垃圾， 不断提高垃圾焚烧处理比例，到 2023 年全区基本实现原生生活垃圾 “零填埋 ”，到 2025 年底全区生活垃圾处理率达到 100%。</w:t>
      </w:r>
    </w:p>
    <w:p w14:paraId="6D6A0331">
      <w:pPr>
        <w:pStyle w:val="4"/>
      </w:pPr>
      <w:r>
        <w:rPr>
          <w:rFonts w:hint="eastAsia"/>
        </w:rPr>
        <w:t>1</w:t>
      </w:r>
      <w:r>
        <w:t xml:space="preserve">.2 </w:t>
      </w:r>
      <w:r>
        <w:rPr>
          <w:rFonts w:hint="eastAsia"/>
        </w:rPr>
        <w:t>项目情况</w:t>
      </w:r>
    </w:p>
    <w:p w14:paraId="09C8F73D">
      <w:pPr>
        <w:pStyle w:val="5"/>
      </w:pPr>
      <w:bookmarkStart w:id="4" w:name="_Toc127041681"/>
      <w:r>
        <w:t xml:space="preserve">1.2.1 </w:t>
      </w:r>
      <w:r>
        <w:rPr>
          <w:rFonts w:hint="eastAsia"/>
        </w:rPr>
        <w:t>实施单位</w:t>
      </w:r>
      <w:bookmarkEnd w:id="4"/>
    </w:p>
    <w:p w14:paraId="24A4F4F0">
      <w:pPr>
        <w:ind w:firstLine="560"/>
      </w:pPr>
      <w:r>
        <w:rPr>
          <w:rFonts w:hint="eastAsia"/>
        </w:rPr>
        <w:t>资阳市盛裕建设投资有限公司</w:t>
      </w:r>
    </w:p>
    <w:p w14:paraId="348DEA29">
      <w:pPr>
        <w:pStyle w:val="5"/>
      </w:pPr>
      <w:bookmarkStart w:id="5" w:name="_Toc127041682"/>
      <w:r>
        <w:t xml:space="preserve">1.2.2 </w:t>
      </w:r>
      <w:r>
        <w:rPr>
          <w:rFonts w:hint="eastAsia"/>
        </w:rPr>
        <w:t>项目概况</w:t>
      </w:r>
      <w:bookmarkEnd w:id="5"/>
    </w:p>
    <w:p w14:paraId="300EBA73">
      <w:pPr>
        <w:pStyle w:val="21"/>
        <w:numPr>
          <w:ilvl w:val="0"/>
          <w:numId w:val="2"/>
        </w:numPr>
        <w:ind w:firstLineChars="0"/>
        <w:rPr>
          <w:b/>
          <w:bCs/>
        </w:rPr>
      </w:pPr>
      <w:r>
        <w:rPr>
          <w:rFonts w:hint="eastAsia"/>
          <w:b/>
          <w:bCs/>
        </w:rPr>
        <w:t>项目所属领域</w:t>
      </w:r>
    </w:p>
    <w:p w14:paraId="7A64B429">
      <w:pPr>
        <w:ind w:firstLine="560"/>
      </w:pPr>
      <w:r>
        <w:rPr>
          <w:rFonts w:hint="eastAsia"/>
        </w:rPr>
        <w:t>资阳市雁江区城镇垃圾处置体系建设工程属于生态环保领域城镇污水垃圾收集转运处理投向，是具有一定收益的公益性事业领域。</w:t>
      </w:r>
    </w:p>
    <w:p w14:paraId="1764493E">
      <w:pPr>
        <w:pStyle w:val="21"/>
        <w:numPr>
          <w:ilvl w:val="0"/>
          <w:numId w:val="2"/>
        </w:numPr>
        <w:ind w:firstLineChars="0"/>
        <w:rPr>
          <w:b/>
          <w:bCs/>
        </w:rPr>
      </w:pPr>
      <w:r>
        <w:rPr>
          <w:rFonts w:hint="eastAsia"/>
          <w:b/>
          <w:bCs/>
        </w:rPr>
        <w:t>产出说明</w:t>
      </w:r>
    </w:p>
    <w:p w14:paraId="2D868C92">
      <w:pPr>
        <w:ind w:firstLine="560"/>
      </w:pPr>
      <w:r>
        <w:rPr>
          <w:rFonts w:hint="eastAsia"/>
        </w:rPr>
        <w:t>该项目建设用地12.9亩。建设环卫运营中心1座，50吨/天垃圾渗滤液处置中心1座，综合处理站房1座（大件垃圾破碎区、垃圾压缩设备区），配套相关智慧垃圾分类设施（含垃圾转运、破碎、洗扫等环卫车辆）及智慧环卫管理系统等。</w:t>
      </w:r>
    </w:p>
    <w:p w14:paraId="19E3D79D">
      <w:pPr>
        <w:pStyle w:val="5"/>
      </w:pPr>
      <w:r>
        <w:t>1.</w:t>
      </w:r>
      <w:r>
        <w:rPr>
          <w:rFonts w:hint="eastAsia"/>
        </w:rPr>
        <w:t>2</w:t>
      </w:r>
      <w:r>
        <w:t xml:space="preserve">.3 </w:t>
      </w:r>
      <w:r>
        <w:rPr>
          <w:rFonts w:hint="eastAsia"/>
        </w:rPr>
        <w:t>建设方案</w:t>
      </w:r>
    </w:p>
    <w:p w14:paraId="6C773282">
      <w:pPr>
        <w:pStyle w:val="22"/>
        <w:bidi w:val="0"/>
        <w:rPr>
          <w:rFonts w:hint="default" w:cs="Times New Roman"/>
          <w:b/>
          <w:bCs/>
          <w:lang w:val="en-US" w:eastAsia="zh-CN"/>
        </w:rPr>
      </w:pPr>
      <w:bookmarkStart w:id="6" w:name="_Toc11366"/>
      <w:bookmarkStart w:id="7" w:name="_Toc3841"/>
      <w:r>
        <w:rPr>
          <w:rFonts w:hint="eastAsia" w:cs="Times New Roman"/>
          <w:b/>
          <w:bCs/>
          <w:lang w:val="en-US" w:eastAsia="zh-CN"/>
        </w:rPr>
        <w:t>1.1技术方案</w:t>
      </w:r>
      <w:bookmarkEnd w:id="6"/>
      <w:bookmarkEnd w:id="7"/>
    </w:p>
    <w:p w14:paraId="2E38C718">
      <w:pPr>
        <w:pStyle w:val="22"/>
        <w:bidi w:val="0"/>
        <w:rPr>
          <w:rFonts w:hint="eastAsia" w:cs="Times New Roman"/>
          <w:b/>
          <w:bCs/>
        </w:rPr>
      </w:pPr>
      <w:bookmarkStart w:id="8" w:name="_Toc7272"/>
      <w:r>
        <w:rPr>
          <w:rFonts w:hint="eastAsia" w:cs="Times New Roman"/>
          <w:b/>
          <w:bCs/>
          <w:lang w:val="en-US" w:eastAsia="zh-CN"/>
        </w:rPr>
        <w:t>1.1.1设计范围及设计原则</w:t>
      </w:r>
      <w:bookmarkEnd w:id="8"/>
    </w:p>
    <w:p w14:paraId="76D90996">
      <w:pPr>
        <w:pStyle w:val="22"/>
        <w:bidi w:val="0"/>
      </w:pPr>
      <w:bookmarkStart w:id="9" w:name="_Toc484713426"/>
      <w:bookmarkStart w:id="10" w:name="_Toc20406"/>
      <w:bookmarkStart w:id="11" w:name="_Toc11082"/>
      <w:bookmarkStart w:id="12" w:name="_Toc484699800"/>
      <w:bookmarkStart w:id="13" w:name="_Toc484699679"/>
      <w:r>
        <w:rPr>
          <w:rFonts w:hint="eastAsia"/>
          <w:lang w:val="en-US" w:eastAsia="zh-CN"/>
        </w:rPr>
        <w:t>一、</w:t>
      </w:r>
      <w:r>
        <w:t>设计范围</w:t>
      </w:r>
      <w:bookmarkEnd w:id="9"/>
      <w:bookmarkEnd w:id="10"/>
      <w:bookmarkEnd w:id="11"/>
      <w:bookmarkEnd w:id="12"/>
      <w:bookmarkEnd w:id="13"/>
    </w:p>
    <w:p w14:paraId="3DE07063">
      <w:pPr>
        <w:pStyle w:val="22"/>
        <w:bidi w:val="0"/>
      </w:pPr>
      <w:r>
        <w:rPr>
          <w:rFonts w:hint="eastAsia"/>
        </w:rPr>
        <w:t>建设城东新区环卫运营中心1处、50吨垃圾渗滤液处置中心1座、大件垃圾拆解处置站1座、智慧垃圾分类驿站建设；完成智慧环卫管理系统建设，配备垃圾转运及渗滤液处置等相关设施设备</w:t>
      </w:r>
      <w:r>
        <w:t>。</w:t>
      </w:r>
    </w:p>
    <w:p w14:paraId="299BC578">
      <w:pPr>
        <w:pStyle w:val="22"/>
        <w:bidi w:val="0"/>
      </w:pPr>
      <w:bookmarkStart w:id="14" w:name="_Toc4364"/>
      <w:bookmarkStart w:id="15" w:name="_Toc484699801"/>
      <w:bookmarkStart w:id="16" w:name="_Toc31227"/>
      <w:bookmarkStart w:id="17" w:name="_Toc484699680"/>
      <w:bookmarkStart w:id="18" w:name="_Toc484713427"/>
      <w:r>
        <w:rPr>
          <w:rFonts w:hint="eastAsia"/>
          <w:lang w:val="en-US" w:eastAsia="zh-CN"/>
        </w:rPr>
        <w:t>二、</w:t>
      </w:r>
      <w:r>
        <w:t>设计原则</w:t>
      </w:r>
      <w:bookmarkEnd w:id="14"/>
      <w:bookmarkEnd w:id="15"/>
      <w:bookmarkEnd w:id="16"/>
      <w:bookmarkEnd w:id="17"/>
      <w:bookmarkEnd w:id="18"/>
    </w:p>
    <w:p w14:paraId="0BA99E63">
      <w:pPr>
        <w:pStyle w:val="22"/>
        <w:bidi w:val="0"/>
        <w:rPr>
          <w:rFonts w:hint="eastAsia"/>
        </w:rPr>
      </w:pPr>
      <w:r>
        <w:rPr>
          <w:rFonts w:hint="eastAsia"/>
        </w:rPr>
        <w:t>适用性。项目所采用的工艺技术应该与国内的资源条件、经济发展水平和管理水平相适应。</w:t>
      </w:r>
    </w:p>
    <w:p w14:paraId="56F6F58B">
      <w:pPr>
        <w:pStyle w:val="22"/>
        <w:bidi w:val="0"/>
        <w:rPr>
          <w:rFonts w:hint="eastAsia"/>
        </w:rPr>
      </w:pPr>
      <w:r>
        <w:rPr>
          <w:rFonts w:hint="eastAsia"/>
        </w:rPr>
        <w:t>先进性。尽可能采用先进技术和高新技术。衡量技术先进性的指标有产品质量性能、产品使用寿命、单位产品物耗能耗、劳动生产率、装备现代化水平等。</w:t>
      </w:r>
    </w:p>
    <w:p w14:paraId="38817A40">
      <w:pPr>
        <w:pStyle w:val="22"/>
        <w:bidi w:val="0"/>
        <w:rPr>
          <w:rFonts w:hint="eastAsia"/>
        </w:rPr>
      </w:pPr>
      <w:r>
        <w:rPr>
          <w:rFonts w:hint="eastAsia"/>
        </w:rPr>
        <w:t>可靠性。积极采用成熟的新工艺和新技术，尽快提高生产过程的机械化和自动化水平。</w:t>
      </w:r>
    </w:p>
    <w:p w14:paraId="0F638D48">
      <w:pPr>
        <w:pStyle w:val="22"/>
        <w:bidi w:val="0"/>
        <w:rPr>
          <w:rFonts w:hint="eastAsia"/>
        </w:rPr>
      </w:pPr>
      <w:r>
        <w:rPr>
          <w:rFonts w:hint="eastAsia"/>
        </w:rPr>
        <w:t>安全性。项目所采用的技术在正常使用过程中保证其能安全运作。</w:t>
      </w:r>
    </w:p>
    <w:p w14:paraId="66E2C9EB">
      <w:pPr>
        <w:pStyle w:val="22"/>
        <w:bidi w:val="0"/>
      </w:pPr>
      <w:r>
        <w:rPr>
          <w:rFonts w:hint="eastAsia"/>
        </w:rPr>
        <w:t>经济性。在注重所采用的技术设备先进适用、安全可靠的同时，应着重分析所采用的技术是否经济合理，是否有利于降低投资和产品成本，提高综合经济效益。技术的采用不应为追求先进而先进，要综合考虑技术系统的整体效益，对于影响产品性能质量的关键部分，工艺过程必须严格要求。关键工艺部分，如果专业设备和控制系统国内不能保证供应，则成套引进先进技术和关键设备就是必要的</w:t>
      </w:r>
      <w:r>
        <w:t>。</w:t>
      </w:r>
    </w:p>
    <w:p w14:paraId="1B1E5754">
      <w:pPr>
        <w:pStyle w:val="22"/>
        <w:bidi w:val="0"/>
        <w:rPr>
          <w:rFonts w:cs="Times New Roman"/>
          <w:b/>
          <w:bCs/>
        </w:rPr>
      </w:pPr>
      <w:bookmarkStart w:id="19" w:name="_Toc18788"/>
      <w:r>
        <w:rPr>
          <w:rFonts w:hint="eastAsia" w:cs="Times New Roman"/>
          <w:b/>
          <w:bCs/>
          <w:lang w:val="en-US" w:eastAsia="zh-CN"/>
        </w:rPr>
        <w:t>1.1.2工艺设计方案</w:t>
      </w:r>
      <w:bookmarkEnd w:id="19"/>
    </w:p>
    <w:p w14:paraId="1A256779">
      <w:pPr>
        <w:pStyle w:val="22"/>
        <w:bidi w:val="0"/>
        <w:rPr>
          <w:rFonts w:hint="eastAsia"/>
          <w:b/>
          <w:bCs/>
        </w:rPr>
      </w:pPr>
      <w:r>
        <w:rPr>
          <w:rFonts w:hint="eastAsia"/>
          <w:b/>
          <w:bCs/>
          <w:lang w:val="en-US" w:eastAsia="zh-CN"/>
        </w:rPr>
        <w:t>一、</w:t>
      </w:r>
      <w:r>
        <w:rPr>
          <w:rFonts w:hint="eastAsia"/>
          <w:b/>
          <w:bCs/>
        </w:rPr>
        <w:t>垃圾渗滤液处置工艺</w:t>
      </w:r>
    </w:p>
    <w:p w14:paraId="6919932A">
      <w:pPr>
        <w:pStyle w:val="22"/>
        <w:bidi w:val="0"/>
      </w:pPr>
      <w:r>
        <w:t>本项目位于</w:t>
      </w:r>
      <w:r>
        <w:rPr>
          <w:rFonts w:hint="eastAsia"/>
        </w:rPr>
        <w:t>四川</w:t>
      </w:r>
      <w:r>
        <w:t>省</w:t>
      </w:r>
      <w:r>
        <w:rPr>
          <w:rFonts w:hint="eastAsia"/>
        </w:rPr>
        <w:t>资阳</w:t>
      </w:r>
      <w:r>
        <w:t>市</w:t>
      </w:r>
      <w:r>
        <w:rPr>
          <w:rFonts w:hint="eastAsia"/>
        </w:rPr>
        <w:t>雁江区</w:t>
      </w:r>
      <w:r>
        <w:t>。</w:t>
      </w:r>
      <w:r>
        <w:rPr>
          <w:rFonts w:hint="eastAsia"/>
        </w:rPr>
        <w:t>为城镇生活垃圾综合转运站，设计处理垃圾渗滤液</w:t>
      </w:r>
      <w:r>
        <w:t>5</w:t>
      </w:r>
      <w:r>
        <w:rPr>
          <w:rFonts w:hint="eastAsia"/>
        </w:rPr>
        <w:t>0t/d，2</w:t>
      </w:r>
      <w:r>
        <w:t>.5t/h</w:t>
      </w:r>
      <w:r>
        <w:rPr>
          <w:rFonts w:hint="eastAsia"/>
        </w:rPr>
        <w:t>。</w:t>
      </w:r>
    </w:p>
    <w:p w14:paraId="6EE39E8A">
      <w:pPr>
        <w:pStyle w:val="22"/>
        <w:bidi w:val="0"/>
      </w:pPr>
      <w:r>
        <w:rPr>
          <w:rFonts w:hint="eastAsia"/>
        </w:rPr>
        <w:t>本方案设计思路为——该中转站垃圾渗滤液按较低浓度的常规生活垃圾渗滤液处理工艺进行处理。</w:t>
      </w:r>
    </w:p>
    <w:p w14:paraId="5D70371C">
      <w:pPr>
        <w:pStyle w:val="22"/>
        <w:bidi w:val="0"/>
      </w:pPr>
      <w:r>
        <w:t>渗沥液</w:t>
      </w:r>
      <w:r>
        <w:rPr>
          <w:rFonts w:hint="eastAsia"/>
        </w:rPr>
        <w:t>处理区位于场区南部。中转站垃圾主要</w:t>
      </w:r>
      <w:r>
        <w:t>为</w:t>
      </w:r>
      <w:r>
        <w:rPr>
          <w:rFonts w:hint="eastAsia"/>
        </w:rPr>
        <w:t>各个乡镇收集过来的</w:t>
      </w:r>
      <w:r>
        <w:t>生活垃圾。</w:t>
      </w:r>
      <w:bookmarkStart w:id="20" w:name="_Toc110155098"/>
      <w:bookmarkStart w:id="21" w:name="_Toc279656309"/>
      <w:bookmarkStart w:id="22" w:name="_Toc279654622"/>
      <w:bookmarkStart w:id="23" w:name="_Toc279654826"/>
      <w:bookmarkStart w:id="24" w:name="_Toc157484904"/>
    </w:p>
    <w:bookmarkEnd w:id="20"/>
    <w:bookmarkEnd w:id="21"/>
    <w:bookmarkEnd w:id="22"/>
    <w:bookmarkEnd w:id="23"/>
    <w:bookmarkEnd w:id="24"/>
    <w:p w14:paraId="79BEFEA3">
      <w:pPr>
        <w:pStyle w:val="22"/>
        <w:bidi w:val="0"/>
      </w:pPr>
      <w:bookmarkStart w:id="25" w:name="_Toc493099924"/>
      <w:bookmarkStart w:id="26" w:name="_Toc185150563"/>
      <w:r>
        <w:rPr>
          <w:rFonts w:hint="eastAsia"/>
        </w:rPr>
        <w:t>1</w:t>
      </w:r>
      <w:r>
        <w:t>、设计进水水质</w:t>
      </w:r>
      <w:bookmarkEnd w:id="25"/>
      <w:bookmarkEnd w:id="26"/>
    </w:p>
    <w:p w14:paraId="7CF720F8">
      <w:pPr>
        <w:pStyle w:val="22"/>
        <w:bidi w:val="0"/>
      </w:pPr>
      <w:r>
        <w:t>针对本项目，</w:t>
      </w:r>
      <w:r>
        <w:rPr>
          <w:rFonts w:hint="eastAsia"/>
        </w:rPr>
        <w:t>根据甲方提供的资料，</w:t>
      </w:r>
      <w:r>
        <w:t>设计确定垃圾渗滤液的水质如下：</w:t>
      </w:r>
    </w:p>
    <w:tbl>
      <w:tblPr>
        <w:tblStyle w:val="11"/>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117"/>
        <w:gridCol w:w="3540"/>
        <w:gridCol w:w="4743"/>
      </w:tblGrid>
      <w:tr w14:paraId="3DE7E32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454" w:hRule="atLeast"/>
          <w:jc w:val="center"/>
        </w:trPr>
        <w:tc>
          <w:tcPr>
            <w:tcW w:w="594" w:type="pct"/>
            <w:noWrap w:val="0"/>
            <w:vAlign w:val="center"/>
          </w:tcPr>
          <w:p w14:paraId="718B52E8">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kern w:val="0"/>
                <w:sz w:val="20"/>
                <w:szCs w:val="20"/>
                <w:u w:val="none"/>
                <w:lang w:val="en-US" w:eastAsia="zh-CN" w:bidi="ar"/>
              </w:rPr>
            </w:pPr>
            <w:r>
              <w:rPr>
                <w:rFonts w:hint="default" w:ascii="Times New Roman" w:hAnsi="Times New Roman" w:eastAsia="宋体" w:cs="Times New Roman"/>
                <w:i w:val="0"/>
                <w:iCs w:val="0"/>
                <w:color w:val="000000"/>
                <w:kern w:val="0"/>
                <w:sz w:val="20"/>
                <w:szCs w:val="20"/>
                <w:u w:val="none"/>
                <w:lang w:val="en-US" w:eastAsia="zh-CN" w:bidi="ar"/>
              </w:rPr>
              <w:t>序号</w:t>
            </w:r>
          </w:p>
        </w:tc>
        <w:tc>
          <w:tcPr>
            <w:tcW w:w="1882" w:type="pct"/>
            <w:noWrap w:val="0"/>
            <w:vAlign w:val="center"/>
          </w:tcPr>
          <w:p w14:paraId="1612041D">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kern w:val="0"/>
                <w:sz w:val="20"/>
                <w:szCs w:val="20"/>
                <w:u w:val="none"/>
                <w:lang w:val="en-US" w:eastAsia="zh-CN" w:bidi="ar"/>
              </w:rPr>
            </w:pPr>
            <w:r>
              <w:rPr>
                <w:rFonts w:hint="default" w:ascii="Times New Roman" w:hAnsi="Times New Roman" w:eastAsia="宋体" w:cs="Times New Roman"/>
                <w:i w:val="0"/>
                <w:iCs w:val="0"/>
                <w:color w:val="000000"/>
                <w:kern w:val="0"/>
                <w:sz w:val="20"/>
                <w:szCs w:val="20"/>
                <w:u w:val="none"/>
                <w:lang w:val="en-US" w:eastAsia="zh-CN" w:bidi="ar"/>
              </w:rPr>
              <w:t>项目</w:t>
            </w:r>
          </w:p>
        </w:tc>
        <w:tc>
          <w:tcPr>
            <w:tcW w:w="2522" w:type="pct"/>
            <w:noWrap w:val="0"/>
            <w:vAlign w:val="center"/>
          </w:tcPr>
          <w:p w14:paraId="0DC07D5C">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kern w:val="0"/>
                <w:sz w:val="20"/>
                <w:szCs w:val="20"/>
                <w:u w:val="none"/>
                <w:lang w:val="en-US" w:eastAsia="zh-CN" w:bidi="ar"/>
              </w:rPr>
            </w:pPr>
            <w:r>
              <w:rPr>
                <w:rFonts w:hint="default" w:ascii="Times New Roman" w:hAnsi="Times New Roman" w:eastAsia="宋体" w:cs="Times New Roman"/>
                <w:i w:val="0"/>
                <w:iCs w:val="0"/>
                <w:color w:val="000000"/>
                <w:kern w:val="0"/>
                <w:sz w:val="20"/>
                <w:szCs w:val="20"/>
                <w:u w:val="none"/>
                <w:lang w:val="en-US" w:eastAsia="zh-CN" w:bidi="ar"/>
              </w:rPr>
              <w:t>渗滤液</w:t>
            </w:r>
          </w:p>
        </w:tc>
      </w:tr>
      <w:tr w14:paraId="0B7006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594" w:type="pct"/>
            <w:noWrap w:val="0"/>
            <w:vAlign w:val="center"/>
          </w:tcPr>
          <w:p w14:paraId="70C28578">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kern w:val="0"/>
                <w:sz w:val="20"/>
                <w:szCs w:val="20"/>
                <w:u w:val="none"/>
                <w:lang w:val="en-US" w:eastAsia="zh-CN" w:bidi="ar"/>
              </w:rPr>
            </w:pPr>
            <w:r>
              <w:rPr>
                <w:rFonts w:hint="default" w:ascii="Times New Roman" w:hAnsi="Times New Roman" w:eastAsia="宋体" w:cs="Times New Roman"/>
                <w:i w:val="0"/>
                <w:iCs w:val="0"/>
                <w:color w:val="000000"/>
                <w:kern w:val="0"/>
                <w:sz w:val="20"/>
                <w:szCs w:val="20"/>
                <w:u w:val="none"/>
                <w:lang w:val="en-US" w:eastAsia="zh-CN" w:bidi="ar"/>
              </w:rPr>
              <w:t>1</w:t>
            </w:r>
          </w:p>
        </w:tc>
        <w:tc>
          <w:tcPr>
            <w:tcW w:w="1882" w:type="pct"/>
            <w:noWrap w:val="0"/>
            <w:vAlign w:val="center"/>
          </w:tcPr>
          <w:p w14:paraId="13F66D12">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kern w:val="0"/>
                <w:sz w:val="20"/>
                <w:szCs w:val="20"/>
                <w:u w:val="none"/>
                <w:lang w:val="en-US" w:eastAsia="zh-CN" w:bidi="ar"/>
              </w:rPr>
            </w:pPr>
            <w:r>
              <w:rPr>
                <w:rFonts w:hint="default" w:ascii="Times New Roman" w:hAnsi="Times New Roman" w:eastAsia="宋体" w:cs="Times New Roman"/>
                <w:i w:val="0"/>
                <w:iCs w:val="0"/>
                <w:color w:val="000000"/>
                <w:kern w:val="0"/>
                <w:sz w:val="20"/>
                <w:szCs w:val="20"/>
                <w:u w:val="none"/>
                <w:lang w:val="en-US" w:eastAsia="zh-CN" w:bidi="ar"/>
              </w:rPr>
              <w:t>CODCr</w:t>
            </w:r>
            <w:r>
              <w:rPr>
                <w:rFonts w:hint="eastAsia" w:ascii="Times New Roman" w:hAnsi="Times New Roman" w:eastAsia="宋体" w:cs="Times New Roman"/>
                <w:i w:val="0"/>
                <w:iCs w:val="0"/>
                <w:color w:val="000000"/>
                <w:kern w:val="0"/>
                <w:sz w:val="20"/>
                <w:szCs w:val="20"/>
                <w:u w:val="none"/>
                <w:lang w:val="en-US" w:eastAsia="zh-CN" w:bidi="ar"/>
              </w:rPr>
              <w:t>（</w:t>
            </w:r>
            <w:r>
              <w:rPr>
                <w:rFonts w:hint="default" w:ascii="Times New Roman" w:hAnsi="Times New Roman" w:eastAsia="宋体" w:cs="Times New Roman"/>
                <w:i w:val="0"/>
                <w:iCs w:val="0"/>
                <w:color w:val="000000"/>
                <w:kern w:val="0"/>
                <w:sz w:val="20"/>
                <w:szCs w:val="20"/>
                <w:u w:val="none"/>
                <w:lang w:val="en-US" w:eastAsia="zh-CN" w:bidi="ar"/>
              </w:rPr>
              <w:t>mg/L</w:t>
            </w:r>
            <w:r>
              <w:rPr>
                <w:rFonts w:hint="eastAsia" w:ascii="Times New Roman" w:hAnsi="Times New Roman" w:eastAsia="宋体" w:cs="Times New Roman"/>
                <w:i w:val="0"/>
                <w:iCs w:val="0"/>
                <w:color w:val="000000"/>
                <w:kern w:val="0"/>
                <w:sz w:val="20"/>
                <w:szCs w:val="20"/>
                <w:u w:val="none"/>
                <w:lang w:val="en-US" w:eastAsia="zh-CN" w:bidi="ar"/>
              </w:rPr>
              <w:t>）</w:t>
            </w:r>
          </w:p>
        </w:tc>
        <w:tc>
          <w:tcPr>
            <w:tcW w:w="2522" w:type="pct"/>
            <w:noWrap w:val="0"/>
            <w:vAlign w:val="center"/>
          </w:tcPr>
          <w:p w14:paraId="7BB2FA20">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kern w:val="0"/>
                <w:sz w:val="20"/>
                <w:szCs w:val="20"/>
                <w:u w:val="none"/>
                <w:lang w:val="en-US" w:eastAsia="zh-CN" w:bidi="ar"/>
              </w:rPr>
            </w:pPr>
            <w:r>
              <w:rPr>
                <w:rFonts w:hint="default" w:ascii="Times New Roman" w:hAnsi="Times New Roman" w:eastAsia="宋体" w:cs="Times New Roman"/>
                <w:i w:val="0"/>
                <w:iCs w:val="0"/>
                <w:color w:val="000000"/>
                <w:kern w:val="0"/>
                <w:sz w:val="20"/>
                <w:szCs w:val="20"/>
                <w:u w:val="none"/>
                <w:lang w:val="en-US" w:eastAsia="zh-CN" w:bidi="ar"/>
              </w:rPr>
              <w:t>≤35000</w:t>
            </w:r>
          </w:p>
        </w:tc>
      </w:tr>
      <w:tr w14:paraId="40B051E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594" w:type="pct"/>
            <w:noWrap w:val="0"/>
            <w:vAlign w:val="center"/>
          </w:tcPr>
          <w:p w14:paraId="573F585F">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kern w:val="0"/>
                <w:sz w:val="20"/>
                <w:szCs w:val="20"/>
                <w:u w:val="none"/>
                <w:lang w:val="en-US" w:eastAsia="zh-CN" w:bidi="ar"/>
              </w:rPr>
            </w:pPr>
            <w:r>
              <w:rPr>
                <w:rFonts w:hint="default" w:ascii="Times New Roman" w:hAnsi="Times New Roman" w:eastAsia="宋体" w:cs="Times New Roman"/>
                <w:i w:val="0"/>
                <w:iCs w:val="0"/>
                <w:color w:val="000000"/>
                <w:kern w:val="0"/>
                <w:sz w:val="20"/>
                <w:szCs w:val="20"/>
                <w:u w:val="none"/>
                <w:lang w:val="en-US" w:eastAsia="zh-CN" w:bidi="ar"/>
              </w:rPr>
              <w:t>2</w:t>
            </w:r>
          </w:p>
        </w:tc>
        <w:tc>
          <w:tcPr>
            <w:tcW w:w="1882" w:type="pct"/>
            <w:noWrap w:val="0"/>
            <w:vAlign w:val="center"/>
          </w:tcPr>
          <w:p w14:paraId="11240E43">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kern w:val="0"/>
                <w:sz w:val="20"/>
                <w:szCs w:val="20"/>
                <w:u w:val="none"/>
                <w:lang w:val="en-US" w:eastAsia="zh-CN" w:bidi="ar"/>
              </w:rPr>
            </w:pPr>
            <w:r>
              <w:rPr>
                <w:rFonts w:hint="default" w:ascii="Times New Roman" w:hAnsi="Times New Roman" w:eastAsia="宋体" w:cs="Times New Roman"/>
                <w:i w:val="0"/>
                <w:iCs w:val="0"/>
                <w:color w:val="000000"/>
                <w:kern w:val="0"/>
                <w:sz w:val="20"/>
                <w:szCs w:val="20"/>
                <w:u w:val="none"/>
                <w:lang w:val="en-US" w:eastAsia="zh-CN" w:bidi="ar"/>
              </w:rPr>
              <w:t>BOD5</w:t>
            </w:r>
            <w:r>
              <w:rPr>
                <w:rFonts w:hint="eastAsia" w:ascii="Times New Roman" w:hAnsi="Times New Roman" w:eastAsia="宋体" w:cs="Times New Roman"/>
                <w:i w:val="0"/>
                <w:iCs w:val="0"/>
                <w:color w:val="000000"/>
                <w:kern w:val="0"/>
                <w:sz w:val="20"/>
                <w:szCs w:val="20"/>
                <w:u w:val="none"/>
                <w:lang w:val="en-US" w:eastAsia="zh-CN" w:bidi="ar"/>
              </w:rPr>
              <w:t>（</w:t>
            </w:r>
            <w:r>
              <w:rPr>
                <w:rFonts w:hint="default" w:ascii="Times New Roman" w:hAnsi="Times New Roman" w:eastAsia="宋体" w:cs="Times New Roman"/>
                <w:i w:val="0"/>
                <w:iCs w:val="0"/>
                <w:color w:val="000000"/>
                <w:kern w:val="0"/>
                <w:sz w:val="20"/>
                <w:szCs w:val="20"/>
                <w:u w:val="none"/>
                <w:lang w:val="en-US" w:eastAsia="zh-CN" w:bidi="ar"/>
              </w:rPr>
              <w:t>mg/L</w:t>
            </w:r>
            <w:r>
              <w:rPr>
                <w:rFonts w:hint="eastAsia" w:ascii="Times New Roman" w:hAnsi="Times New Roman" w:eastAsia="宋体" w:cs="Times New Roman"/>
                <w:i w:val="0"/>
                <w:iCs w:val="0"/>
                <w:color w:val="000000"/>
                <w:kern w:val="0"/>
                <w:sz w:val="20"/>
                <w:szCs w:val="20"/>
                <w:u w:val="none"/>
                <w:lang w:val="en-US" w:eastAsia="zh-CN" w:bidi="ar"/>
              </w:rPr>
              <w:t>）</w:t>
            </w:r>
          </w:p>
        </w:tc>
        <w:tc>
          <w:tcPr>
            <w:tcW w:w="2522" w:type="pct"/>
            <w:noWrap w:val="0"/>
            <w:vAlign w:val="center"/>
          </w:tcPr>
          <w:p w14:paraId="02A648DB">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kern w:val="0"/>
                <w:sz w:val="20"/>
                <w:szCs w:val="20"/>
                <w:u w:val="none"/>
                <w:lang w:val="en-US" w:eastAsia="zh-CN" w:bidi="ar"/>
              </w:rPr>
            </w:pPr>
            <w:r>
              <w:rPr>
                <w:rFonts w:hint="default" w:ascii="Times New Roman" w:hAnsi="Times New Roman" w:eastAsia="宋体" w:cs="Times New Roman"/>
                <w:i w:val="0"/>
                <w:iCs w:val="0"/>
                <w:color w:val="000000"/>
                <w:kern w:val="0"/>
                <w:sz w:val="20"/>
                <w:szCs w:val="20"/>
                <w:u w:val="none"/>
                <w:lang w:val="en-US" w:eastAsia="zh-CN" w:bidi="ar"/>
              </w:rPr>
              <w:t>≤25000</w:t>
            </w:r>
          </w:p>
        </w:tc>
      </w:tr>
      <w:tr w14:paraId="24E904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594" w:type="pct"/>
            <w:noWrap w:val="0"/>
            <w:vAlign w:val="center"/>
          </w:tcPr>
          <w:p w14:paraId="59ADE132">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kern w:val="0"/>
                <w:sz w:val="20"/>
                <w:szCs w:val="20"/>
                <w:u w:val="none"/>
                <w:lang w:val="en-US" w:eastAsia="zh-CN" w:bidi="ar"/>
              </w:rPr>
            </w:pPr>
            <w:r>
              <w:rPr>
                <w:rFonts w:hint="default" w:ascii="Times New Roman" w:hAnsi="Times New Roman" w:eastAsia="宋体" w:cs="Times New Roman"/>
                <w:i w:val="0"/>
                <w:iCs w:val="0"/>
                <w:color w:val="000000"/>
                <w:kern w:val="0"/>
                <w:sz w:val="20"/>
                <w:szCs w:val="20"/>
                <w:u w:val="none"/>
                <w:lang w:val="en-US" w:eastAsia="zh-CN" w:bidi="ar"/>
              </w:rPr>
              <w:t>3</w:t>
            </w:r>
          </w:p>
        </w:tc>
        <w:tc>
          <w:tcPr>
            <w:tcW w:w="1882" w:type="pct"/>
            <w:noWrap w:val="0"/>
            <w:vAlign w:val="center"/>
          </w:tcPr>
          <w:p w14:paraId="4F4D1FCD">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kern w:val="0"/>
                <w:sz w:val="20"/>
                <w:szCs w:val="20"/>
                <w:u w:val="none"/>
                <w:lang w:val="en-US" w:eastAsia="zh-CN" w:bidi="ar"/>
              </w:rPr>
            </w:pPr>
            <w:r>
              <w:rPr>
                <w:rFonts w:hint="default" w:ascii="Times New Roman" w:hAnsi="Times New Roman" w:eastAsia="宋体" w:cs="Times New Roman"/>
                <w:i w:val="0"/>
                <w:iCs w:val="0"/>
                <w:color w:val="000000"/>
                <w:kern w:val="0"/>
                <w:sz w:val="20"/>
                <w:szCs w:val="20"/>
                <w:u w:val="none"/>
                <w:lang w:val="en-US" w:eastAsia="zh-CN" w:bidi="ar"/>
              </w:rPr>
              <w:t>NH3-N</w:t>
            </w:r>
            <w:r>
              <w:rPr>
                <w:rFonts w:hint="eastAsia" w:ascii="Times New Roman" w:hAnsi="Times New Roman" w:eastAsia="宋体" w:cs="Times New Roman"/>
                <w:i w:val="0"/>
                <w:iCs w:val="0"/>
                <w:color w:val="000000"/>
                <w:kern w:val="0"/>
                <w:sz w:val="20"/>
                <w:szCs w:val="20"/>
                <w:u w:val="none"/>
                <w:lang w:val="en-US" w:eastAsia="zh-CN" w:bidi="ar"/>
              </w:rPr>
              <w:t>（</w:t>
            </w:r>
            <w:r>
              <w:rPr>
                <w:rFonts w:hint="default" w:ascii="Times New Roman" w:hAnsi="Times New Roman" w:eastAsia="宋体" w:cs="Times New Roman"/>
                <w:i w:val="0"/>
                <w:iCs w:val="0"/>
                <w:color w:val="000000"/>
                <w:kern w:val="0"/>
                <w:sz w:val="20"/>
                <w:szCs w:val="20"/>
                <w:u w:val="none"/>
                <w:lang w:val="en-US" w:eastAsia="zh-CN" w:bidi="ar"/>
              </w:rPr>
              <w:t>mg/L</w:t>
            </w:r>
            <w:r>
              <w:rPr>
                <w:rFonts w:hint="eastAsia" w:ascii="Times New Roman" w:hAnsi="Times New Roman" w:eastAsia="宋体" w:cs="Times New Roman"/>
                <w:i w:val="0"/>
                <w:iCs w:val="0"/>
                <w:color w:val="000000"/>
                <w:kern w:val="0"/>
                <w:sz w:val="20"/>
                <w:szCs w:val="20"/>
                <w:u w:val="none"/>
                <w:lang w:val="en-US" w:eastAsia="zh-CN" w:bidi="ar"/>
              </w:rPr>
              <w:t>）</w:t>
            </w:r>
          </w:p>
        </w:tc>
        <w:tc>
          <w:tcPr>
            <w:tcW w:w="2522" w:type="pct"/>
            <w:noWrap w:val="0"/>
            <w:vAlign w:val="center"/>
          </w:tcPr>
          <w:p w14:paraId="22B42958">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kern w:val="0"/>
                <w:sz w:val="20"/>
                <w:szCs w:val="20"/>
                <w:u w:val="none"/>
                <w:lang w:val="en-US" w:eastAsia="zh-CN" w:bidi="ar"/>
              </w:rPr>
            </w:pPr>
            <w:r>
              <w:rPr>
                <w:rFonts w:hint="default" w:ascii="Times New Roman" w:hAnsi="Times New Roman" w:eastAsia="宋体" w:cs="Times New Roman"/>
                <w:i w:val="0"/>
                <w:iCs w:val="0"/>
                <w:color w:val="000000"/>
                <w:kern w:val="0"/>
                <w:sz w:val="20"/>
                <w:szCs w:val="20"/>
                <w:u w:val="none"/>
                <w:lang w:val="en-US" w:eastAsia="zh-CN" w:bidi="ar"/>
              </w:rPr>
              <w:t>≤1000</w:t>
            </w:r>
          </w:p>
        </w:tc>
      </w:tr>
      <w:tr w14:paraId="05A962D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594" w:type="pct"/>
            <w:noWrap w:val="0"/>
            <w:vAlign w:val="center"/>
          </w:tcPr>
          <w:p w14:paraId="78C3502B">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kern w:val="0"/>
                <w:sz w:val="20"/>
                <w:szCs w:val="20"/>
                <w:u w:val="none"/>
                <w:lang w:val="en-US" w:eastAsia="zh-CN" w:bidi="ar"/>
              </w:rPr>
            </w:pPr>
            <w:r>
              <w:rPr>
                <w:rFonts w:hint="default" w:ascii="Times New Roman" w:hAnsi="Times New Roman" w:eastAsia="宋体" w:cs="Times New Roman"/>
                <w:i w:val="0"/>
                <w:iCs w:val="0"/>
                <w:color w:val="000000"/>
                <w:kern w:val="0"/>
                <w:sz w:val="20"/>
                <w:szCs w:val="20"/>
                <w:u w:val="none"/>
                <w:lang w:val="en-US" w:eastAsia="zh-CN" w:bidi="ar"/>
              </w:rPr>
              <w:t>4</w:t>
            </w:r>
          </w:p>
        </w:tc>
        <w:tc>
          <w:tcPr>
            <w:tcW w:w="1882" w:type="pct"/>
            <w:noWrap w:val="0"/>
            <w:vAlign w:val="center"/>
          </w:tcPr>
          <w:p w14:paraId="592FD43D">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kern w:val="0"/>
                <w:sz w:val="20"/>
                <w:szCs w:val="20"/>
                <w:u w:val="none"/>
                <w:lang w:val="en-US" w:eastAsia="zh-CN" w:bidi="ar"/>
              </w:rPr>
            </w:pPr>
            <w:r>
              <w:rPr>
                <w:rFonts w:hint="default" w:ascii="Times New Roman" w:hAnsi="Times New Roman" w:eastAsia="宋体" w:cs="Times New Roman"/>
                <w:i w:val="0"/>
                <w:iCs w:val="0"/>
                <w:color w:val="000000"/>
                <w:kern w:val="0"/>
                <w:sz w:val="20"/>
                <w:szCs w:val="20"/>
                <w:u w:val="none"/>
                <w:lang w:val="en-US" w:eastAsia="zh-CN" w:bidi="ar"/>
              </w:rPr>
              <w:t>SS</w:t>
            </w:r>
            <w:r>
              <w:rPr>
                <w:rFonts w:hint="eastAsia" w:ascii="Times New Roman" w:hAnsi="Times New Roman" w:eastAsia="宋体" w:cs="Times New Roman"/>
                <w:i w:val="0"/>
                <w:iCs w:val="0"/>
                <w:color w:val="000000"/>
                <w:kern w:val="0"/>
                <w:sz w:val="20"/>
                <w:szCs w:val="20"/>
                <w:u w:val="none"/>
                <w:lang w:val="en-US" w:eastAsia="zh-CN" w:bidi="ar"/>
              </w:rPr>
              <w:t>（</w:t>
            </w:r>
            <w:r>
              <w:rPr>
                <w:rFonts w:hint="default" w:ascii="Times New Roman" w:hAnsi="Times New Roman" w:eastAsia="宋体" w:cs="Times New Roman"/>
                <w:i w:val="0"/>
                <w:iCs w:val="0"/>
                <w:color w:val="000000"/>
                <w:kern w:val="0"/>
                <w:sz w:val="20"/>
                <w:szCs w:val="20"/>
                <w:u w:val="none"/>
                <w:lang w:val="en-US" w:eastAsia="zh-CN" w:bidi="ar"/>
              </w:rPr>
              <w:t>mg/L</w:t>
            </w:r>
            <w:r>
              <w:rPr>
                <w:rFonts w:hint="eastAsia" w:ascii="Times New Roman" w:hAnsi="Times New Roman" w:eastAsia="宋体" w:cs="Times New Roman"/>
                <w:i w:val="0"/>
                <w:iCs w:val="0"/>
                <w:color w:val="000000"/>
                <w:kern w:val="0"/>
                <w:sz w:val="20"/>
                <w:szCs w:val="20"/>
                <w:u w:val="none"/>
                <w:lang w:val="en-US" w:eastAsia="zh-CN" w:bidi="ar"/>
              </w:rPr>
              <w:t>）</w:t>
            </w:r>
          </w:p>
        </w:tc>
        <w:tc>
          <w:tcPr>
            <w:tcW w:w="2522" w:type="pct"/>
            <w:noWrap w:val="0"/>
            <w:vAlign w:val="center"/>
          </w:tcPr>
          <w:p w14:paraId="1A3E17AB">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kern w:val="0"/>
                <w:sz w:val="20"/>
                <w:szCs w:val="20"/>
                <w:u w:val="none"/>
                <w:lang w:val="en-US" w:eastAsia="zh-CN" w:bidi="ar"/>
              </w:rPr>
            </w:pPr>
            <w:r>
              <w:rPr>
                <w:rFonts w:hint="default" w:ascii="Times New Roman" w:hAnsi="Times New Roman" w:eastAsia="宋体" w:cs="Times New Roman"/>
                <w:i w:val="0"/>
                <w:iCs w:val="0"/>
                <w:color w:val="000000"/>
                <w:kern w:val="0"/>
                <w:sz w:val="20"/>
                <w:szCs w:val="20"/>
                <w:u w:val="none"/>
                <w:lang w:val="en-US" w:eastAsia="zh-CN" w:bidi="ar"/>
              </w:rPr>
              <w:t>≤10000</w:t>
            </w:r>
          </w:p>
        </w:tc>
      </w:tr>
      <w:tr w14:paraId="4A50963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594" w:type="pct"/>
            <w:noWrap w:val="0"/>
            <w:vAlign w:val="center"/>
          </w:tcPr>
          <w:p w14:paraId="07C74279">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kern w:val="0"/>
                <w:sz w:val="20"/>
                <w:szCs w:val="20"/>
                <w:u w:val="none"/>
                <w:lang w:val="en-US" w:eastAsia="zh-CN" w:bidi="ar"/>
              </w:rPr>
            </w:pPr>
            <w:r>
              <w:rPr>
                <w:rFonts w:hint="default" w:ascii="Times New Roman" w:hAnsi="Times New Roman" w:eastAsia="宋体" w:cs="Times New Roman"/>
                <w:i w:val="0"/>
                <w:iCs w:val="0"/>
                <w:color w:val="000000"/>
                <w:kern w:val="0"/>
                <w:sz w:val="20"/>
                <w:szCs w:val="20"/>
                <w:u w:val="none"/>
                <w:lang w:val="en-US" w:eastAsia="zh-CN" w:bidi="ar"/>
              </w:rPr>
              <w:t>5</w:t>
            </w:r>
          </w:p>
        </w:tc>
        <w:tc>
          <w:tcPr>
            <w:tcW w:w="1882" w:type="pct"/>
            <w:noWrap w:val="0"/>
            <w:vAlign w:val="center"/>
          </w:tcPr>
          <w:p w14:paraId="08A72576">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kern w:val="0"/>
                <w:sz w:val="20"/>
                <w:szCs w:val="20"/>
                <w:u w:val="none"/>
                <w:lang w:val="en-US" w:eastAsia="zh-CN" w:bidi="ar"/>
              </w:rPr>
            </w:pPr>
            <w:r>
              <w:rPr>
                <w:rFonts w:hint="default" w:ascii="Times New Roman" w:hAnsi="Times New Roman" w:eastAsia="宋体" w:cs="Times New Roman"/>
                <w:i w:val="0"/>
                <w:iCs w:val="0"/>
                <w:color w:val="000000"/>
                <w:kern w:val="0"/>
                <w:sz w:val="20"/>
                <w:szCs w:val="20"/>
                <w:u w:val="none"/>
                <w:lang w:val="en-US" w:eastAsia="zh-CN" w:bidi="ar"/>
              </w:rPr>
              <w:t>TN</w:t>
            </w:r>
            <w:r>
              <w:rPr>
                <w:rFonts w:hint="eastAsia" w:ascii="Times New Roman" w:hAnsi="Times New Roman" w:eastAsia="宋体" w:cs="Times New Roman"/>
                <w:i w:val="0"/>
                <w:iCs w:val="0"/>
                <w:color w:val="000000"/>
                <w:kern w:val="0"/>
                <w:sz w:val="20"/>
                <w:szCs w:val="20"/>
                <w:u w:val="none"/>
                <w:lang w:val="en-US" w:eastAsia="zh-CN" w:bidi="ar"/>
              </w:rPr>
              <w:t>（</w:t>
            </w:r>
            <w:r>
              <w:rPr>
                <w:rFonts w:hint="default" w:ascii="Times New Roman" w:hAnsi="Times New Roman" w:eastAsia="宋体" w:cs="Times New Roman"/>
                <w:i w:val="0"/>
                <w:iCs w:val="0"/>
                <w:color w:val="000000"/>
                <w:kern w:val="0"/>
                <w:sz w:val="20"/>
                <w:szCs w:val="20"/>
                <w:u w:val="none"/>
                <w:lang w:val="en-US" w:eastAsia="zh-CN" w:bidi="ar"/>
              </w:rPr>
              <w:t>mg/L</w:t>
            </w:r>
            <w:r>
              <w:rPr>
                <w:rFonts w:hint="eastAsia" w:ascii="Times New Roman" w:hAnsi="Times New Roman" w:eastAsia="宋体" w:cs="Times New Roman"/>
                <w:i w:val="0"/>
                <w:iCs w:val="0"/>
                <w:color w:val="000000"/>
                <w:kern w:val="0"/>
                <w:sz w:val="20"/>
                <w:szCs w:val="20"/>
                <w:u w:val="none"/>
                <w:lang w:val="en-US" w:eastAsia="zh-CN" w:bidi="ar"/>
              </w:rPr>
              <w:t>）</w:t>
            </w:r>
          </w:p>
        </w:tc>
        <w:tc>
          <w:tcPr>
            <w:tcW w:w="2522" w:type="pct"/>
            <w:noWrap w:val="0"/>
            <w:vAlign w:val="center"/>
          </w:tcPr>
          <w:p w14:paraId="64809B33">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kern w:val="0"/>
                <w:sz w:val="20"/>
                <w:szCs w:val="20"/>
                <w:u w:val="none"/>
                <w:lang w:val="en-US" w:eastAsia="zh-CN" w:bidi="ar"/>
              </w:rPr>
            </w:pPr>
            <w:r>
              <w:rPr>
                <w:rFonts w:hint="default" w:ascii="Times New Roman" w:hAnsi="Times New Roman" w:eastAsia="宋体" w:cs="Times New Roman"/>
                <w:i w:val="0"/>
                <w:iCs w:val="0"/>
                <w:color w:val="000000"/>
                <w:kern w:val="0"/>
                <w:sz w:val="20"/>
                <w:szCs w:val="20"/>
                <w:u w:val="none"/>
                <w:lang w:val="en-US" w:eastAsia="zh-CN" w:bidi="ar"/>
              </w:rPr>
              <w:t>≤1200</w:t>
            </w:r>
          </w:p>
        </w:tc>
      </w:tr>
      <w:tr w14:paraId="16F476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594" w:type="pct"/>
            <w:noWrap w:val="0"/>
            <w:vAlign w:val="center"/>
          </w:tcPr>
          <w:p w14:paraId="62E43D4C">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kern w:val="0"/>
                <w:sz w:val="20"/>
                <w:szCs w:val="20"/>
                <w:u w:val="none"/>
                <w:lang w:val="en-US" w:eastAsia="zh-CN" w:bidi="ar"/>
              </w:rPr>
            </w:pPr>
            <w:r>
              <w:rPr>
                <w:rFonts w:hint="default" w:ascii="Times New Roman" w:hAnsi="Times New Roman" w:eastAsia="宋体" w:cs="Times New Roman"/>
                <w:i w:val="0"/>
                <w:iCs w:val="0"/>
                <w:color w:val="000000"/>
                <w:kern w:val="0"/>
                <w:sz w:val="20"/>
                <w:szCs w:val="20"/>
                <w:u w:val="none"/>
                <w:lang w:val="en-US" w:eastAsia="zh-CN" w:bidi="ar"/>
              </w:rPr>
              <w:t>6</w:t>
            </w:r>
          </w:p>
        </w:tc>
        <w:tc>
          <w:tcPr>
            <w:tcW w:w="1882" w:type="pct"/>
            <w:noWrap w:val="0"/>
            <w:vAlign w:val="center"/>
          </w:tcPr>
          <w:p w14:paraId="024DBA44">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kern w:val="0"/>
                <w:sz w:val="20"/>
                <w:szCs w:val="20"/>
                <w:u w:val="none"/>
                <w:lang w:val="en-US" w:eastAsia="zh-CN" w:bidi="ar"/>
              </w:rPr>
            </w:pPr>
            <w:r>
              <w:rPr>
                <w:rFonts w:hint="default" w:ascii="Times New Roman" w:hAnsi="Times New Roman" w:eastAsia="宋体" w:cs="Times New Roman"/>
                <w:i w:val="0"/>
                <w:iCs w:val="0"/>
                <w:color w:val="000000"/>
                <w:kern w:val="0"/>
                <w:sz w:val="20"/>
                <w:szCs w:val="20"/>
                <w:u w:val="none"/>
                <w:lang w:val="en-US" w:eastAsia="zh-CN" w:bidi="ar"/>
              </w:rPr>
              <w:t>TP</w:t>
            </w:r>
            <w:r>
              <w:rPr>
                <w:rFonts w:hint="eastAsia" w:ascii="Times New Roman" w:hAnsi="Times New Roman" w:eastAsia="宋体" w:cs="Times New Roman"/>
                <w:i w:val="0"/>
                <w:iCs w:val="0"/>
                <w:color w:val="000000"/>
                <w:kern w:val="0"/>
                <w:sz w:val="20"/>
                <w:szCs w:val="20"/>
                <w:u w:val="none"/>
                <w:lang w:val="en-US" w:eastAsia="zh-CN" w:bidi="ar"/>
              </w:rPr>
              <w:t>（</w:t>
            </w:r>
            <w:r>
              <w:rPr>
                <w:rFonts w:hint="default" w:ascii="Times New Roman" w:hAnsi="Times New Roman" w:eastAsia="宋体" w:cs="Times New Roman"/>
                <w:i w:val="0"/>
                <w:iCs w:val="0"/>
                <w:color w:val="000000"/>
                <w:kern w:val="0"/>
                <w:sz w:val="20"/>
                <w:szCs w:val="20"/>
                <w:u w:val="none"/>
                <w:lang w:val="en-US" w:eastAsia="zh-CN" w:bidi="ar"/>
              </w:rPr>
              <w:t>mg/L</w:t>
            </w:r>
            <w:r>
              <w:rPr>
                <w:rFonts w:hint="eastAsia" w:ascii="Times New Roman" w:hAnsi="Times New Roman" w:eastAsia="宋体" w:cs="Times New Roman"/>
                <w:i w:val="0"/>
                <w:iCs w:val="0"/>
                <w:color w:val="000000"/>
                <w:kern w:val="0"/>
                <w:sz w:val="20"/>
                <w:szCs w:val="20"/>
                <w:u w:val="none"/>
                <w:lang w:val="en-US" w:eastAsia="zh-CN" w:bidi="ar"/>
              </w:rPr>
              <w:t>）</w:t>
            </w:r>
          </w:p>
        </w:tc>
        <w:tc>
          <w:tcPr>
            <w:tcW w:w="2522" w:type="pct"/>
            <w:noWrap w:val="0"/>
            <w:vAlign w:val="center"/>
          </w:tcPr>
          <w:p w14:paraId="30BE69B4">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kern w:val="0"/>
                <w:sz w:val="20"/>
                <w:szCs w:val="20"/>
                <w:u w:val="none"/>
                <w:lang w:val="en-US" w:eastAsia="zh-CN" w:bidi="ar"/>
              </w:rPr>
            </w:pPr>
            <w:r>
              <w:rPr>
                <w:rFonts w:hint="default" w:ascii="Times New Roman" w:hAnsi="Times New Roman" w:eastAsia="宋体" w:cs="Times New Roman"/>
                <w:i w:val="0"/>
                <w:iCs w:val="0"/>
                <w:color w:val="000000"/>
                <w:kern w:val="0"/>
                <w:sz w:val="20"/>
                <w:szCs w:val="20"/>
                <w:u w:val="none"/>
                <w:lang w:val="en-US" w:eastAsia="zh-CN" w:bidi="ar"/>
              </w:rPr>
              <w:t>≤200</w:t>
            </w:r>
          </w:p>
        </w:tc>
      </w:tr>
      <w:tr w14:paraId="2F7DB3F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594" w:type="pct"/>
            <w:noWrap w:val="0"/>
            <w:vAlign w:val="center"/>
          </w:tcPr>
          <w:p w14:paraId="390836F7">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kern w:val="0"/>
                <w:sz w:val="20"/>
                <w:szCs w:val="20"/>
                <w:u w:val="none"/>
                <w:lang w:val="en-US" w:eastAsia="zh-CN" w:bidi="ar"/>
              </w:rPr>
            </w:pPr>
            <w:r>
              <w:rPr>
                <w:rFonts w:hint="default" w:ascii="Times New Roman" w:hAnsi="Times New Roman" w:eastAsia="宋体" w:cs="Times New Roman"/>
                <w:i w:val="0"/>
                <w:iCs w:val="0"/>
                <w:color w:val="000000"/>
                <w:kern w:val="0"/>
                <w:sz w:val="20"/>
                <w:szCs w:val="20"/>
                <w:u w:val="none"/>
                <w:lang w:val="en-US" w:eastAsia="zh-CN" w:bidi="ar"/>
              </w:rPr>
              <w:t>7</w:t>
            </w:r>
          </w:p>
        </w:tc>
        <w:tc>
          <w:tcPr>
            <w:tcW w:w="1882" w:type="pct"/>
            <w:noWrap w:val="0"/>
            <w:vAlign w:val="center"/>
          </w:tcPr>
          <w:p w14:paraId="55AD9C19">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kern w:val="0"/>
                <w:sz w:val="20"/>
                <w:szCs w:val="20"/>
                <w:u w:val="none"/>
                <w:lang w:val="en-US" w:eastAsia="zh-CN" w:bidi="ar"/>
              </w:rPr>
            </w:pPr>
            <w:r>
              <w:rPr>
                <w:rFonts w:hint="default" w:ascii="Times New Roman" w:hAnsi="Times New Roman" w:eastAsia="宋体" w:cs="Times New Roman"/>
                <w:i w:val="0"/>
                <w:iCs w:val="0"/>
                <w:color w:val="000000"/>
                <w:kern w:val="0"/>
                <w:sz w:val="20"/>
                <w:szCs w:val="20"/>
                <w:u w:val="none"/>
                <w:lang w:val="en-US" w:eastAsia="zh-CN" w:bidi="ar"/>
              </w:rPr>
              <w:t>TDS</w:t>
            </w:r>
            <w:r>
              <w:rPr>
                <w:rFonts w:hint="eastAsia" w:ascii="Times New Roman" w:hAnsi="Times New Roman" w:eastAsia="宋体" w:cs="Times New Roman"/>
                <w:i w:val="0"/>
                <w:iCs w:val="0"/>
                <w:color w:val="000000"/>
                <w:kern w:val="0"/>
                <w:sz w:val="20"/>
                <w:szCs w:val="20"/>
                <w:u w:val="none"/>
                <w:lang w:val="en-US" w:eastAsia="zh-CN" w:bidi="ar"/>
              </w:rPr>
              <w:t>（</w:t>
            </w:r>
            <w:r>
              <w:rPr>
                <w:rFonts w:hint="default" w:ascii="Times New Roman" w:hAnsi="Times New Roman" w:eastAsia="宋体" w:cs="Times New Roman"/>
                <w:i w:val="0"/>
                <w:iCs w:val="0"/>
                <w:color w:val="000000"/>
                <w:kern w:val="0"/>
                <w:sz w:val="20"/>
                <w:szCs w:val="20"/>
                <w:u w:val="none"/>
                <w:lang w:val="en-US" w:eastAsia="zh-CN" w:bidi="ar"/>
              </w:rPr>
              <w:t>mg/L</w:t>
            </w:r>
            <w:r>
              <w:rPr>
                <w:rFonts w:hint="eastAsia" w:ascii="Times New Roman" w:hAnsi="Times New Roman" w:eastAsia="宋体" w:cs="Times New Roman"/>
                <w:i w:val="0"/>
                <w:iCs w:val="0"/>
                <w:color w:val="000000"/>
                <w:kern w:val="0"/>
                <w:sz w:val="20"/>
                <w:szCs w:val="20"/>
                <w:u w:val="none"/>
                <w:lang w:val="en-US" w:eastAsia="zh-CN" w:bidi="ar"/>
              </w:rPr>
              <w:t>）</w:t>
            </w:r>
          </w:p>
        </w:tc>
        <w:tc>
          <w:tcPr>
            <w:tcW w:w="2522" w:type="pct"/>
            <w:noWrap w:val="0"/>
            <w:vAlign w:val="center"/>
          </w:tcPr>
          <w:p w14:paraId="525C781D">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kern w:val="0"/>
                <w:sz w:val="20"/>
                <w:szCs w:val="20"/>
                <w:u w:val="none"/>
                <w:lang w:val="en-US" w:eastAsia="zh-CN" w:bidi="ar"/>
              </w:rPr>
            </w:pPr>
            <w:r>
              <w:rPr>
                <w:rFonts w:hint="default" w:ascii="Times New Roman" w:hAnsi="Times New Roman" w:eastAsia="宋体" w:cs="Times New Roman"/>
                <w:i w:val="0"/>
                <w:iCs w:val="0"/>
                <w:color w:val="000000"/>
                <w:kern w:val="0"/>
                <w:sz w:val="20"/>
                <w:szCs w:val="20"/>
                <w:u w:val="none"/>
                <w:lang w:val="en-US" w:eastAsia="zh-CN" w:bidi="ar"/>
              </w:rPr>
              <w:t>≤20000</w:t>
            </w:r>
          </w:p>
        </w:tc>
      </w:tr>
      <w:tr w14:paraId="29DE691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594" w:type="pct"/>
            <w:noWrap w:val="0"/>
            <w:vAlign w:val="center"/>
          </w:tcPr>
          <w:p w14:paraId="64176907">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kern w:val="0"/>
                <w:sz w:val="20"/>
                <w:szCs w:val="20"/>
                <w:u w:val="none"/>
                <w:lang w:val="en-US" w:eastAsia="zh-CN" w:bidi="ar"/>
              </w:rPr>
            </w:pPr>
            <w:r>
              <w:rPr>
                <w:rFonts w:hint="default" w:ascii="Times New Roman" w:hAnsi="Times New Roman" w:eastAsia="宋体" w:cs="Times New Roman"/>
                <w:i w:val="0"/>
                <w:iCs w:val="0"/>
                <w:color w:val="000000"/>
                <w:kern w:val="0"/>
                <w:sz w:val="20"/>
                <w:szCs w:val="20"/>
                <w:u w:val="none"/>
                <w:lang w:val="en-US" w:eastAsia="zh-CN" w:bidi="ar"/>
              </w:rPr>
              <w:t>8</w:t>
            </w:r>
          </w:p>
        </w:tc>
        <w:tc>
          <w:tcPr>
            <w:tcW w:w="1882" w:type="pct"/>
            <w:noWrap w:val="0"/>
            <w:vAlign w:val="center"/>
          </w:tcPr>
          <w:p w14:paraId="579C7FF6">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kern w:val="0"/>
                <w:sz w:val="20"/>
                <w:szCs w:val="20"/>
                <w:u w:val="none"/>
                <w:lang w:val="en-US" w:eastAsia="zh-CN" w:bidi="ar"/>
              </w:rPr>
            </w:pPr>
            <w:r>
              <w:rPr>
                <w:rFonts w:hint="default" w:ascii="Times New Roman" w:hAnsi="Times New Roman" w:eastAsia="宋体" w:cs="Times New Roman"/>
                <w:i w:val="0"/>
                <w:iCs w:val="0"/>
                <w:color w:val="000000"/>
                <w:kern w:val="0"/>
                <w:sz w:val="20"/>
                <w:szCs w:val="20"/>
                <w:u w:val="none"/>
                <w:lang w:val="en-US" w:eastAsia="zh-CN" w:bidi="ar"/>
              </w:rPr>
              <w:t>PH</w:t>
            </w:r>
          </w:p>
        </w:tc>
        <w:tc>
          <w:tcPr>
            <w:tcW w:w="2522" w:type="pct"/>
            <w:noWrap w:val="0"/>
            <w:vAlign w:val="center"/>
          </w:tcPr>
          <w:p w14:paraId="399457BF">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kern w:val="0"/>
                <w:sz w:val="20"/>
                <w:szCs w:val="20"/>
                <w:u w:val="none"/>
                <w:lang w:val="en-US" w:eastAsia="zh-CN" w:bidi="ar"/>
              </w:rPr>
            </w:pPr>
            <w:r>
              <w:rPr>
                <w:rFonts w:hint="default" w:ascii="Times New Roman" w:hAnsi="Times New Roman" w:eastAsia="宋体" w:cs="Times New Roman"/>
                <w:i w:val="0"/>
                <w:iCs w:val="0"/>
                <w:color w:val="000000"/>
                <w:kern w:val="0"/>
                <w:sz w:val="20"/>
                <w:szCs w:val="20"/>
                <w:u w:val="none"/>
                <w:lang w:val="en-US" w:eastAsia="zh-CN" w:bidi="ar"/>
              </w:rPr>
              <w:t>6-9</w:t>
            </w:r>
          </w:p>
        </w:tc>
      </w:tr>
    </w:tbl>
    <w:p w14:paraId="06E10CC1">
      <w:pPr>
        <w:pStyle w:val="22"/>
        <w:bidi w:val="0"/>
      </w:pPr>
      <w:bookmarkStart w:id="27" w:name="_Toc185150564"/>
      <w:bookmarkStart w:id="28" w:name="_Toc493099925"/>
      <w:r>
        <w:rPr>
          <w:rFonts w:hint="eastAsia"/>
        </w:rPr>
        <w:t>2</w:t>
      </w:r>
      <w:r>
        <w:t>、设计出水水质</w:t>
      </w:r>
      <w:bookmarkEnd w:id="27"/>
      <w:bookmarkEnd w:id="28"/>
    </w:p>
    <w:p w14:paraId="7E374CFE">
      <w:pPr>
        <w:pStyle w:val="22"/>
        <w:bidi w:val="0"/>
      </w:pPr>
      <w:r>
        <w:t>出水水质执行《污水排入城市下水道水质标准》（GB/T31962-2015）B级标准。</w:t>
      </w:r>
    </w:p>
    <w:tbl>
      <w:tblPr>
        <w:tblStyle w:val="11"/>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736"/>
        <w:gridCol w:w="3532"/>
        <w:gridCol w:w="4132"/>
      </w:tblGrid>
      <w:tr w14:paraId="35B2C92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923" w:type="pct"/>
            <w:noWrap w:val="0"/>
            <w:vAlign w:val="center"/>
          </w:tcPr>
          <w:p w14:paraId="04E7E0AF">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kern w:val="0"/>
                <w:sz w:val="20"/>
                <w:szCs w:val="20"/>
                <w:u w:val="none"/>
                <w:lang w:val="en-US" w:eastAsia="zh-CN" w:bidi="ar"/>
              </w:rPr>
            </w:pPr>
            <w:r>
              <w:rPr>
                <w:rFonts w:hint="default" w:ascii="Times New Roman" w:hAnsi="Times New Roman" w:eastAsia="宋体" w:cs="Times New Roman"/>
                <w:i w:val="0"/>
                <w:iCs w:val="0"/>
                <w:color w:val="000000"/>
                <w:kern w:val="0"/>
                <w:sz w:val="20"/>
                <w:szCs w:val="20"/>
                <w:u w:val="none"/>
                <w:lang w:val="en-US" w:eastAsia="zh-CN" w:bidi="ar"/>
              </w:rPr>
              <w:t>序号</w:t>
            </w:r>
          </w:p>
        </w:tc>
        <w:tc>
          <w:tcPr>
            <w:tcW w:w="1878" w:type="pct"/>
            <w:noWrap w:val="0"/>
            <w:vAlign w:val="center"/>
          </w:tcPr>
          <w:p w14:paraId="562F4232">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kern w:val="0"/>
                <w:sz w:val="20"/>
                <w:szCs w:val="20"/>
                <w:u w:val="none"/>
                <w:lang w:val="en-US" w:eastAsia="zh-CN" w:bidi="ar"/>
              </w:rPr>
            </w:pPr>
            <w:r>
              <w:rPr>
                <w:rFonts w:hint="default" w:ascii="Times New Roman" w:hAnsi="Times New Roman" w:eastAsia="宋体" w:cs="Times New Roman"/>
                <w:i w:val="0"/>
                <w:iCs w:val="0"/>
                <w:color w:val="000000"/>
                <w:kern w:val="0"/>
                <w:sz w:val="20"/>
                <w:szCs w:val="20"/>
                <w:u w:val="none"/>
                <w:lang w:val="en-US" w:eastAsia="zh-CN" w:bidi="ar"/>
              </w:rPr>
              <w:t>控制污染物</w:t>
            </w:r>
          </w:p>
        </w:tc>
        <w:tc>
          <w:tcPr>
            <w:tcW w:w="2197" w:type="pct"/>
            <w:noWrap w:val="0"/>
            <w:vAlign w:val="center"/>
          </w:tcPr>
          <w:p w14:paraId="612949CC">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kern w:val="0"/>
                <w:sz w:val="20"/>
                <w:szCs w:val="20"/>
                <w:u w:val="none"/>
                <w:lang w:val="en-US" w:eastAsia="zh-CN" w:bidi="ar"/>
              </w:rPr>
            </w:pPr>
            <w:r>
              <w:rPr>
                <w:rFonts w:hint="default" w:ascii="Times New Roman" w:hAnsi="Times New Roman" w:eastAsia="宋体" w:cs="Times New Roman"/>
                <w:i w:val="0"/>
                <w:iCs w:val="0"/>
                <w:color w:val="000000"/>
                <w:kern w:val="0"/>
                <w:sz w:val="20"/>
                <w:szCs w:val="20"/>
                <w:u w:val="none"/>
                <w:lang w:val="en-US" w:eastAsia="zh-CN" w:bidi="ar"/>
              </w:rPr>
              <w:t>排放浓度限值</w:t>
            </w:r>
          </w:p>
        </w:tc>
      </w:tr>
      <w:tr w14:paraId="57FCFBE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923" w:type="pct"/>
            <w:noWrap w:val="0"/>
            <w:vAlign w:val="center"/>
          </w:tcPr>
          <w:p w14:paraId="63B1C18F">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kern w:val="0"/>
                <w:sz w:val="20"/>
                <w:szCs w:val="20"/>
                <w:u w:val="none"/>
                <w:lang w:val="en-US" w:eastAsia="zh-CN" w:bidi="ar"/>
              </w:rPr>
            </w:pPr>
            <w:r>
              <w:rPr>
                <w:rFonts w:hint="default" w:ascii="Times New Roman" w:hAnsi="Times New Roman" w:eastAsia="宋体" w:cs="Times New Roman"/>
                <w:i w:val="0"/>
                <w:iCs w:val="0"/>
                <w:color w:val="000000"/>
                <w:kern w:val="0"/>
                <w:sz w:val="20"/>
                <w:szCs w:val="20"/>
                <w:u w:val="none"/>
                <w:lang w:val="en-US" w:eastAsia="zh-CN" w:bidi="ar"/>
              </w:rPr>
              <w:t>1</w:t>
            </w:r>
          </w:p>
        </w:tc>
        <w:tc>
          <w:tcPr>
            <w:tcW w:w="1878" w:type="pct"/>
            <w:noWrap w:val="0"/>
            <w:vAlign w:val="center"/>
          </w:tcPr>
          <w:p w14:paraId="5EB7DA84">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kern w:val="0"/>
                <w:sz w:val="20"/>
                <w:szCs w:val="20"/>
                <w:u w:val="none"/>
                <w:lang w:val="en-US" w:eastAsia="zh-CN" w:bidi="ar"/>
              </w:rPr>
            </w:pPr>
            <w:r>
              <w:rPr>
                <w:rFonts w:hint="default" w:ascii="Times New Roman" w:hAnsi="Times New Roman" w:eastAsia="宋体" w:cs="Times New Roman"/>
                <w:i w:val="0"/>
                <w:iCs w:val="0"/>
                <w:color w:val="000000"/>
                <w:kern w:val="0"/>
                <w:sz w:val="20"/>
                <w:szCs w:val="20"/>
                <w:u w:val="none"/>
                <w:lang w:val="en-US" w:eastAsia="zh-CN" w:bidi="ar"/>
              </w:rPr>
              <w:t>CODcr</w:t>
            </w:r>
          </w:p>
        </w:tc>
        <w:tc>
          <w:tcPr>
            <w:tcW w:w="2197" w:type="pct"/>
            <w:noWrap w:val="0"/>
            <w:vAlign w:val="center"/>
          </w:tcPr>
          <w:p w14:paraId="4CAE79F9">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kern w:val="0"/>
                <w:sz w:val="20"/>
                <w:szCs w:val="20"/>
                <w:u w:val="none"/>
                <w:lang w:val="en-US" w:eastAsia="zh-CN" w:bidi="ar"/>
              </w:rPr>
            </w:pPr>
            <w:r>
              <w:rPr>
                <w:rFonts w:hint="default" w:ascii="Times New Roman" w:hAnsi="Times New Roman" w:eastAsia="宋体" w:cs="Times New Roman"/>
                <w:i w:val="0"/>
                <w:iCs w:val="0"/>
                <w:color w:val="000000"/>
                <w:kern w:val="0"/>
                <w:sz w:val="20"/>
                <w:szCs w:val="20"/>
                <w:u w:val="none"/>
                <w:lang w:val="en-US" w:eastAsia="zh-CN" w:bidi="ar"/>
              </w:rPr>
              <w:t>≤500mg/L</w:t>
            </w:r>
          </w:p>
        </w:tc>
      </w:tr>
      <w:tr w14:paraId="7992E7E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923" w:type="pct"/>
            <w:noWrap w:val="0"/>
            <w:vAlign w:val="center"/>
          </w:tcPr>
          <w:p w14:paraId="6FC2512C">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kern w:val="0"/>
                <w:sz w:val="20"/>
                <w:szCs w:val="20"/>
                <w:u w:val="none"/>
                <w:lang w:val="en-US" w:eastAsia="zh-CN" w:bidi="ar"/>
              </w:rPr>
            </w:pPr>
            <w:r>
              <w:rPr>
                <w:rFonts w:hint="default" w:ascii="Times New Roman" w:hAnsi="Times New Roman" w:eastAsia="宋体" w:cs="Times New Roman"/>
                <w:i w:val="0"/>
                <w:iCs w:val="0"/>
                <w:color w:val="000000"/>
                <w:kern w:val="0"/>
                <w:sz w:val="20"/>
                <w:szCs w:val="20"/>
                <w:u w:val="none"/>
                <w:lang w:val="en-US" w:eastAsia="zh-CN" w:bidi="ar"/>
              </w:rPr>
              <w:t>2</w:t>
            </w:r>
          </w:p>
        </w:tc>
        <w:tc>
          <w:tcPr>
            <w:tcW w:w="1878" w:type="pct"/>
            <w:noWrap w:val="0"/>
            <w:vAlign w:val="center"/>
          </w:tcPr>
          <w:p w14:paraId="405B2E94">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kern w:val="0"/>
                <w:sz w:val="20"/>
                <w:szCs w:val="20"/>
                <w:u w:val="none"/>
                <w:lang w:val="en-US" w:eastAsia="zh-CN" w:bidi="ar"/>
              </w:rPr>
            </w:pPr>
            <w:r>
              <w:rPr>
                <w:rFonts w:hint="default" w:ascii="Times New Roman" w:hAnsi="Times New Roman" w:eastAsia="宋体" w:cs="Times New Roman"/>
                <w:i w:val="0"/>
                <w:iCs w:val="0"/>
                <w:color w:val="000000"/>
                <w:kern w:val="0"/>
                <w:sz w:val="20"/>
                <w:szCs w:val="20"/>
                <w:u w:val="none"/>
                <w:lang w:val="en-US" w:eastAsia="zh-CN" w:bidi="ar"/>
              </w:rPr>
              <w:t>BOD5</w:t>
            </w:r>
          </w:p>
        </w:tc>
        <w:tc>
          <w:tcPr>
            <w:tcW w:w="2197" w:type="pct"/>
            <w:noWrap w:val="0"/>
            <w:vAlign w:val="center"/>
          </w:tcPr>
          <w:p w14:paraId="042839B1">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kern w:val="0"/>
                <w:sz w:val="20"/>
                <w:szCs w:val="20"/>
                <w:u w:val="none"/>
                <w:lang w:val="en-US" w:eastAsia="zh-CN" w:bidi="ar"/>
              </w:rPr>
            </w:pPr>
            <w:r>
              <w:rPr>
                <w:rFonts w:hint="default" w:ascii="Times New Roman" w:hAnsi="Times New Roman" w:eastAsia="宋体" w:cs="Times New Roman"/>
                <w:i w:val="0"/>
                <w:iCs w:val="0"/>
                <w:color w:val="000000"/>
                <w:kern w:val="0"/>
                <w:sz w:val="20"/>
                <w:szCs w:val="20"/>
                <w:u w:val="none"/>
                <w:lang w:val="en-US" w:eastAsia="zh-CN" w:bidi="ar"/>
              </w:rPr>
              <w:t>≤300mg/L</w:t>
            </w:r>
          </w:p>
        </w:tc>
      </w:tr>
      <w:tr w14:paraId="61DA29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923" w:type="pct"/>
            <w:noWrap w:val="0"/>
            <w:vAlign w:val="center"/>
          </w:tcPr>
          <w:p w14:paraId="2A1A7AF3">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kern w:val="0"/>
                <w:sz w:val="20"/>
                <w:szCs w:val="20"/>
                <w:u w:val="none"/>
                <w:lang w:val="en-US" w:eastAsia="zh-CN" w:bidi="ar"/>
              </w:rPr>
            </w:pPr>
            <w:r>
              <w:rPr>
                <w:rFonts w:hint="default" w:ascii="Times New Roman" w:hAnsi="Times New Roman" w:eastAsia="宋体" w:cs="Times New Roman"/>
                <w:i w:val="0"/>
                <w:iCs w:val="0"/>
                <w:color w:val="000000"/>
                <w:kern w:val="0"/>
                <w:sz w:val="20"/>
                <w:szCs w:val="20"/>
                <w:u w:val="none"/>
                <w:lang w:val="en-US" w:eastAsia="zh-CN" w:bidi="ar"/>
              </w:rPr>
              <w:t>3</w:t>
            </w:r>
          </w:p>
        </w:tc>
        <w:tc>
          <w:tcPr>
            <w:tcW w:w="1878" w:type="pct"/>
            <w:noWrap w:val="0"/>
            <w:vAlign w:val="center"/>
          </w:tcPr>
          <w:p w14:paraId="73434539">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kern w:val="0"/>
                <w:sz w:val="20"/>
                <w:szCs w:val="20"/>
                <w:u w:val="none"/>
                <w:lang w:val="en-US" w:eastAsia="zh-CN" w:bidi="ar"/>
              </w:rPr>
            </w:pPr>
            <w:r>
              <w:rPr>
                <w:rFonts w:hint="default" w:ascii="Times New Roman" w:hAnsi="Times New Roman" w:eastAsia="宋体" w:cs="Times New Roman"/>
                <w:i w:val="0"/>
                <w:iCs w:val="0"/>
                <w:color w:val="000000"/>
                <w:kern w:val="0"/>
                <w:sz w:val="20"/>
                <w:szCs w:val="20"/>
                <w:u w:val="none"/>
                <w:lang w:val="en-US" w:eastAsia="zh-CN" w:bidi="ar"/>
              </w:rPr>
              <w:t>NH3-N</w:t>
            </w:r>
          </w:p>
        </w:tc>
        <w:tc>
          <w:tcPr>
            <w:tcW w:w="2197" w:type="pct"/>
            <w:noWrap w:val="0"/>
            <w:vAlign w:val="center"/>
          </w:tcPr>
          <w:p w14:paraId="76B941E8">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kern w:val="0"/>
                <w:sz w:val="20"/>
                <w:szCs w:val="20"/>
                <w:u w:val="none"/>
                <w:lang w:val="en-US" w:eastAsia="zh-CN" w:bidi="ar"/>
              </w:rPr>
            </w:pPr>
            <w:r>
              <w:rPr>
                <w:rFonts w:hint="default" w:ascii="Times New Roman" w:hAnsi="Times New Roman" w:eastAsia="宋体" w:cs="Times New Roman"/>
                <w:i w:val="0"/>
                <w:iCs w:val="0"/>
                <w:color w:val="000000"/>
                <w:kern w:val="0"/>
                <w:sz w:val="20"/>
                <w:szCs w:val="20"/>
                <w:u w:val="none"/>
                <w:lang w:val="en-US" w:eastAsia="zh-CN" w:bidi="ar"/>
              </w:rPr>
              <w:t>≤45mg/L</w:t>
            </w:r>
          </w:p>
        </w:tc>
      </w:tr>
      <w:tr w14:paraId="04289CD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923" w:type="pct"/>
            <w:noWrap w:val="0"/>
            <w:vAlign w:val="center"/>
          </w:tcPr>
          <w:p w14:paraId="5379205A">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kern w:val="0"/>
                <w:sz w:val="20"/>
                <w:szCs w:val="20"/>
                <w:u w:val="none"/>
                <w:lang w:val="en-US" w:eastAsia="zh-CN" w:bidi="ar"/>
              </w:rPr>
            </w:pPr>
            <w:r>
              <w:rPr>
                <w:rFonts w:hint="default" w:ascii="Times New Roman" w:hAnsi="Times New Roman" w:eastAsia="宋体" w:cs="Times New Roman"/>
                <w:i w:val="0"/>
                <w:iCs w:val="0"/>
                <w:color w:val="000000"/>
                <w:kern w:val="0"/>
                <w:sz w:val="20"/>
                <w:szCs w:val="20"/>
                <w:u w:val="none"/>
                <w:lang w:val="en-US" w:eastAsia="zh-CN" w:bidi="ar"/>
              </w:rPr>
              <w:t>4</w:t>
            </w:r>
          </w:p>
        </w:tc>
        <w:tc>
          <w:tcPr>
            <w:tcW w:w="1878" w:type="pct"/>
            <w:noWrap w:val="0"/>
            <w:vAlign w:val="center"/>
          </w:tcPr>
          <w:p w14:paraId="340FD365">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kern w:val="0"/>
                <w:sz w:val="20"/>
                <w:szCs w:val="20"/>
                <w:u w:val="none"/>
                <w:lang w:val="en-US" w:eastAsia="zh-CN" w:bidi="ar"/>
              </w:rPr>
            </w:pPr>
            <w:r>
              <w:rPr>
                <w:rFonts w:hint="default" w:ascii="Times New Roman" w:hAnsi="Times New Roman" w:eastAsia="宋体" w:cs="Times New Roman"/>
                <w:i w:val="0"/>
                <w:iCs w:val="0"/>
                <w:color w:val="000000"/>
                <w:kern w:val="0"/>
                <w:sz w:val="20"/>
                <w:szCs w:val="20"/>
                <w:u w:val="none"/>
                <w:lang w:val="en-US" w:eastAsia="zh-CN" w:bidi="ar"/>
              </w:rPr>
              <w:t>SS</w:t>
            </w:r>
          </w:p>
        </w:tc>
        <w:tc>
          <w:tcPr>
            <w:tcW w:w="2197" w:type="pct"/>
            <w:noWrap w:val="0"/>
            <w:vAlign w:val="center"/>
          </w:tcPr>
          <w:p w14:paraId="2E879FD8">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kern w:val="0"/>
                <w:sz w:val="20"/>
                <w:szCs w:val="20"/>
                <w:u w:val="none"/>
                <w:lang w:val="en-US" w:eastAsia="zh-CN" w:bidi="ar"/>
              </w:rPr>
            </w:pPr>
            <w:r>
              <w:rPr>
                <w:rFonts w:hint="default" w:ascii="Times New Roman" w:hAnsi="Times New Roman" w:eastAsia="宋体" w:cs="Times New Roman"/>
                <w:i w:val="0"/>
                <w:iCs w:val="0"/>
                <w:color w:val="000000"/>
                <w:kern w:val="0"/>
                <w:sz w:val="20"/>
                <w:szCs w:val="20"/>
                <w:u w:val="none"/>
                <w:lang w:val="en-US" w:eastAsia="zh-CN" w:bidi="ar"/>
              </w:rPr>
              <w:t>≤400mg/L</w:t>
            </w:r>
          </w:p>
        </w:tc>
      </w:tr>
      <w:tr w14:paraId="0954DE3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923" w:type="pct"/>
            <w:noWrap w:val="0"/>
            <w:vAlign w:val="center"/>
          </w:tcPr>
          <w:p w14:paraId="022CC291">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kern w:val="0"/>
                <w:sz w:val="20"/>
                <w:szCs w:val="20"/>
                <w:u w:val="none"/>
                <w:lang w:val="en-US" w:eastAsia="zh-CN" w:bidi="ar"/>
              </w:rPr>
            </w:pPr>
            <w:r>
              <w:rPr>
                <w:rFonts w:hint="default" w:ascii="Times New Roman" w:hAnsi="Times New Roman" w:eastAsia="宋体" w:cs="Times New Roman"/>
                <w:i w:val="0"/>
                <w:iCs w:val="0"/>
                <w:color w:val="000000"/>
                <w:kern w:val="0"/>
                <w:sz w:val="20"/>
                <w:szCs w:val="20"/>
                <w:u w:val="none"/>
                <w:lang w:val="en-US" w:eastAsia="zh-CN" w:bidi="ar"/>
              </w:rPr>
              <w:t>5</w:t>
            </w:r>
          </w:p>
        </w:tc>
        <w:tc>
          <w:tcPr>
            <w:tcW w:w="1878" w:type="pct"/>
            <w:noWrap w:val="0"/>
            <w:vAlign w:val="center"/>
          </w:tcPr>
          <w:p w14:paraId="216F8DC7">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kern w:val="0"/>
                <w:sz w:val="20"/>
                <w:szCs w:val="20"/>
                <w:u w:val="none"/>
                <w:lang w:val="en-US" w:eastAsia="zh-CN" w:bidi="ar"/>
              </w:rPr>
            </w:pPr>
            <w:r>
              <w:rPr>
                <w:rFonts w:hint="eastAsia" w:ascii="Times New Roman" w:hAnsi="Times New Roman" w:eastAsia="宋体" w:cs="Times New Roman"/>
                <w:i w:val="0"/>
                <w:iCs w:val="0"/>
                <w:color w:val="000000"/>
                <w:kern w:val="0"/>
                <w:sz w:val="20"/>
                <w:szCs w:val="20"/>
                <w:u w:val="none"/>
                <w:lang w:val="en-US" w:eastAsia="zh-CN" w:bidi="ar"/>
              </w:rPr>
              <w:t>T</w:t>
            </w:r>
            <w:r>
              <w:rPr>
                <w:rFonts w:hint="default" w:ascii="Times New Roman" w:hAnsi="Times New Roman" w:eastAsia="宋体" w:cs="Times New Roman"/>
                <w:i w:val="0"/>
                <w:iCs w:val="0"/>
                <w:color w:val="000000"/>
                <w:kern w:val="0"/>
                <w:sz w:val="20"/>
                <w:szCs w:val="20"/>
                <w:u w:val="none"/>
                <w:lang w:val="en-US" w:eastAsia="zh-CN" w:bidi="ar"/>
              </w:rPr>
              <w:t>P</w:t>
            </w:r>
          </w:p>
        </w:tc>
        <w:tc>
          <w:tcPr>
            <w:tcW w:w="2197" w:type="pct"/>
            <w:noWrap w:val="0"/>
            <w:vAlign w:val="center"/>
          </w:tcPr>
          <w:p w14:paraId="1BBD852F">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kern w:val="0"/>
                <w:sz w:val="20"/>
                <w:szCs w:val="20"/>
                <w:u w:val="none"/>
                <w:lang w:val="en-US" w:eastAsia="zh-CN" w:bidi="ar"/>
              </w:rPr>
            </w:pPr>
            <w:r>
              <w:rPr>
                <w:rFonts w:hint="default" w:ascii="Times New Roman" w:hAnsi="Times New Roman" w:eastAsia="宋体" w:cs="Times New Roman"/>
                <w:i w:val="0"/>
                <w:iCs w:val="0"/>
                <w:color w:val="000000"/>
                <w:kern w:val="0"/>
                <w:sz w:val="20"/>
                <w:szCs w:val="20"/>
                <w:u w:val="none"/>
                <w:lang w:val="en-US" w:eastAsia="zh-CN" w:bidi="ar"/>
              </w:rPr>
              <w:t>≤8mg/L</w:t>
            </w:r>
          </w:p>
        </w:tc>
      </w:tr>
      <w:tr w14:paraId="5C2B506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923" w:type="pct"/>
            <w:noWrap w:val="0"/>
            <w:vAlign w:val="center"/>
          </w:tcPr>
          <w:p w14:paraId="371E454D">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kern w:val="0"/>
                <w:sz w:val="20"/>
                <w:szCs w:val="20"/>
                <w:u w:val="none"/>
                <w:lang w:val="en-US" w:eastAsia="zh-CN" w:bidi="ar"/>
              </w:rPr>
            </w:pPr>
            <w:r>
              <w:rPr>
                <w:rFonts w:hint="default" w:ascii="Times New Roman" w:hAnsi="Times New Roman" w:eastAsia="宋体" w:cs="Times New Roman"/>
                <w:i w:val="0"/>
                <w:iCs w:val="0"/>
                <w:color w:val="000000"/>
                <w:kern w:val="0"/>
                <w:sz w:val="20"/>
                <w:szCs w:val="20"/>
                <w:u w:val="none"/>
                <w:lang w:val="en-US" w:eastAsia="zh-CN" w:bidi="ar"/>
              </w:rPr>
              <w:t>6</w:t>
            </w:r>
          </w:p>
        </w:tc>
        <w:tc>
          <w:tcPr>
            <w:tcW w:w="1878" w:type="pct"/>
            <w:noWrap w:val="0"/>
            <w:vAlign w:val="center"/>
          </w:tcPr>
          <w:p w14:paraId="627A13FA">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kern w:val="0"/>
                <w:sz w:val="20"/>
                <w:szCs w:val="20"/>
                <w:u w:val="none"/>
                <w:lang w:val="en-US" w:eastAsia="zh-CN" w:bidi="ar"/>
              </w:rPr>
            </w:pPr>
            <w:r>
              <w:rPr>
                <w:rFonts w:hint="default" w:ascii="Times New Roman" w:hAnsi="Times New Roman" w:eastAsia="宋体" w:cs="Times New Roman"/>
                <w:i w:val="0"/>
                <w:iCs w:val="0"/>
                <w:color w:val="000000"/>
                <w:kern w:val="0"/>
                <w:sz w:val="20"/>
                <w:szCs w:val="20"/>
                <w:u w:val="none"/>
                <w:lang w:val="en-US" w:eastAsia="zh-CN" w:bidi="ar"/>
              </w:rPr>
              <w:t>PH</w:t>
            </w:r>
          </w:p>
        </w:tc>
        <w:tc>
          <w:tcPr>
            <w:tcW w:w="2197" w:type="pct"/>
            <w:noWrap w:val="0"/>
            <w:vAlign w:val="center"/>
          </w:tcPr>
          <w:p w14:paraId="78850475">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kern w:val="0"/>
                <w:sz w:val="20"/>
                <w:szCs w:val="20"/>
                <w:u w:val="none"/>
                <w:lang w:val="en-US" w:eastAsia="zh-CN" w:bidi="ar"/>
              </w:rPr>
            </w:pPr>
            <w:r>
              <w:rPr>
                <w:rFonts w:hint="default" w:ascii="Times New Roman" w:hAnsi="Times New Roman" w:eastAsia="宋体" w:cs="Times New Roman"/>
                <w:i w:val="0"/>
                <w:iCs w:val="0"/>
                <w:color w:val="000000"/>
                <w:kern w:val="0"/>
                <w:sz w:val="20"/>
                <w:szCs w:val="20"/>
                <w:u w:val="none"/>
                <w:lang w:val="en-US" w:eastAsia="zh-CN" w:bidi="ar"/>
              </w:rPr>
              <w:t>6～9</w:t>
            </w:r>
          </w:p>
        </w:tc>
      </w:tr>
      <w:tr w14:paraId="32B399F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923" w:type="pct"/>
            <w:noWrap w:val="0"/>
            <w:vAlign w:val="center"/>
          </w:tcPr>
          <w:p w14:paraId="4F79D0B9">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kern w:val="0"/>
                <w:sz w:val="20"/>
                <w:szCs w:val="20"/>
                <w:u w:val="none"/>
                <w:lang w:val="en-US" w:eastAsia="zh-CN" w:bidi="ar"/>
              </w:rPr>
            </w:pPr>
            <w:r>
              <w:rPr>
                <w:rFonts w:hint="default" w:ascii="Times New Roman" w:hAnsi="Times New Roman" w:eastAsia="宋体" w:cs="Times New Roman"/>
                <w:i w:val="0"/>
                <w:iCs w:val="0"/>
                <w:color w:val="000000"/>
                <w:kern w:val="0"/>
                <w:sz w:val="20"/>
                <w:szCs w:val="20"/>
                <w:u w:val="none"/>
                <w:lang w:val="en-US" w:eastAsia="zh-CN" w:bidi="ar"/>
              </w:rPr>
              <w:t>7</w:t>
            </w:r>
          </w:p>
        </w:tc>
        <w:tc>
          <w:tcPr>
            <w:tcW w:w="1878" w:type="pct"/>
            <w:noWrap w:val="0"/>
            <w:vAlign w:val="center"/>
          </w:tcPr>
          <w:p w14:paraId="7B5892C4">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kern w:val="0"/>
                <w:sz w:val="20"/>
                <w:szCs w:val="20"/>
                <w:u w:val="none"/>
                <w:lang w:val="en-US" w:eastAsia="zh-CN" w:bidi="ar"/>
              </w:rPr>
            </w:pPr>
            <w:r>
              <w:rPr>
                <w:rFonts w:hint="default" w:ascii="Times New Roman" w:hAnsi="Times New Roman" w:eastAsia="宋体" w:cs="Times New Roman"/>
                <w:i w:val="0"/>
                <w:iCs w:val="0"/>
                <w:color w:val="000000"/>
                <w:kern w:val="0"/>
                <w:sz w:val="20"/>
                <w:szCs w:val="20"/>
                <w:u w:val="none"/>
                <w:lang w:val="en-US" w:eastAsia="zh-CN" w:bidi="ar"/>
              </w:rPr>
              <w:t>总汞</w:t>
            </w:r>
          </w:p>
        </w:tc>
        <w:tc>
          <w:tcPr>
            <w:tcW w:w="2197" w:type="pct"/>
            <w:noWrap w:val="0"/>
            <w:vAlign w:val="center"/>
          </w:tcPr>
          <w:p w14:paraId="02939B54">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kern w:val="0"/>
                <w:sz w:val="20"/>
                <w:szCs w:val="20"/>
                <w:u w:val="none"/>
                <w:lang w:val="en-US" w:eastAsia="zh-CN" w:bidi="ar"/>
              </w:rPr>
            </w:pPr>
            <w:r>
              <w:rPr>
                <w:rFonts w:hint="default" w:ascii="Times New Roman" w:hAnsi="Times New Roman" w:eastAsia="宋体" w:cs="Times New Roman"/>
                <w:i w:val="0"/>
                <w:iCs w:val="0"/>
                <w:color w:val="000000"/>
                <w:kern w:val="0"/>
                <w:sz w:val="20"/>
                <w:szCs w:val="20"/>
                <w:u w:val="none"/>
                <w:lang w:val="en-US" w:eastAsia="zh-CN" w:bidi="ar"/>
              </w:rPr>
              <w:t>≤0.001 mg/L</w:t>
            </w:r>
          </w:p>
        </w:tc>
      </w:tr>
      <w:tr w14:paraId="7B2AFD3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923" w:type="pct"/>
            <w:noWrap w:val="0"/>
            <w:vAlign w:val="center"/>
          </w:tcPr>
          <w:p w14:paraId="7BBFC421">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kern w:val="0"/>
                <w:sz w:val="20"/>
                <w:szCs w:val="20"/>
                <w:u w:val="none"/>
                <w:lang w:val="en-US" w:eastAsia="zh-CN" w:bidi="ar"/>
              </w:rPr>
            </w:pPr>
            <w:r>
              <w:rPr>
                <w:rFonts w:hint="default" w:ascii="Times New Roman" w:hAnsi="Times New Roman" w:eastAsia="宋体" w:cs="Times New Roman"/>
                <w:i w:val="0"/>
                <w:iCs w:val="0"/>
                <w:color w:val="000000"/>
                <w:kern w:val="0"/>
                <w:sz w:val="20"/>
                <w:szCs w:val="20"/>
                <w:u w:val="none"/>
                <w:lang w:val="en-US" w:eastAsia="zh-CN" w:bidi="ar"/>
              </w:rPr>
              <w:t>8</w:t>
            </w:r>
          </w:p>
        </w:tc>
        <w:tc>
          <w:tcPr>
            <w:tcW w:w="1878" w:type="pct"/>
            <w:noWrap w:val="0"/>
            <w:vAlign w:val="center"/>
          </w:tcPr>
          <w:p w14:paraId="3A62F756">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kern w:val="0"/>
                <w:sz w:val="20"/>
                <w:szCs w:val="20"/>
                <w:u w:val="none"/>
                <w:lang w:val="en-US" w:eastAsia="zh-CN" w:bidi="ar"/>
              </w:rPr>
            </w:pPr>
            <w:r>
              <w:rPr>
                <w:rFonts w:hint="default" w:ascii="Times New Roman" w:hAnsi="Times New Roman" w:eastAsia="宋体" w:cs="Times New Roman"/>
                <w:i w:val="0"/>
                <w:iCs w:val="0"/>
                <w:color w:val="000000"/>
                <w:kern w:val="0"/>
                <w:sz w:val="20"/>
                <w:szCs w:val="20"/>
                <w:u w:val="none"/>
                <w:lang w:val="en-US" w:eastAsia="zh-CN" w:bidi="ar"/>
              </w:rPr>
              <w:t>总镉</w:t>
            </w:r>
          </w:p>
        </w:tc>
        <w:tc>
          <w:tcPr>
            <w:tcW w:w="2197" w:type="pct"/>
            <w:noWrap w:val="0"/>
            <w:vAlign w:val="center"/>
          </w:tcPr>
          <w:p w14:paraId="30A5FCCC">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kern w:val="0"/>
                <w:sz w:val="20"/>
                <w:szCs w:val="20"/>
                <w:u w:val="none"/>
                <w:lang w:val="en-US" w:eastAsia="zh-CN" w:bidi="ar"/>
              </w:rPr>
            </w:pPr>
            <w:r>
              <w:rPr>
                <w:rFonts w:hint="default" w:ascii="Times New Roman" w:hAnsi="Times New Roman" w:eastAsia="宋体" w:cs="Times New Roman"/>
                <w:i w:val="0"/>
                <w:iCs w:val="0"/>
                <w:color w:val="000000"/>
                <w:kern w:val="0"/>
                <w:sz w:val="20"/>
                <w:szCs w:val="20"/>
                <w:u w:val="none"/>
                <w:lang w:val="en-US" w:eastAsia="zh-CN" w:bidi="ar"/>
              </w:rPr>
              <w:t>≤0.01mg/L</w:t>
            </w:r>
          </w:p>
        </w:tc>
      </w:tr>
      <w:tr w14:paraId="7069A9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923" w:type="pct"/>
            <w:noWrap w:val="0"/>
            <w:vAlign w:val="center"/>
          </w:tcPr>
          <w:p w14:paraId="558780F2">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kern w:val="0"/>
                <w:sz w:val="20"/>
                <w:szCs w:val="20"/>
                <w:u w:val="none"/>
                <w:lang w:val="en-US" w:eastAsia="zh-CN" w:bidi="ar"/>
              </w:rPr>
            </w:pPr>
            <w:r>
              <w:rPr>
                <w:rFonts w:hint="default" w:ascii="Times New Roman" w:hAnsi="Times New Roman" w:eastAsia="宋体" w:cs="Times New Roman"/>
                <w:i w:val="0"/>
                <w:iCs w:val="0"/>
                <w:color w:val="000000"/>
                <w:kern w:val="0"/>
                <w:sz w:val="20"/>
                <w:szCs w:val="20"/>
                <w:u w:val="none"/>
                <w:lang w:val="en-US" w:eastAsia="zh-CN" w:bidi="ar"/>
              </w:rPr>
              <w:t>9</w:t>
            </w:r>
          </w:p>
        </w:tc>
        <w:tc>
          <w:tcPr>
            <w:tcW w:w="1878" w:type="pct"/>
            <w:noWrap w:val="0"/>
            <w:vAlign w:val="center"/>
          </w:tcPr>
          <w:p w14:paraId="50F08CE9">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kern w:val="0"/>
                <w:sz w:val="20"/>
                <w:szCs w:val="20"/>
                <w:u w:val="none"/>
                <w:lang w:val="en-US" w:eastAsia="zh-CN" w:bidi="ar"/>
              </w:rPr>
            </w:pPr>
            <w:r>
              <w:rPr>
                <w:rFonts w:hint="default" w:ascii="Times New Roman" w:hAnsi="Times New Roman" w:eastAsia="宋体" w:cs="Times New Roman"/>
                <w:i w:val="0"/>
                <w:iCs w:val="0"/>
                <w:color w:val="000000"/>
                <w:kern w:val="0"/>
                <w:sz w:val="20"/>
                <w:szCs w:val="20"/>
                <w:u w:val="none"/>
                <w:lang w:val="en-US" w:eastAsia="zh-CN" w:bidi="ar"/>
              </w:rPr>
              <w:t>总铬</w:t>
            </w:r>
          </w:p>
        </w:tc>
        <w:tc>
          <w:tcPr>
            <w:tcW w:w="2197" w:type="pct"/>
            <w:noWrap w:val="0"/>
            <w:vAlign w:val="center"/>
          </w:tcPr>
          <w:p w14:paraId="4AC8F60F">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kern w:val="0"/>
                <w:sz w:val="20"/>
                <w:szCs w:val="20"/>
                <w:u w:val="none"/>
                <w:lang w:val="en-US" w:eastAsia="zh-CN" w:bidi="ar"/>
              </w:rPr>
            </w:pPr>
            <w:r>
              <w:rPr>
                <w:rFonts w:hint="default" w:ascii="Times New Roman" w:hAnsi="Times New Roman" w:eastAsia="宋体" w:cs="Times New Roman"/>
                <w:i w:val="0"/>
                <w:iCs w:val="0"/>
                <w:color w:val="000000"/>
                <w:kern w:val="0"/>
                <w:sz w:val="20"/>
                <w:szCs w:val="20"/>
                <w:u w:val="none"/>
                <w:lang w:val="en-US" w:eastAsia="zh-CN" w:bidi="ar"/>
              </w:rPr>
              <w:t>≤0.1mg/L</w:t>
            </w:r>
          </w:p>
        </w:tc>
      </w:tr>
      <w:tr w14:paraId="14DF508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923" w:type="pct"/>
            <w:noWrap w:val="0"/>
            <w:vAlign w:val="center"/>
          </w:tcPr>
          <w:p w14:paraId="4D92BC81">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kern w:val="0"/>
                <w:sz w:val="20"/>
                <w:szCs w:val="20"/>
                <w:u w:val="none"/>
                <w:lang w:val="en-US" w:eastAsia="zh-CN" w:bidi="ar"/>
              </w:rPr>
            </w:pPr>
            <w:r>
              <w:rPr>
                <w:rFonts w:hint="default" w:ascii="Times New Roman" w:hAnsi="Times New Roman" w:eastAsia="宋体" w:cs="Times New Roman"/>
                <w:i w:val="0"/>
                <w:iCs w:val="0"/>
                <w:color w:val="000000"/>
                <w:kern w:val="0"/>
                <w:sz w:val="20"/>
                <w:szCs w:val="20"/>
                <w:u w:val="none"/>
                <w:lang w:val="en-US" w:eastAsia="zh-CN" w:bidi="ar"/>
              </w:rPr>
              <w:t>10</w:t>
            </w:r>
          </w:p>
        </w:tc>
        <w:tc>
          <w:tcPr>
            <w:tcW w:w="1878" w:type="pct"/>
            <w:noWrap w:val="0"/>
            <w:vAlign w:val="center"/>
          </w:tcPr>
          <w:p w14:paraId="102B1D15">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kern w:val="0"/>
                <w:sz w:val="20"/>
                <w:szCs w:val="20"/>
                <w:u w:val="none"/>
                <w:lang w:val="en-US" w:eastAsia="zh-CN" w:bidi="ar"/>
              </w:rPr>
            </w:pPr>
            <w:r>
              <w:rPr>
                <w:rFonts w:hint="default" w:ascii="Times New Roman" w:hAnsi="Times New Roman" w:eastAsia="宋体" w:cs="Times New Roman"/>
                <w:i w:val="0"/>
                <w:iCs w:val="0"/>
                <w:color w:val="000000"/>
                <w:kern w:val="0"/>
                <w:sz w:val="20"/>
                <w:szCs w:val="20"/>
                <w:u w:val="none"/>
                <w:lang w:val="en-US" w:eastAsia="zh-CN" w:bidi="ar"/>
              </w:rPr>
              <w:t>六价铬</w:t>
            </w:r>
          </w:p>
        </w:tc>
        <w:tc>
          <w:tcPr>
            <w:tcW w:w="2197" w:type="pct"/>
            <w:noWrap w:val="0"/>
            <w:vAlign w:val="center"/>
          </w:tcPr>
          <w:p w14:paraId="2A6E337F">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kern w:val="0"/>
                <w:sz w:val="20"/>
                <w:szCs w:val="20"/>
                <w:u w:val="none"/>
                <w:lang w:val="en-US" w:eastAsia="zh-CN" w:bidi="ar"/>
              </w:rPr>
            </w:pPr>
            <w:r>
              <w:rPr>
                <w:rFonts w:hint="default" w:ascii="Times New Roman" w:hAnsi="Times New Roman" w:eastAsia="宋体" w:cs="Times New Roman"/>
                <w:i w:val="0"/>
                <w:iCs w:val="0"/>
                <w:color w:val="000000"/>
                <w:kern w:val="0"/>
                <w:sz w:val="20"/>
                <w:szCs w:val="20"/>
                <w:u w:val="none"/>
                <w:lang w:val="en-US" w:eastAsia="zh-CN" w:bidi="ar"/>
              </w:rPr>
              <w:t>≤0.05mg/L</w:t>
            </w:r>
          </w:p>
        </w:tc>
      </w:tr>
      <w:tr w14:paraId="0F6BA52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923" w:type="pct"/>
            <w:noWrap w:val="0"/>
            <w:vAlign w:val="center"/>
          </w:tcPr>
          <w:p w14:paraId="11E5E1D5">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kern w:val="0"/>
                <w:sz w:val="20"/>
                <w:szCs w:val="20"/>
                <w:u w:val="none"/>
                <w:lang w:val="en-US" w:eastAsia="zh-CN" w:bidi="ar"/>
              </w:rPr>
            </w:pPr>
            <w:r>
              <w:rPr>
                <w:rFonts w:hint="default" w:ascii="Times New Roman" w:hAnsi="Times New Roman" w:eastAsia="宋体" w:cs="Times New Roman"/>
                <w:i w:val="0"/>
                <w:iCs w:val="0"/>
                <w:color w:val="000000"/>
                <w:kern w:val="0"/>
                <w:sz w:val="20"/>
                <w:szCs w:val="20"/>
                <w:u w:val="none"/>
                <w:lang w:val="en-US" w:eastAsia="zh-CN" w:bidi="ar"/>
              </w:rPr>
              <w:t>11</w:t>
            </w:r>
          </w:p>
        </w:tc>
        <w:tc>
          <w:tcPr>
            <w:tcW w:w="1878" w:type="pct"/>
            <w:noWrap w:val="0"/>
            <w:vAlign w:val="center"/>
          </w:tcPr>
          <w:p w14:paraId="38777FE5">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kern w:val="0"/>
                <w:sz w:val="20"/>
                <w:szCs w:val="20"/>
                <w:u w:val="none"/>
                <w:lang w:val="en-US" w:eastAsia="zh-CN" w:bidi="ar"/>
              </w:rPr>
            </w:pPr>
            <w:r>
              <w:rPr>
                <w:rFonts w:hint="default" w:ascii="Times New Roman" w:hAnsi="Times New Roman" w:eastAsia="宋体" w:cs="Times New Roman"/>
                <w:i w:val="0"/>
                <w:iCs w:val="0"/>
                <w:color w:val="000000"/>
                <w:kern w:val="0"/>
                <w:sz w:val="20"/>
                <w:szCs w:val="20"/>
                <w:u w:val="none"/>
                <w:lang w:val="en-US" w:eastAsia="zh-CN" w:bidi="ar"/>
              </w:rPr>
              <w:t>总砷</w:t>
            </w:r>
          </w:p>
        </w:tc>
        <w:tc>
          <w:tcPr>
            <w:tcW w:w="2197" w:type="pct"/>
            <w:noWrap w:val="0"/>
            <w:vAlign w:val="center"/>
          </w:tcPr>
          <w:p w14:paraId="3C8359C5">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kern w:val="0"/>
                <w:sz w:val="20"/>
                <w:szCs w:val="20"/>
                <w:u w:val="none"/>
                <w:lang w:val="en-US" w:eastAsia="zh-CN" w:bidi="ar"/>
              </w:rPr>
            </w:pPr>
            <w:r>
              <w:rPr>
                <w:rFonts w:hint="default" w:ascii="Times New Roman" w:hAnsi="Times New Roman" w:eastAsia="宋体" w:cs="Times New Roman"/>
                <w:i w:val="0"/>
                <w:iCs w:val="0"/>
                <w:color w:val="000000"/>
                <w:kern w:val="0"/>
                <w:sz w:val="20"/>
                <w:szCs w:val="20"/>
                <w:u w:val="none"/>
                <w:lang w:val="en-US" w:eastAsia="zh-CN" w:bidi="ar"/>
              </w:rPr>
              <w:t>≤0.1mg/L</w:t>
            </w:r>
          </w:p>
        </w:tc>
      </w:tr>
      <w:tr w14:paraId="32D0063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923" w:type="pct"/>
            <w:noWrap w:val="0"/>
            <w:vAlign w:val="center"/>
          </w:tcPr>
          <w:p w14:paraId="4A0D46A5">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kern w:val="0"/>
                <w:sz w:val="20"/>
                <w:szCs w:val="20"/>
                <w:u w:val="none"/>
                <w:lang w:val="en-US" w:eastAsia="zh-CN" w:bidi="ar"/>
              </w:rPr>
            </w:pPr>
            <w:r>
              <w:rPr>
                <w:rFonts w:hint="default" w:ascii="Times New Roman" w:hAnsi="Times New Roman" w:eastAsia="宋体" w:cs="Times New Roman"/>
                <w:i w:val="0"/>
                <w:iCs w:val="0"/>
                <w:color w:val="000000"/>
                <w:kern w:val="0"/>
                <w:sz w:val="20"/>
                <w:szCs w:val="20"/>
                <w:u w:val="none"/>
                <w:lang w:val="en-US" w:eastAsia="zh-CN" w:bidi="ar"/>
              </w:rPr>
              <w:t>12</w:t>
            </w:r>
          </w:p>
        </w:tc>
        <w:tc>
          <w:tcPr>
            <w:tcW w:w="1878" w:type="pct"/>
            <w:noWrap w:val="0"/>
            <w:vAlign w:val="center"/>
          </w:tcPr>
          <w:p w14:paraId="651DF6A1">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kern w:val="0"/>
                <w:sz w:val="20"/>
                <w:szCs w:val="20"/>
                <w:u w:val="none"/>
                <w:lang w:val="en-US" w:eastAsia="zh-CN" w:bidi="ar"/>
              </w:rPr>
            </w:pPr>
            <w:r>
              <w:rPr>
                <w:rFonts w:hint="eastAsia" w:ascii="Times New Roman" w:hAnsi="Times New Roman" w:eastAsia="宋体" w:cs="Times New Roman"/>
                <w:i w:val="0"/>
                <w:iCs w:val="0"/>
                <w:color w:val="000000"/>
                <w:kern w:val="0"/>
                <w:sz w:val="20"/>
                <w:szCs w:val="20"/>
                <w:u w:val="none"/>
                <w:lang w:val="en-US" w:eastAsia="zh-CN" w:bidi="ar"/>
              </w:rPr>
              <w:t>总铅</w:t>
            </w:r>
          </w:p>
        </w:tc>
        <w:tc>
          <w:tcPr>
            <w:tcW w:w="2197" w:type="pct"/>
            <w:noWrap w:val="0"/>
            <w:vAlign w:val="center"/>
          </w:tcPr>
          <w:p w14:paraId="2FB985E2">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kern w:val="0"/>
                <w:sz w:val="20"/>
                <w:szCs w:val="20"/>
                <w:u w:val="none"/>
                <w:lang w:val="en-US" w:eastAsia="zh-CN" w:bidi="ar"/>
              </w:rPr>
            </w:pPr>
            <w:r>
              <w:rPr>
                <w:rFonts w:hint="default" w:ascii="Times New Roman" w:hAnsi="Times New Roman" w:eastAsia="宋体" w:cs="Times New Roman"/>
                <w:i w:val="0"/>
                <w:iCs w:val="0"/>
                <w:color w:val="000000"/>
                <w:kern w:val="0"/>
                <w:sz w:val="20"/>
                <w:szCs w:val="20"/>
                <w:u w:val="none"/>
                <w:lang w:val="en-US" w:eastAsia="zh-CN" w:bidi="ar"/>
              </w:rPr>
              <w:t>≤0.1mg/L</w:t>
            </w:r>
          </w:p>
        </w:tc>
      </w:tr>
    </w:tbl>
    <w:p w14:paraId="789E080F">
      <w:pPr>
        <w:pStyle w:val="22"/>
        <w:bidi w:val="0"/>
      </w:pPr>
      <w:r>
        <w:t>本项目渗滤液处理站出水水质要求稳定达到《污水排入城市下水道水质标准》（GB/T31962-2015）B级标准。渗滤液经处理后清水出水率设计大于6</w:t>
      </w:r>
      <w:r>
        <w:rPr>
          <w:rFonts w:hint="eastAsia"/>
        </w:rPr>
        <w:t>0</w:t>
      </w:r>
      <w:r>
        <w:t>%。</w:t>
      </w:r>
    </w:p>
    <w:p w14:paraId="49E6B9C4">
      <w:pPr>
        <w:pStyle w:val="22"/>
        <w:bidi w:val="0"/>
      </w:pPr>
      <w:bookmarkStart w:id="29" w:name="_Toc185150565"/>
      <w:r>
        <w:rPr>
          <w:rFonts w:hint="eastAsia"/>
        </w:rPr>
        <w:t>3、适用标准</w:t>
      </w:r>
      <w:bookmarkEnd w:id="29"/>
    </w:p>
    <w:p w14:paraId="194FC73D">
      <w:pPr>
        <w:pStyle w:val="22"/>
        <w:bidi w:val="0"/>
      </w:pPr>
      <w:r>
        <w:rPr>
          <w:rFonts w:hint="eastAsia"/>
        </w:rPr>
        <w:t>《污水排入城镇下水道水质标准》（</w:t>
      </w:r>
      <w:r>
        <w:t>GB/T31962-2015</w:t>
      </w:r>
      <w:r>
        <w:rPr>
          <w:rFonts w:hint="eastAsia"/>
        </w:rPr>
        <w:t>）</w:t>
      </w:r>
    </w:p>
    <w:p w14:paraId="3E2ECBD7">
      <w:pPr>
        <w:pStyle w:val="22"/>
        <w:bidi w:val="0"/>
      </w:pPr>
      <w:r>
        <w:t>《城市环境卫生设施规划规范》（GB 50337）；</w:t>
      </w:r>
    </w:p>
    <w:p w14:paraId="29899E52">
      <w:pPr>
        <w:pStyle w:val="22"/>
        <w:bidi w:val="0"/>
      </w:pPr>
      <w:r>
        <w:t>《城镇环境卫生设施设置标准》</w:t>
      </w:r>
      <w:r>
        <w:rPr>
          <w:rFonts w:hint="eastAsia"/>
          <w:lang w:eastAsia="zh-CN"/>
        </w:rPr>
        <w:t>（</w:t>
      </w:r>
      <w:r>
        <w:t>CJJ 27</w:t>
      </w:r>
      <w:r>
        <w:rPr>
          <w:rFonts w:hint="eastAsia"/>
          <w:lang w:eastAsia="zh-CN"/>
        </w:rPr>
        <w:t>）</w:t>
      </w:r>
      <w:r>
        <w:t>；</w:t>
      </w:r>
    </w:p>
    <w:p w14:paraId="14FF2F76">
      <w:pPr>
        <w:pStyle w:val="22"/>
        <w:bidi w:val="0"/>
      </w:pPr>
      <w:r>
        <w:t>《城市生活垃圾处理及污染防治技术政策》（建城[2000]120号），建设部、国家环境保护总局、科技部，2000.5.29；</w:t>
      </w:r>
    </w:p>
    <w:p w14:paraId="19F6C490">
      <w:pPr>
        <w:pStyle w:val="22"/>
        <w:bidi w:val="0"/>
      </w:pPr>
      <w:r>
        <w:t>《污水综合排放标准》（GB 8978-1996）；</w:t>
      </w:r>
    </w:p>
    <w:p w14:paraId="21C6597C">
      <w:pPr>
        <w:pStyle w:val="22"/>
        <w:bidi w:val="0"/>
        <w:rPr>
          <w:rFonts w:hint="eastAsia" w:eastAsia="宋体"/>
          <w:lang w:eastAsia="zh-CN"/>
        </w:rPr>
      </w:pPr>
      <w:r>
        <w:t>《给水排水管道工程施工及验收规范》（GB 50268</w:t>
      </w:r>
      <w:r>
        <w:rPr>
          <w:rFonts w:hint="eastAsia"/>
          <w:lang w:eastAsia="zh-CN"/>
        </w:rPr>
        <w:t>）</w:t>
      </w:r>
    </w:p>
    <w:p w14:paraId="07191695">
      <w:pPr>
        <w:pStyle w:val="22"/>
        <w:bidi w:val="0"/>
      </w:pPr>
      <w:r>
        <w:t>《给水用聚乙烯（HDPE）管材》（GB/T1363）</w:t>
      </w:r>
    </w:p>
    <w:p w14:paraId="74476E7E">
      <w:pPr>
        <w:pStyle w:val="22"/>
        <w:bidi w:val="0"/>
      </w:pPr>
      <w:r>
        <w:t>《给水用聚乙烯（HDPE）管材》（GB/T1363）</w:t>
      </w:r>
    </w:p>
    <w:p w14:paraId="66E65146">
      <w:pPr>
        <w:pStyle w:val="22"/>
        <w:bidi w:val="0"/>
      </w:pPr>
      <w:r>
        <w:t>《埋地硬聚乙烯给水管道工程技术规程》（CECS 17：2000）</w:t>
      </w:r>
    </w:p>
    <w:p w14:paraId="70A55FC5">
      <w:pPr>
        <w:pStyle w:val="22"/>
        <w:bidi w:val="0"/>
      </w:pPr>
      <w:r>
        <w:t>《聚乙烯管道手册》</w:t>
      </w:r>
    </w:p>
    <w:p w14:paraId="74079F19">
      <w:pPr>
        <w:pStyle w:val="22"/>
        <w:bidi w:val="0"/>
      </w:pPr>
      <w:r>
        <w:t>《市政基础设施工程资料管理规程》（DBJ01-71）</w:t>
      </w:r>
    </w:p>
    <w:p w14:paraId="38BA8D5C">
      <w:pPr>
        <w:pStyle w:val="22"/>
        <w:bidi w:val="0"/>
      </w:pPr>
      <w:r>
        <w:t>《工业企业设计卫生标准》（GBZ 1）；</w:t>
      </w:r>
    </w:p>
    <w:p w14:paraId="2D0A5583">
      <w:pPr>
        <w:pStyle w:val="22"/>
        <w:bidi w:val="0"/>
      </w:pPr>
      <w:r>
        <w:t>《生产过程安全卫生要求总则》（GB 12801）；</w:t>
      </w:r>
    </w:p>
    <w:p w14:paraId="6652C507">
      <w:pPr>
        <w:pStyle w:val="22"/>
        <w:bidi w:val="0"/>
      </w:pPr>
      <w:r>
        <w:t>《建筑设计防火规范》</w:t>
      </w:r>
      <w:r>
        <w:rPr>
          <w:rFonts w:hint="eastAsia"/>
          <w:lang w:eastAsia="zh-CN"/>
        </w:rPr>
        <w:t>（</w:t>
      </w:r>
      <w:r>
        <w:t>GB 50016</w:t>
      </w:r>
      <w:r>
        <w:rPr>
          <w:rFonts w:hint="eastAsia"/>
          <w:lang w:eastAsia="zh-CN"/>
        </w:rPr>
        <w:t>）</w:t>
      </w:r>
      <w:r>
        <w:t>；</w:t>
      </w:r>
    </w:p>
    <w:p w14:paraId="3679BC5D">
      <w:pPr>
        <w:pStyle w:val="22"/>
        <w:bidi w:val="0"/>
      </w:pPr>
      <w:r>
        <w:t>《城市区域环境噪声标准》（GB 3096）；</w:t>
      </w:r>
    </w:p>
    <w:p w14:paraId="156FE2EC">
      <w:pPr>
        <w:pStyle w:val="22"/>
        <w:bidi w:val="0"/>
      </w:pPr>
      <w:r>
        <w:t>《环境空气质量标准》（GB 3095）；</w:t>
      </w:r>
    </w:p>
    <w:p w14:paraId="48054819">
      <w:pPr>
        <w:pStyle w:val="22"/>
        <w:bidi w:val="0"/>
      </w:pPr>
      <w:r>
        <w:t>《工业企业厂界噪声标准》（GB 12348）；</w:t>
      </w:r>
    </w:p>
    <w:p w14:paraId="347757DC">
      <w:pPr>
        <w:pStyle w:val="22"/>
        <w:bidi w:val="0"/>
      </w:pPr>
      <w:r>
        <w:t>《恶臭污染物排放标准》（GB 14554）；</w:t>
      </w:r>
    </w:p>
    <w:p w14:paraId="000BC817">
      <w:pPr>
        <w:pStyle w:val="22"/>
        <w:bidi w:val="0"/>
      </w:pPr>
      <w:r>
        <w:t>《地表水环境质量标准》（GB 3838）；</w:t>
      </w:r>
    </w:p>
    <w:p w14:paraId="09D8EE44">
      <w:pPr>
        <w:pStyle w:val="22"/>
        <w:bidi w:val="0"/>
        <w:rPr>
          <w:rFonts w:hint="eastAsia" w:eastAsia="宋体"/>
          <w:lang w:eastAsia="zh-CN"/>
        </w:rPr>
      </w:pPr>
      <w:r>
        <w:t>《钢结构设计规范》</w:t>
      </w:r>
      <w:r>
        <w:rPr>
          <w:rFonts w:hint="eastAsia"/>
          <w:lang w:eastAsia="zh-CN"/>
        </w:rPr>
        <w:t>（</w:t>
      </w:r>
      <w:r>
        <w:t>GB50017</w:t>
      </w:r>
      <w:r>
        <w:rPr>
          <w:rFonts w:hint="eastAsia"/>
          <w:lang w:eastAsia="zh-CN"/>
        </w:rPr>
        <w:t>）；</w:t>
      </w:r>
    </w:p>
    <w:p w14:paraId="29C2E731">
      <w:pPr>
        <w:pStyle w:val="22"/>
        <w:bidi w:val="0"/>
        <w:rPr>
          <w:rFonts w:hint="eastAsia" w:eastAsia="宋体"/>
          <w:lang w:eastAsia="zh-CN"/>
        </w:rPr>
      </w:pPr>
      <w:r>
        <w:t>《轻型结构设计规范》</w:t>
      </w:r>
      <w:r>
        <w:rPr>
          <w:rFonts w:hint="eastAsia"/>
          <w:lang w:eastAsia="zh-CN"/>
        </w:rPr>
        <w:t>（</w:t>
      </w:r>
      <w:r>
        <w:t>DBJ08</w:t>
      </w:r>
      <w:r>
        <w:rPr>
          <w:rFonts w:hint="eastAsia"/>
          <w:lang w:eastAsia="zh-CN"/>
        </w:rPr>
        <w:t>）；</w:t>
      </w:r>
    </w:p>
    <w:p w14:paraId="55144DDF">
      <w:pPr>
        <w:pStyle w:val="22"/>
        <w:bidi w:val="0"/>
        <w:rPr>
          <w:rFonts w:hint="eastAsia" w:eastAsia="宋体"/>
          <w:lang w:eastAsia="zh-CN"/>
        </w:rPr>
      </w:pPr>
      <w:r>
        <w:t>《建筑钢结构焊接规程》</w:t>
      </w:r>
      <w:r>
        <w:rPr>
          <w:rFonts w:hint="eastAsia"/>
          <w:lang w:eastAsia="zh-CN"/>
        </w:rPr>
        <w:t>（</w:t>
      </w:r>
      <w:r>
        <w:t>JGJ81</w:t>
      </w:r>
      <w:r>
        <w:rPr>
          <w:rFonts w:hint="eastAsia"/>
          <w:lang w:eastAsia="zh-CN"/>
        </w:rPr>
        <w:t>）；</w:t>
      </w:r>
    </w:p>
    <w:p w14:paraId="782E219B">
      <w:pPr>
        <w:pStyle w:val="22"/>
        <w:bidi w:val="0"/>
        <w:rPr>
          <w:rFonts w:hint="eastAsia" w:eastAsia="宋体"/>
          <w:lang w:eastAsia="zh-CN"/>
        </w:rPr>
      </w:pPr>
      <w:r>
        <w:t>《钢结构高度螺栓连接的设计、施工及验收规程》</w:t>
      </w:r>
      <w:r>
        <w:rPr>
          <w:rFonts w:hint="eastAsia"/>
          <w:lang w:eastAsia="zh-CN"/>
        </w:rPr>
        <w:t>（</w:t>
      </w:r>
      <w:r>
        <w:t>JGJ82</w:t>
      </w:r>
      <w:r>
        <w:rPr>
          <w:rFonts w:hint="eastAsia"/>
          <w:lang w:eastAsia="zh-CN"/>
        </w:rPr>
        <w:t>）；</w:t>
      </w:r>
    </w:p>
    <w:p w14:paraId="2E6DCD54">
      <w:pPr>
        <w:pStyle w:val="22"/>
        <w:bidi w:val="0"/>
        <w:rPr>
          <w:rFonts w:hint="eastAsia" w:eastAsia="宋体"/>
          <w:lang w:eastAsia="zh-CN"/>
        </w:rPr>
      </w:pPr>
      <w:r>
        <w:t>《冷弯薄壁型钢结构技术规范》</w:t>
      </w:r>
      <w:r>
        <w:rPr>
          <w:rFonts w:hint="eastAsia"/>
          <w:lang w:eastAsia="zh-CN"/>
        </w:rPr>
        <w:t>（</w:t>
      </w:r>
      <w:r>
        <w:t>GB50018</w:t>
      </w:r>
      <w:r>
        <w:rPr>
          <w:rFonts w:hint="eastAsia"/>
          <w:lang w:eastAsia="zh-CN"/>
        </w:rPr>
        <w:t>）；</w:t>
      </w:r>
    </w:p>
    <w:p w14:paraId="592F6232">
      <w:pPr>
        <w:pStyle w:val="22"/>
        <w:bidi w:val="0"/>
        <w:rPr>
          <w:rFonts w:hint="eastAsia" w:eastAsia="宋体"/>
          <w:lang w:eastAsia="zh-CN"/>
        </w:rPr>
      </w:pPr>
      <w:r>
        <w:t>《钢结构工程施工质量验收规范》</w:t>
      </w:r>
      <w:r>
        <w:rPr>
          <w:rFonts w:hint="eastAsia"/>
          <w:lang w:eastAsia="zh-CN"/>
        </w:rPr>
        <w:t>（</w:t>
      </w:r>
      <w:r>
        <w:t>GB50205</w:t>
      </w:r>
      <w:r>
        <w:rPr>
          <w:rFonts w:hint="eastAsia"/>
          <w:lang w:eastAsia="zh-CN"/>
        </w:rPr>
        <w:t>）；</w:t>
      </w:r>
    </w:p>
    <w:p w14:paraId="7C4A208F">
      <w:pPr>
        <w:pStyle w:val="22"/>
        <w:bidi w:val="0"/>
        <w:rPr>
          <w:rFonts w:hint="eastAsia" w:eastAsia="宋体"/>
          <w:lang w:eastAsia="zh-CN"/>
        </w:rPr>
      </w:pPr>
      <w:r>
        <w:t>《六角头螺栓》</w:t>
      </w:r>
      <w:r>
        <w:rPr>
          <w:rFonts w:hint="eastAsia"/>
          <w:lang w:eastAsia="zh-CN"/>
        </w:rPr>
        <w:t>（</w:t>
      </w:r>
      <w:r>
        <w:t>GB/T5782</w:t>
      </w:r>
      <w:r>
        <w:rPr>
          <w:rFonts w:hint="eastAsia"/>
          <w:lang w:eastAsia="zh-CN"/>
        </w:rPr>
        <w:t>）；</w:t>
      </w:r>
    </w:p>
    <w:p w14:paraId="437F339B">
      <w:pPr>
        <w:pStyle w:val="22"/>
        <w:bidi w:val="0"/>
        <w:rPr>
          <w:rFonts w:hint="eastAsia" w:eastAsia="宋体"/>
          <w:lang w:eastAsia="zh-CN"/>
        </w:rPr>
      </w:pPr>
      <w:r>
        <w:t>《碳钢焊条》</w:t>
      </w:r>
      <w:r>
        <w:rPr>
          <w:rFonts w:hint="eastAsia"/>
          <w:lang w:eastAsia="zh-CN"/>
        </w:rPr>
        <w:t>（</w:t>
      </w:r>
      <w:r>
        <w:t>GB/T5117</w:t>
      </w:r>
      <w:r>
        <w:rPr>
          <w:rFonts w:hint="eastAsia"/>
          <w:lang w:eastAsia="zh-CN"/>
        </w:rPr>
        <w:t>）；</w:t>
      </w:r>
    </w:p>
    <w:p w14:paraId="0F38F3E2">
      <w:pPr>
        <w:pStyle w:val="22"/>
        <w:bidi w:val="0"/>
        <w:rPr>
          <w:rFonts w:hint="eastAsia" w:eastAsia="宋体"/>
          <w:lang w:eastAsia="zh-CN"/>
        </w:rPr>
      </w:pPr>
      <w:r>
        <w:t>《低合金钢焊条》（GB/T5118）</w:t>
      </w:r>
      <w:r>
        <w:rPr>
          <w:rFonts w:hint="eastAsia"/>
          <w:lang w:eastAsia="zh-CN"/>
        </w:rPr>
        <w:t>。</w:t>
      </w:r>
    </w:p>
    <w:p w14:paraId="2358956C">
      <w:pPr>
        <w:pStyle w:val="22"/>
        <w:bidi w:val="0"/>
      </w:pPr>
      <w:r>
        <w:rPr>
          <w:rFonts w:hint="eastAsia"/>
        </w:rPr>
        <w:t>4、</w:t>
      </w:r>
      <w:r>
        <w:t>工艺流程设计及说明</w:t>
      </w:r>
    </w:p>
    <w:p w14:paraId="269E9C12">
      <w:pPr>
        <w:pStyle w:val="22"/>
        <w:bidi w:val="0"/>
      </w:pPr>
      <w:bookmarkStart w:id="30" w:name="_Toc274116844"/>
      <w:bookmarkStart w:id="31" w:name="_Toc274116843"/>
      <w:r>
        <w:rPr>
          <w:rFonts w:hint="eastAsia"/>
          <w:lang w:eastAsia="zh-CN"/>
        </w:rPr>
        <w:t>（</w:t>
      </w:r>
      <w:r>
        <w:rPr>
          <w:rFonts w:hint="eastAsia"/>
          <w:lang w:val="en-US" w:eastAsia="zh-CN"/>
        </w:rPr>
        <w:t>1</w:t>
      </w:r>
      <w:r>
        <w:rPr>
          <w:rFonts w:hint="eastAsia"/>
          <w:lang w:eastAsia="zh-CN"/>
        </w:rPr>
        <w:t>）</w:t>
      </w:r>
      <w:r>
        <w:rPr>
          <w:rFonts w:hint="eastAsia"/>
        </w:rPr>
        <w:t>总体处理工艺</w:t>
      </w:r>
    </w:p>
    <w:p w14:paraId="1FC61660">
      <w:pPr>
        <w:pStyle w:val="22"/>
        <w:bidi w:val="0"/>
      </w:pPr>
      <w:r>
        <w:rPr>
          <w:rFonts w:hint="eastAsia"/>
        </w:rPr>
        <w:t>垃圾中转站的</w:t>
      </w:r>
      <w:r>
        <w:t>垃圾渗滤液由收集池收集后进入隔油池去除大部分的油脂；除油后的渗滤液进入调节池进行均质均量；调节池渗滤液</w:t>
      </w:r>
      <w:r>
        <w:rPr>
          <w:rFonts w:hint="eastAsia"/>
        </w:rPr>
        <w:t>由提升泵提升</w:t>
      </w:r>
      <w:r>
        <w:t>进入初沉池</w:t>
      </w:r>
      <w:r>
        <w:rPr>
          <w:rFonts w:hint="eastAsia"/>
        </w:rPr>
        <w:t>沉淀比重较大的无机颗粒杂质</w:t>
      </w:r>
      <w:r>
        <w:t>；初沉池出水</w:t>
      </w:r>
      <w:r>
        <w:rPr>
          <w:rFonts w:hint="eastAsia"/>
        </w:rPr>
        <w:t>由泵提升</w:t>
      </w:r>
      <w:r>
        <w:t>进入气浮池进一步去除悬浮杂质和浮油</w:t>
      </w:r>
      <w:r>
        <w:rPr>
          <w:rFonts w:hint="eastAsia"/>
        </w:rPr>
        <w:t>，有效减轻后续处理负荷。</w:t>
      </w:r>
    </w:p>
    <w:p w14:paraId="5C20F5CC">
      <w:pPr>
        <w:pStyle w:val="22"/>
        <w:bidi w:val="0"/>
      </w:pPr>
      <w:r>
        <w:t>气浮池出水</w:t>
      </w:r>
      <w:r>
        <w:rPr>
          <w:rFonts w:hint="eastAsia"/>
        </w:rPr>
        <w:t>自流进入TMBR系统，T</w:t>
      </w:r>
      <w:r>
        <w:t>MBR系统是一种分体式膜生化反应器，包括生化反应器和超滤UF两个单元。生化反应器分为</w:t>
      </w:r>
      <w:r>
        <w:rPr>
          <w:rFonts w:hint="eastAsia"/>
        </w:rPr>
        <w:t>两级</w:t>
      </w:r>
      <w:r>
        <w:t>前置式反硝化和硝化。在硝化池中，通过高活性的好氧微生物作用，降解大部分有机物，氨氮一部分通过生物合成去除，大部分在驯化产生的高效的硝化菌的作用下转变成为硝酸盐和亚硝酸盐，回流到反硝化池，在缺氧环境中还原成氮气排出，达到生物脱氮的目的。为提高氧的利用率，采用特殊设计的曝气机构，保证氧的利用率高达</w:t>
      </w:r>
      <w:r>
        <w:rPr>
          <w:rFonts w:hint="eastAsia"/>
        </w:rPr>
        <w:t>22~28</w:t>
      </w:r>
      <w:r>
        <w:t>％；超滤系统</w:t>
      </w:r>
      <w:r>
        <w:rPr>
          <w:rFonts w:hint="eastAsia"/>
          <w:lang w:eastAsia="zh-CN"/>
        </w:rPr>
        <w:t>（</w:t>
      </w:r>
      <w:r>
        <w:t>UF</w:t>
      </w:r>
      <w:r>
        <w:rPr>
          <w:rFonts w:hint="eastAsia"/>
          <w:lang w:eastAsia="zh-CN"/>
        </w:rPr>
        <w:t>）</w:t>
      </w:r>
      <w:r>
        <w:t>采用有机管式超滤膜（德国原装进口）</w:t>
      </w:r>
      <w:r>
        <w:rPr>
          <w:rFonts w:hint="eastAsia"/>
          <w:lang w:eastAsia="zh-CN"/>
        </w:rPr>
        <w:t>，</w:t>
      </w:r>
      <w:r>
        <w:t>超滤系统</w:t>
      </w:r>
      <w:r>
        <w:rPr>
          <w:rFonts w:hint="eastAsia"/>
          <w:lang w:eastAsia="zh-CN"/>
        </w:rPr>
        <w:t>（</w:t>
      </w:r>
      <w:r>
        <w:t>UF</w:t>
      </w:r>
      <w:r>
        <w:rPr>
          <w:rFonts w:hint="eastAsia"/>
          <w:lang w:eastAsia="zh-CN"/>
        </w:rPr>
        <w:t>）</w:t>
      </w:r>
      <w:r>
        <w:t>设定1</w:t>
      </w:r>
      <w:r>
        <w:rPr>
          <w:rFonts w:hint="eastAsia"/>
        </w:rPr>
        <w:t>套；</w:t>
      </w:r>
      <w:r>
        <w:t>膜生化反应器通过超滤膜分离净化水和菌体，污泥回流可使生化反应器中的污泥浓度高达15-30g/L，经过不断驯化形成的微生物菌群，对渗沥液中难生物降解的有机物也能逐步降解。系统出水无菌，</w:t>
      </w:r>
      <w:r>
        <w:rPr>
          <w:rFonts w:hint="eastAsia"/>
        </w:rPr>
        <w:t>少量</w:t>
      </w:r>
      <w:r>
        <w:t>悬浮物。</w:t>
      </w:r>
    </w:p>
    <w:p w14:paraId="6C4E691C">
      <w:pPr>
        <w:pStyle w:val="22"/>
        <w:bidi w:val="0"/>
        <w:rPr>
          <w:rFonts w:hint="eastAsia"/>
        </w:rPr>
      </w:pPr>
      <w:r>
        <w:t>管式MBR出水进入高效沉淀池进一步去除废水中的悬浮物，同时降低废水的硬度；高效沉淀池出水进入</w:t>
      </w:r>
      <w:r>
        <w:rPr>
          <w:rFonts w:hint="eastAsia"/>
        </w:rPr>
        <w:t>两级</w:t>
      </w:r>
      <w:r>
        <w:t>反渗透系统。</w:t>
      </w:r>
    </w:p>
    <w:p w14:paraId="3FE58B9B">
      <w:pPr>
        <w:pStyle w:val="22"/>
        <w:bidi w:val="0"/>
      </w:pPr>
      <w:r>
        <w:rPr>
          <w:rFonts w:hint="eastAsia"/>
          <w:lang w:eastAsia="zh-CN"/>
        </w:rPr>
        <w:t>（</w:t>
      </w:r>
      <w:r>
        <w:rPr>
          <w:rFonts w:hint="eastAsia"/>
          <w:lang w:val="en-US" w:eastAsia="zh-CN"/>
        </w:rPr>
        <w:t>2</w:t>
      </w:r>
      <w:r>
        <w:rPr>
          <w:rFonts w:hint="eastAsia"/>
          <w:lang w:eastAsia="zh-CN"/>
        </w:rPr>
        <w:t>）</w:t>
      </w:r>
      <w:r>
        <w:t>污泥处置</w:t>
      </w:r>
    </w:p>
    <w:p w14:paraId="5ED6F603">
      <w:pPr>
        <w:pStyle w:val="22"/>
        <w:bidi w:val="0"/>
      </w:pPr>
      <w:r>
        <w:t>污水处理过程中</w:t>
      </w:r>
      <w:r>
        <w:rPr>
          <w:rFonts w:hint="eastAsia"/>
        </w:rPr>
        <w:t>生化系统</w:t>
      </w:r>
      <w:r>
        <w:t>内的污泥会慢慢累积增多，因此</w:t>
      </w:r>
      <w:r>
        <w:rPr>
          <w:rFonts w:hint="eastAsia"/>
        </w:rPr>
        <w:t>生化系统</w:t>
      </w:r>
      <w:r>
        <w:t>设计周期性排泥，污泥经泵提升至污泥池，污泥池内污泥经污泥脱水机脱水后污泥外运，压滤液回调节池。</w:t>
      </w:r>
    </w:p>
    <w:p w14:paraId="2261BBBF">
      <w:pPr>
        <w:pStyle w:val="22"/>
        <w:bidi w:val="0"/>
      </w:pPr>
      <w:r>
        <w:rPr>
          <w:rFonts w:hint="eastAsia"/>
          <w:lang w:eastAsia="zh-CN"/>
        </w:rPr>
        <w:t>（</w:t>
      </w:r>
      <w:r>
        <w:rPr>
          <w:rFonts w:hint="eastAsia"/>
          <w:lang w:val="en-US" w:eastAsia="zh-CN"/>
        </w:rPr>
        <w:t>3</w:t>
      </w:r>
      <w:r>
        <w:rPr>
          <w:rFonts w:hint="eastAsia"/>
          <w:lang w:eastAsia="zh-CN"/>
        </w:rPr>
        <w:t>）</w:t>
      </w:r>
      <w:r>
        <w:t>浓缩液处置</w:t>
      </w:r>
    </w:p>
    <w:p w14:paraId="314C587B">
      <w:pPr>
        <w:pStyle w:val="22"/>
        <w:bidi w:val="0"/>
        <w:rPr>
          <w:rFonts w:hint="eastAsia"/>
          <w:lang w:eastAsia="zh-CN"/>
        </w:rPr>
      </w:pPr>
      <w:r>
        <w:t>浓缩液的特点</w:t>
      </w:r>
      <w:r>
        <w:rPr>
          <w:rFonts w:hint="eastAsia"/>
          <w:lang w:eastAsia="zh-CN"/>
        </w:rPr>
        <w:t>：</w:t>
      </w:r>
    </w:p>
    <w:p w14:paraId="050ED52A">
      <w:pPr>
        <w:pStyle w:val="22"/>
        <w:bidi w:val="0"/>
      </w:pPr>
      <w:r>
        <w:t>垃圾渗滤液的污染性较高且生化性较差，目前主要的处理垃圾渗滤液的技术主要分为三大方面即物理化学处理技术、生物处理技术及土地处理技术。据资料统计，目前我国垃圾渗滤液处理常用几种工艺主要采用膜生物反应器（MBR）、纳滤（NF）以及反渗透处理工艺（RO</w:t>
      </w:r>
      <w:r>
        <w:rPr>
          <w:rFonts w:hint="eastAsia"/>
        </w:rPr>
        <w:t>、D</w:t>
      </w:r>
      <w:r>
        <w:t>TRO）等。根据目前现有的处理技术，MBR出水还可通过纳滤或反渗透系统进一步处理；现存的处理技术，如纳滤（NF）、反渗透等（RO</w:t>
      </w:r>
      <w:r>
        <w:rPr>
          <w:rFonts w:hint="eastAsia"/>
        </w:rPr>
        <w:t>、D</w:t>
      </w:r>
      <w:r>
        <w:t>TRO）总会产生有浓缩液。从组成上说浓缩液主要是膜截留下来的高浓度污染物，虽然反渗透膜可有效截流包括一价盐在内的小分子物质，故反渗透出水可以达到很高的排放标准，但其浓缩液盐分含量很高。</w:t>
      </w:r>
    </w:p>
    <w:p w14:paraId="0708BACF">
      <w:pPr>
        <w:pStyle w:val="22"/>
        <w:bidi w:val="0"/>
      </w:pPr>
      <w:r>
        <w:t>根据我国几家采用反渗透工艺的项目运行经验分析，要保证反渗透出水的各项指标达标，浓缩液的产量非常大，一般会占到进水量的25%～45%。浓缩液中的COD主要成分是难降解有机物，其中的有机物很难作为营养源参与微生物代谢。根据对不同地区渗滤液处理项目发现，浓缩液中的总氮含量在200mg/L～1000mg/L。根据反渗透截流性的特点，100%的二价以上的无机盐离子、85%～90%的一价盐离子、30%左右的硝态氮、亚硝态氮都会存在于浓缩液中。通过数倍浓缩后，浓缩液中的氯离子浓度约为10000mg/L～50000mg/L之间，TDS为20000mg/L～60000mg/L，电导率为40000μs/cm～50000μs/cm，硬度在为1000mg/L～2500mg/L，这些含极难降解，且含盐度极高的浓缩液成为了所有渗滤液处理中的一道难题。</w:t>
      </w:r>
    </w:p>
    <w:p w14:paraId="23681C3D">
      <w:pPr>
        <w:pStyle w:val="22"/>
        <w:bidi w:val="0"/>
        <w:rPr>
          <w:rFonts w:hint="eastAsia" w:eastAsia="宋体"/>
          <w:lang w:eastAsia="zh-CN"/>
        </w:rPr>
      </w:pPr>
      <w:r>
        <w:t>典型浓缩液处理工艺介绍</w:t>
      </w:r>
      <w:r>
        <w:rPr>
          <w:rFonts w:hint="eastAsia"/>
          <w:lang w:eastAsia="zh-CN"/>
        </w:rPr>
        <w:t>：</w:t>
      </w:r>
    </w:p>
    <w:p w14:paraId="07C1CD26">
      <w:pPr>
        <w:pStyle w:val="22"/>
        <w:bidi w:val="0"/>
      </w:pPr>
      <w:r>
        <w:t>低能耗蒸发工艺</w:t>
      </w:r>
      <w:r>
        <w:rPr>
          <w:rFonts w:hint="eastAsia"/>
          <w:lang w:eastAsia="zh-CN"/>
        </w:rPr>
        <w:t>：</w:t>
      </w:r>
      <w:r>
        <w:t>浓缩液的低能耗蒸发工艺是在传统的废水蒸发处理技术的基础上的改良和发展。传统的蒸发技术是一个把挥发性组分与非挥发性组分分离的物理过程，通过加热溶液使水沸腾气化和不断除去气化的水蒸气。垃圾渗滤液蒸发处理时，水分会</w:t>
      </w:r>
      <w:r>
        <w:rPr>
          <w:rFonts w:hint="eastAsia"/>
        </w:rPr>
        <w:t>从</w:t>
      </w:r>
      <w:r>
        <w:t>渗滤液中沸出，而污染物会残留在浓缩液中。浓缩液低能耗蒸发工艺利用蒸汽的特性，当蒸汽被机械压缩机压缩时，其压力升高，同时温度也得到提升，为重新利用再生蒸汽作为蒸发热源提供了可能。通过这样的能源循环利用技术，将浓缩液蒸发处置运行成本降到最低。</w:t>
      </w:r>
    </w:p>
    <w:bookmarkEnd w:id="30"/>
    <w:bookmarkEnd w:id="31"/>
    <w:p w14:paraId="2D3CF9AB">
      <w:pPr>
        <w:pStyle w:val="23"/>
        <w:spacing w:line="360" w:lineRule="auto"/>
        <w:rPr>
          <w:rFonts w:ascii="Arial" w:hAnsi="Arial" w:cs="Arial"/>
          <w:bCs/>
          <w:color w:val="auto"/>
          <w:kern w:val="2"/>
          <w:sz w:val="24"/>
          <w:szCs w:val="24"/>
          <w:highlight w:val="none"/>
        </w:rPr>
      </w:pPr>
      <w:r>
        <w:rPr>
          <w:color w:val="auto"/>
          <w:highlight w:val="none"/>
        </w:rPr>
        <w:drawing>
          <wp:inline distT="0" distB="0" distL="114300" distR="114300">
            <wp:extent cx="5104765" cy="5304155"/>
            <wp:effectExtent l="0" t="0" r="635" b="4445"/>
            <wp:docPr id="56"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图片 32"/>
                    <pic:cNvPicPr>
                      <a:picLocks noChangeAspect="1"/>
                    </pic:cNvPicPr>
                  </pic:nvPicPr>
                  <pic:blipFill>
                    <a:blip r:embed="rId17"/>
                    <a:stretch>
                      <a:fillRect/>
                    </a:stretch>
                  </pic:blipFill>
                  <pic:spPr>
                    <a:xfrm>
                      <a:off x="0" y="0"/>
                      <a:ext cx="5104765" cy="5304155"/>
                    </a:xfrm>
                    <a:prstGeom prst="rect">
                      <a:avLst/>
                    </a:prstGeom>
                    <a:noFill/>
                    <a:ln>
                      <a:noFill/>
                    </a:ln>
                  </pic:spPr>
                </pic:pic>
              </a:graphicData>
            </a:graphic>
          </wp:inline>
        </w:drawing>
      </w:r>
    </w:p>
    <w:p w14:paraId="339D66CA">
      <w:pPr>
        <w:pStyle w:val="24"/>
        <w:bidi w:val="0"/>
      </w:pPr>
      <w:r>
        <w:rPr>
          <w:rFonts w:hint="eastAsia"/>
        </w:rPr>
        <w:t>垃圾渗滤液处理工艺流程方框图</w:t>
      </w:r>
    </w:p>
    <w:p w14:paraId="4AB4DEFF">
      <w:pPr>
        <w:pStyle w:val="22"/>
        <w:bidi w:val="0"/>
      </w:pPr>
      <w:r>
        <w:rPr>
          <w:rFonts w:hint="eastAsia"/>
          <w:lang w:val="en-US" w:eastAsia="zh-CN"/>
        </w:rPr>
        <w:t>5</w:t>
      </w:r>
      <w:r>
        <w:rPr>
          <w:rFonts w:hint="eastAsia"/>
        </w:rPr>
        <w:t>、</w:t>
      </w:r>
      <w:r>
        <w:t>工艺设计</w:t>
      </w:r>
    </w:p>
    <w:p w14:paraId="51D65316">
      <w:pPr>
        <w:pStyle w:val="22"/>
        <w:bidi w:val="0"/>
      </w:pPr>
      <w:bookmarkStart w:id="32" w:name="_Toc185150577"/>
      <w:r>
        <w:rPr>
          <w:rFonts w:hint="eastAsia"/>
          <w:lang w:eastAsia="zh-CN"/>
        </w:rPr>
        <w:t>（</w:t>
      </w:r>
      <w:r>
        <w:t>1）</w:t>
      </w:r>
      <w:r>
        <w:rPr>
          <w:rFonts w:hint="eastAsia"/>
        </w:rPr>
        <w:t>集水井</w:t>
      </w:r>
      <w:bookmarkEnd w:id="32"/>
    </w:p>
    <w:p w14:paraId="2D14A55D">
      <w:pPr>
        <w:pStyle w:val="22"/>
        <w:bidi w:val="0"/>
      </w:pPr>
      <w:r>
        <w:rPr>
          <w:rFonts w:hint="eastAsia"/>
        </w:rPr>
        <w:t>集水井用于收集垃圾中转站的渗滤液，集水井设计进水高度</w:t>
      </w:r>
      <w:r>
        <w:t>-0.5m</w:t>
      </w:r>
      <w:r>
        <w:rPr>
          <w:rFonts w:hint="eastAsia"/>
        </w:rPr>
        <w:t>。</w:t>
      </w:r>
    </w:p>
    <w:p w14:paraId="7CC10319">
      <w:pPr>
        <w:pStyle w:val="22"/>
        <w:bidi w:val="0"/>
        <w:rPr>
          <w:rFonts w:hint="eastAsia"/>
          <w:lang w:eastAsia="zh-CN"/>
        </w:rPr>
      </w:pPr>
      <w:r>
        <w:t>有效容积：4</w:t>
      </w:r>
      <w:r>
        <w:rPr>
          <w:rFonts w:hint="eastAsia"/>
          <w:lang w:val="en-US" w:eastAsia="zh-CN"/>
        </w:rPr>
        <w:t>m³</w:t>
      </w:r>
    </w:p>
    <w:p w14:paraId="112E84BC">
      <w:pPr>
        <w:pStyle w:val="22"/>
        <w:bidi w:val="0"/>
      </w:pPr>
      <w:r>
        <w:t>数量</w:t>
      </w:r>
      <w:r>
        <w:rPr>
          <w:rFonts w:hint="eastAsia"/>
        </w:rPr>
        <w:t>：</w:t>
      </w:r>
      <w:r>
        <w:t>1座</w:t>
      </w:r>
    </w:p>
    <w:p w14:paraId="0638A134">
      <w:pPr>
        <w:pStyle w:val="22"/>
        <w:bidi w:val="0"/>
      </w:pPr>
      <w:r>
        <w:t>材质：</w:t>
      </w:r>
      <w:r>
        <w:rPr>
          <w:rFonts w:hint="eastAsia"/>
        </w:rPr>
        <w:t>钢砼</w:t>
      </w:r>
    </w:p>
    <w:p w14:paraId="6DC6F3E5">
      <w:pPr>
        <w:pStyle w:val="22"/>
        <w:bidi w:val="0"/>
      </w:pPr>
      <w:r>
        <w:t>配套提供污水提升泵</w:t>
      </w:r>
      <w:r>
        <w:rPr>
          <w:rFonts w:hint="eastAsia"/>
          <w:lang w:eastAsia="zh-CN"/>
        </w:rPr>
        <w:t>，</w:t>
      </w:r>
      <w:r>
        <w:t>数量：2台</w:t>
      </w:r>
      <w:r>
        <w:rPr>
          <w:rFonts w:hint="eastAsia"/>
        </w:rPr>
        <w:t>（1用1备）</w:t>
      </w:r>
    </w:p>
    <w:p w14:paraId="2B30008C">
      <w:pPr>
        <w:pStyle w:val="22"/>
        <w:bidi w:val="0"/>
      </w:pPr>
      <w:bookmarkStart w:id="33" w:name="_Toc185150578"/>
      <w:r>
        <w:rPr>
          <w:rFonts w:hint="eastAsia"/>
          <w:lang w:eastAsia="zh-CN"/>
        </w:rPr>
        <w:t>（</w:t>
      </w:r>
      <w:r>
        <w:rPr>
          <w:rFonts w:hint="eastAsia"/>
          <w:lang w:val="en-US" w:eastAsia="zh-CN"/>
        </w:rPr>
        <w:t>2</w:t>
      </w:r>
      <w:r>
        <w:rPr>
          <w:rFonts w:hint="eastAsia"/>
          <w:lang w:eastAsia="zh-CN"/>
        </w:rPr>
        <w:t>）</w:t>
      </w:r>
      <w:r>
        <w:rPr>
          <w:rFonts w:hint="eastAsia"/>
        </w:rPr>
        <w:t>隔油</w:t>
      </w:r>
      <w:r>
        <w:t>池</w:t>
      </w:r>
      <w:bookmarkEnd w:id="33"/>
    </w:p>
    <w:p w14:paraId="768B12CE">
      <w:pPr>
        <w:pStyle w:val="22"/>
        <w:bidi w:val="0"/>
      </w:pPr>
      <w:r>
        <w:rPr>
          <w:rFonts w:hint="eastAsia"/>
        </w:rPr>
        <w:t>在重力作用下，初步去除渗滤液内粗粒油脂。</w:t>
      </w:r>
    </w:p>
    <w:p w14:paraId="49A0255A">
      <w:pPr>
        <w:pStyle w:val="22"/>
        <w:bidi w:val="0"/>
        <w:rPr>
          <w:rFonts w:hint="eastAsia" w:eastAsia="宋体"/>
          <w:lang w:eastAsia="zh-CN"/>
        </w:rPr>
      </w:pPr>
      <w:r>
        <w:t>有效容积：14.4</w:t>
      </w:r>
      <w:r>
        <w:rPr>
          <w:rFonts w:hint="eastAsia"/>
          <w:lang w:eastAsia="zh-CN"/>
        </w:rPr>
        <w:t>m³</w:t>
      </w:r>
    </w:p>
    <w:p w14:paraId="2A12F19D">
      <w:pPr>
        <w:pStyle w:val="22"/>
        <w:bidi w:val="0"/>
      </w:pPr>
      <w:r>
        <w:t>数量</w:t>
      </w:r>
      <w:r>
        <w:rPr>
          <w:rFonts w:hint="eastAsia"/>
        </w:rPr>
        <w:t>：</w:t>
      </w:r>
      <w:r>
        <w:t>1座</w:t>
      </w:r>
    </w:p>
    <w:p w14:paraId="52A51CA2">
      <w:pPr>
        <w:pStyle w:val="22"/>
        <w:bidi w:val="0"/>
      </w:pPr>
      <w:r>
        <w:t>材质：</w:t>
      </w:r>
      <w:r>
        <w:rPr>
          <w:rFonts w:hint="eastAsia"/>
        </w:rPr>
        <w:t>钢砼</w:t>
      </w:r>
    </w:p>
    <w:p w14:paraId="618DFFC1">
      <w:pPr>
        <w:pStyle w:val="22"/>
        <w:bidi w:val="0"/>
      </w:pPr>
      <w:bookmarkStart w:id="34" w:name="_Toc185150579"/>
      <w:bookmarkStart w:id="35" w:name="_Toc493099939"/>
      <w:r>
        <w:rPr>
          <w:rFonts w:hint="eastAsia"/>
          <w:lang w:eastAsia="zh-CN"/>
        </w:rPr>
        <w:t>（</w:t>
      </w:r>
      <w:r>
        <w:rPr>
          <w:rFonts w:hint="eastAsia"/>
          <w:lang w:val="en-US" w:eastAsia="zh-CN"/>
        </w:rPr>
        <w:t>3</w:t>
      </w:r>
      <w:r>
        <w:rPr>
          <w:rFonts w:hint="eastAsia"/>
          <w:lang w:eastAsia="zh-CN"/>
        </w:rPr>
        <w:t>）</w:t>
      </w:r>
      <w:r>
        <w:t>调节池</w:t>
      </w:r>
      <w:bookmarkEnd w:id="34"/>
      <w:bookmarkEnd w:id="35"/>
    </w:p>
    <w:p w14:paraId="58D7269A">
      <w:pPr>
        <w:pStyle w:val="22"/>
        <w:bidi w:val="0"/>
      </w:pPr>
      <w:r>
        <w:rPr>
          <w:rFonts w:hint="eastAsia"/>
        </w:rPr>
        <w:t>隔油池出水自流进入调节池，</w:t>
      </w:r>
      <w:r>
        <w:t>由于废水水质及水量的变化量较大</w:t>
      </w:r>
      <w:r>
        <w:rPr>
          <w:rFonts w:hint="eastAsia"/>
        </w:rPr>
        <w:t>，</w:t>
      </w:r>
      <w:r>
        <w:t>因此调节池应具有足够的容量才能使进入后级系统的水质、水量稳定。废水在池中进行水质、水量调节及均衡</w:t>
      </w:r>
      <w:r>
        <w:rPr>
          <w:rFonts w:hint="eastAsia"/>
        </w:rPr>
        <w:t>，</w:t>
      </w:r>
      <w:r>
        <w:t>保证进入后级硝化反硝化系统内的水质、水量的稳定。在池内设置潜水搅拌器</w:t>
      </w:r>
      <w:r>
        <w:rPr>
          <w:rFonts w:hint="eastAsia"/>
          <w:lang w:eastAsia="zh-CN"/>
        </w:rPr>
        <w:t>，</w:t>
      </w:r>
      <w:r>
        <w:t>一则可防止池中颗粒沉淀</w:t>
      </w:r>
      <w:r>
        <w:rPr>
          <w:rFonts w:hint="eastAsia"/>
          <w:lang w:eastAsia="zh-CN"/>
        </w:rPr>
        <w:t>，</w:t>
      </w:r>
      <w:r>
        <w:t>二则可同时去除水中部分氨氮、有机物</w:t>
      </w:r>
      <w:r>
        <w:rPr>
          <w:rFonts w:hint="eastAsia"/>
          <w:lang w:eastAsia="zh-CN"/>
        </w:rPr>
        <w:t>，</w:t>
      </w:r>
      <w:r>
        <w:t>以减轻后级系统的工作负荷。</w:t>
      </w:r>
    </w:p>
    <w:p w14:paraId="58E7DA00">
      <w:pPr>
        <w:pStyle w:val="22"/>
        <w:bidi w:val="0"/>
        <w:rPr>
          <w:rFonts w:hint="eastAsia" w:eastAsia="宋体"/>
          <w:lang w:eastAsia="zh-CN"/>
        </w:rPr>
      </w:pPr>
      <w:r>
        <w:t>有效容积：120</w:t>
      </w:r>
      <w:r>
        <w:rPr>
          <w:rFonts w:hint="eastAsia"/>
          <w:lang w:eastAsia="zh-CN"/>
        </w:rPr>
        <w:t>m³</w:t>
      </w:r>
    </w:p>
    <w:p w14:paraId="6DC63D10">
      <w:pPr>
        <w:pStyle w:val="22"/>
        <w:bidi w:val="0"/>
      </w:pPr>
      <w:r>
        <w:t>数量</w:t>
      </w:r>
      <w:r>
        <w:rPr>
          <w:rFonts w:hint="eastAsia"/>
          <w:lang w:eastAsia="zh-CN"/>
        </w:rPr>
        <w:t>：</w:t>
      </w:r>
      <w:r>
        <w:t>1座</w:t>
      </w:r>
    </w:p>
    <w:p w14:paraId="15FA7C88">
      <w:pPr>
        <w:pStyle w:val="22"/>
        <w:bidi w:val="0"/>
      </w:pPr>
      <w:r>
        <w:t>材质：</w:t>
      </w:r>
      <w:r>
        <w:rPr>
          <w:rFonts w:hint="eastAsia"/>
        </w:rPr>
        <w:t>钢砼</w:t>
      </w:r>
    </w:p>
    <w:p w14:paraId="3F2E2871">
      <w:pPr>
        <w:pStyle w:val="22"/>
        <w:bidi w:val="0"/>
        <w:rPr>
          <w:rFonts w:hint="eastAsia" w:eastAsia="宋体"/>
          <w:lang w:eastAsia="zh-CN"/>
        </w:rPr>
      </w:pPr>
      <w:r>
        <w:t>配套提供</w:t>
      </w:r>
      <w:r>
        <w:rPr>
          <w:rFonts w:hint="eastAsia"/>
          <w:lang w:eastAsia="zh-CN"/>
        </w:rPr>
        <w:t>：</w:t>
      </w:r>
    </w:p>
    <w:p w14:paraId="1AAA3E77">
      <w:pPr>
        <w:pStyle w:val="22"/>
        <w:bidi w:val="0"/>
      </w:pPr>
      <w:r>
        <w:t>污水提升泵</w:t>
      </w:r>
      <w:r>
        <w:rPr>
          <w:rFonts w:hint="eastAsia"/>
          <w:lang w:eastAsia="zh-CN"/>
        </w:rPr>
        <w:t>：</w:t>
      </w:r>
      <w:r>
        <w:t>数量：2台</w:t>
      </w:r>
      <w:r>
        <w:rPr>
          <w:rFonts w:hint="eastAsia"/>
        </w:rPr>
        <w:t>（1用1备）</w:t>
      </w:r>
    </w:p>
    <w:p w14:paraId="25A83E58">
      <w:pPr>
        <w:pStyle w:val="22"/>
        <w:bidi w:val="0"/>
      </w:pPr>
      <w:r>
        <w:t>潜水搅拌机</w:t>
      </w:r>
      <w:r>
        <w:rPr>
          <w:rFonts w:hint="eastAsia"/>
          <w:lang w:eastAsia="zh-CN"/>
        </w:rPr>
        <w:t>：</w:t>
      </w:r>
      <w:r>
        <w:t>型式：混合搅拌式</w:t>
      </w:r>
      <w:r>
        <w:rPr>
          <w:rFonts w:hint="eastAsia"/>
          <w:lang w:eastAsia="zh-CN"/>
        </w:rPr>
        <w:t>；</w:t>
      </w:r>
      <w:r>
        <w:t>数量：2套</w:t>
      </w:r>
      <w:r>
        <w:rPr>
          <w:rFonts w:hint="eastAsia"/>
          <w:lang w:eastAsia="zh-CN"/>
        </w:rPr>
        <w:t>；</w:t>
      </w:r>
      <w:r>
        <w:t>技术标准：</w:t>
      </w:r>
      <w:r>
        <w:rPr>
          <w:rFonts w:hint="eastAsia"/>
          <w:lang w:val="en-US" w:eastAsia="zh-CN"/>
        </w:rPr>
        <w:t xml:space="preserve">① </w:t>
      </w:r>
      <w:r>
        <w:t>水下搅拌机由潜水电机、搅拌叶轮、密封机构、减速机、提升机构等部分构成。</w:t>
      </w:r>
      <w:r>
        <w:rPr>
          <w:rFonts w:hint="eastAsia"/>
          <w:lang w:val="en-US" w:eastAsia="zh-CN"/>
        </w:rPr>
        <w:t xml:space="preserve">② </w:t>
      </w:r>
      <w:r>
        <w:t>性能特点：水下搅拌机结构紧凑、操作维护简单、安装检修方便、使用寿命长。叶轮具有最佳的水力设计结构，搅拌效率高，后掠式叶片具有自洁功能可防杂物缠绕、堵塞。电机绝缘等级为F级，防护等级为IP68，选用进口轴承和独有专利的机械密封油腔结构，使电机的工作更加安全可靠。机械密封，材质为碳化钨一碳化钨。所有外露紧固件均为不锈钢</w:t>
      </w:r>
      <w:r>
        <w:rPr>
          <w:rFonts w:hint="eastAsia"/>
        </w:rPr>
        <w:t>3</w:t>
      </w:r>
      <w:r>
        <w:t>16。低速推流器为齿轮减速下传动。采用两套独立的碳化硅机械密封方式，保证产品使用的可靠性叶轮后轴端增加了聚四氟乙烯唇型密封防止砂粒进入油室；增加一套轴承支撑点保证设备在运行中能承受较强轴向力；采用三片螺旋桨，叶片具有很高的强度和刚度；叶轮外形设计使叶片能自净、无缠绕、增加了运转的平稳运行；叶轮设计为有利于产生射流的薄形轮廓，可形成最佳流场；叶轮角度采用后掠角结构提高了水力推流能力；叶轮能够满足水下防腐要求，使用寿命长。</w:t>
      </w:r>
    </w:p>
    <w:p w14:paraId="20F344FE">
      <w:pPr>
        <w:pStyle w:val="22"/>
        <w:bidi w:val="0"/>
      </w:pPr>
      <w:bookmarkStart w:id="36" w:name="_Toc185150580"/>
      <w:bookmarkStart w:id="37" w:name="_Toc493099940"/>
      <w:r>
        <w:rPr>
          <w:rFonts w:hint="eastAsia"/>
          <w:lang w:eastAsia="zh-CN"/>
        </w:rPr>
        <w:t>（</w:t>
      </w:r>
      <w:r>
        <w:rPr>
          <w:rFonts w:hint="eastAsia"/>
          <w:lang w:val="en-US" w:eastAsia="zh-CN"/>
        </w:rPr>
        <w:t>4</w:t>
      </w:r>
      <w:r>
        <w:rPr>
          <w:rFonts w:hint="eastAsia"/>
          <w:lang w:eastAsia="zh-CN"/>
        </w:rPr>
        <w:t>）</w:t>
      </w:r>
      <w:r>
        <w:rPr>
          <w:rFonts w:hint="eastAsia"/>
        </w:rPr>
        <w:t>初沉池</w:t>
      </w:r>
      <w:bookmarkEnd w:id="36"/>
      <w:bookmarkEnd w:id="37"/>
    </w:p>
    <w:p w14:paraId="0A529BC7">
      <w:pPr>
        <w:pStyle w:val="22"/>
        <w:bidi w:val="0"/>
      </w:pPr>
      <w:r>
        <w:rPr>
          <w:rFonts w:hint="eastAsia"/>
        </w:rPr>
        <w:t>该池的设置主要是强化预处理的作用，沉淀比重较大的无机颗粒杂质，有效减轻后续处理负荷，同时便于沉积物的清理工作。该初沉池采用半埋式设计，出水自流进入气浮池。初沉池设计水力停留时间为</w:t>
      </w:r>
      <w:r>
        <w:t>2小时</w:t>
      </w:r>
      <w:r>
        <w:rPr>
          <w:rFonts w:hint="eastAsia"/>
        </w:rPr>
        <w:t>。</w:t>
      </w:r>
    </w:p>
    <w:p w14:paraId="459BDCD8">
      <w:pPr>
        <w:pStyle w:val="22"/>
        <w:bidi w:val="0"/>
      </w:pPr>
      <w:r>
        <w:rPr>
          <w:rFonts w:hint="eastAsia"/>
        </w:rPr>
        <w:t>初沉池：</w:t>
      </w:r>
    </w:p>
    <w:p w14:paraId="2E7EA6B9">
      <w:pPr>
        <w:pStyle w:val="22"/>
        <w:bidi w:val="0"/>
      </w:pPr>
      <w:r>
        <w:t>表面负荷：0.8</w:t>
      </w:r>
      <w:r>
        <w:rPr>
          <w:rFonts w:hint="eastAsia"/>
          <w:lang w:eastAsia="zh-CN"/>
        </w:rPr>
        <w:t>m³</w:t>
      </w:r>
      <w:r>
        <w:t>/m2.h</w:t>
      </w:r>
    </w:p>
    <w:p w14:paraId="786FFE43">
      <w:pPr>
        <w:pStyle w:val="22"/>
        <w:bidi w:val="0"/>
      </w:pPr>
      <w:r>
        <w:t>数量：1</w:t>
      </w:r>
      <w:r>
        <w:rPr>
          <w:rFonts w:hint="eastAsia"/>
        </w:rPr>
        <w:t>座</w:t>
      </w:r>
    </w:p>
    <w:p w14:paraId="0ED618E9">
      <w:pPr>
        <w:pStyle w:val="22"/>
        <w:bidi w:val="0"/>
      </w:pPr>
      <w:r>
        <w:t>材质：</w:t>
      </w:r>
      <w:r>
        <w:rPr>
          <w:rFonts w:hint="eastAsia"/>
        </w:rPr>
        <w:t>钢砼</w:t>
      </w:r>
    </w:p>
    <w:p w14:paraId="5B34C588">
      <w:pPr>
        <w:pStyle w:val="22"/>
        <w:bidi w:val="0"/>
        <w:rPr>
          <w:rFonts w:hint="eastAsia" w:eastAsia="宋体"/>
          <w:lang w:eastAsia="zh-CN"/>
        </w:rPr>
      </w:pPr>
      <w:r>
        <w:rPr>
          <w:rFonts w:hint="eastAsia"/>
        </w:rPr>
        <w:t>配套提供</w:t>
      </w:r>
      <w:r>
        <w:rPr>
          <w:rFonts w:hint="eastAsia"/>
          <w:lang w:eastAsia="zh-CN"/>
        </w:rPr>
        <w:t>：</w:t>
      </w:r>
      <w:r>
        <w:rPr>
          <w:rFonts w:hint="eastAsia"/>
        </w:rPr>
        <w:t>中心筒</w:t>
      </w:r>
      <w:r>
        <w:t>1套</w:t>
      </w:r>
      <w:r>
        <w:rPr>
          <w:rFonts w:hint="eastAsia"/>
          <w:lang w:eastAsia="zh-CN"/>
        </w:rPr>
        <w:t>。</w:t>
      </w:r>
    </w:p>
    <w:p w14:paraId="718CCB6E">
      <w:pPr>
        <w:pStyle w:val="22"/>
        <w:bidi w:val="0"/>
      </w:pPr>
      <w:bookmarkStart w:id="38" w:name="_Toc185150581"/>
      <w:r>
        <w:rPr>
          <w:rFonts w:hint="eastAsia"/>
          <w:lang w:eastAsia="zh-CN"/>
        </w:rPr>
        <w:t>（</w:t>
      </w:r>
      <w:r>
        <w:rPr>
          <w:rFonts w:hint="eastAsia"/>
          <w:lang w:val="en-US" w:eastAsia="zh-CN"/>
        </w:rPr>
        <w:t>5</w:t>
      </w:r>
      <w:r>
        <w:rPr>
          <w:rFonts w:hint="eastAsia"/>
          <w:lang w:eastAsia="zh-CN"/>
        </w:rPr>
        <w:t>）</w:t>
      </w:r>
      <w:r>
        <w:rPr>
          <w:rFonts w:hint="eastAsia"/>
        </w:rPr>
        <w:t>气浮池</w:t>
      </w:r>
      <w:bookmarkEnd w:id="38"/>
    </w:p>
    <w:p w14:paraId="7085EB0C">
      <w:pPr>
        <w:pStyle w:val="22"/>
        <w:bidi w:val="0"/>
      </w:pPr>
      <w:r>
        <w:rPr>
          <w:rFonts w:hint="eastAsia"/>
        </w:rPr>
        <w:t>用于去除渗滤液内悬浮物、细粒油脂。气浮池出水由离心泵提升进入后续硝化反硝化系统。</w:t>
      </w:r>
    </w:p>
    <w:p w14:paraId="39AF0244">
      <w:pPr>
        <w:pStyle w:val="22"/>
        <w:bidi w:val="0"/>
      </w:pPr>
      <w:r>
        <w:t>型号：RHQF25</w:t>
      </w:r>
    </w:p>
    <w:p w14:paraId="59F70C41">
      <w:pPr>
        <w:pStyle w:val="22"/>
        <w:bidi w:val="0"/>
      </w:pPr>
      <w:r>
        <w:rPr>
          <w:rFonts w:hint="eastAsia"/>
        </w:rPr>
        <w:t>数量：</w:t>
      </w:r>
      <w:r>
        <w:t>1</w:t>
      </w:r>
      <w:r>
        <w:rPr>
          <w:rFonts w:hint="eastAsia"/>
        </w:rPr>
        <w:t>套</w:t>
      </w:r>
    </w:p>
    <w:p w14:paraId="75F071E6">
      <w:pPr>
        <w:pStyle w:val="22"/>
        <w:bidi w:val="0"/>
      </w:pPr>
      <w:r>
        <w:rPr>
          <w:rFonts w:hint="eastAsia"/>
        </w:rPr>
        <w:t>配套提供</w:t>
      </w:r>
      <w:r>
        <w:rPr>
          <w:rFonts w:hint="eastAsia"/>
          <w:lang w:eastAsia="zh-CN"/>
        </w:rPr>
        <w:t>：</w:t>
      </w:r>
      <w:r>
        <w:rPr>
          <w:rFonts w:hint="eastAsia"/>
        </w:rPr>
        <w:t>提升泵</w:t>
      </w:r>
      <w:r>
        <w:rPr>
          <w:rFonts w:hint="eastAsia"/>
          <w:lang w:eastAsia="zh-CN"/>
        </w:rPr>
        <w:t>，</w:t>
      </w:r>
      <w:bookmarkStart w:id="39" w:name="_Hlk184890326"/>
      <w:r>
        <w:t>数量：2台</w:t>
      </w:r>
      <w:r>
        <w:rPr>
          <w:rFonts w:hint="eastAsia"/>
        </w:rPr>
        <w:t>（1用1备）</w:t>
      </w:r>
    </w:p>
    <w:bookmarkEnd w:id="39"/>
    <w:p w14:paraId="18FA4466">
      <w:pPr>
        <w:pStyle w:val="22"/>
        <w:bidi w:val="0"/>
      </w:pPr>
      <w:bookmarkStart w:id="40" w:name="_Toc185150582"/>
      <w:bookmarkStart w:id="41" w:name="_Toc493099941"/>
      <w:r>
        <w:rPr>
          <w:rFonts w:hint="eastAsia"/>
          <w:lang w:eastAsia="zh-CN"/>
        </w:rPr>
        <w:t>（</w:t>
      </w:r>
      <w:r>
        <w:rPr>
          <w:rFonts w:hint="eastAsia"/>
          <w:lang w:val="en-US" w:eastAsia="zh-CN"/>
        </w:rPr>
        <w:t>6</w:t>
      </w:r>
      <w:r>
        <w:rPr>
          <w:rFonts w:hint="eastAsia"/>
          <w:lang w:eastAsia="zh-CN"/>
        </w:rPr>
        <w:t>）</w:t>
      </w:r>
      <w:r>
        <w:rPr>
          <w:rFonts w:hint="eastAsia"/>
        </w:rPr>
        <w:t>一级</w:t>
      </w:r>
      <w:r>
        <w:t>反硝化</w:t>
      </w:r>
      <w:r>
        <w:rPr>
          <w:rFonts w:hint="eastAsia"/>
        </w:rPr>
        <w:t>罐</w:t>
      </w:r>
      <w:bookmarkEnd w:id="40"/>
      <w:bookmarkEnd w:id="41"/>
    </w:p>
    <w:p w14:paraId="64CF2D47">
      <w:pPr>
        <w:pStyle w:val="22"/>
        <w:bidi w:val="0"/>
      </w:pPr>
      <w:r>
        <w:t>反硝化菌的适宜PH值为6.5～8.0，生物脱氮可去除多种含氮化合物，其处理效果稳定，总氮去除率可达70%～95%，不产生二次污染，而且比较经济，但有占地面积大，低温时效率低，易受有毒物质影响且运行管理比较麻烦等缺点。常见的生物脱氮流程可以分为三类。多级污泥系统：多级污泥系通常称为传统的生物脱氮流程，此流程可以得到相当好的BOD去除效果和脱氮效果，其缺点是流程长，构筑物多，基建费用高，需要外加碳源，运行费用高，出水中残留一定量的甲醇等。单级污泥系统：单级污泥系统的形式有：前置反硝化系统</w:t>
      </w:r>
      <w:r>
        <w:rPr>
          <w:rFonts w:hint="eastAsia"/>
          <w:lang w:eastAsia="zh-CN"/>
        </w:rPr>
        <w:t>，</w:t>
      </w:r>
      <w:r>
        <w:t>后置反硝化系统及交替工作系统。前置反硝化的生物脱氮流程，通常称为A/0流程</w:t>
      </w:r>
      <w:r>
        <w:rPr>
          <w:rFonts w:hint="eastAsia"/>
          <w:lang w:eastAsia="zh-CN"/>
        </w:rPr>
        <w:t>。</w:t>
      </w:r>
      <w:r>
        <w:t>与传统的生物脱氮工艺流程相比，A/0工艺具有流程简单，构筑物少，基建费用低，出水水质稳定等优点。</w:t>
      </w:r>
    </w:p>
    <w:p w14:paraId="294D9EC9">
      <w:pPr>
        <w:pStyle w:val="22"/>
        <w:bidi w:val="0"/>
      </w:pPr>
      <w:r>
        <w:t>由于硝化细菌是自养细菌，生长繁殖的世代周期长，为了使硝化菌能在连续流的活性污泥系统中生存下来，要求系统的污泥龄大于硝化菌的泥龄，否则硝化菌会因为其流失率大于繁殖率而被从系统中淘汰。因此，硝化系统的泥龄往往较长</w:t>
      </w:r>
      <w:r>
        <w:rPr>
          <w:rFonts w:hint="eastAsia"/>
          <w:lang w:eastAsia="zh-CN"/>
        </w:rPr>
        <w:t>，</w:t>
      </w:r>
      <w:r>
        <w:t>负荷较低，难以用于处理高浓度氨氮废水。研究表明，能够完全截流微生物的膜生物反应器（MBR）可以防止硝化菌的流失，是一种比较理想的硝化反应器。膜生物反应器</w:t>
      </w:r>
      <w:r>
        <w:rPr>
          <w:rFonts w:hint="eastAsia"/>
          <w:lang w:eastAsia="zh-CN"/>
        </w:rPr>
        <w:t>（</w:t>
      </w:r>
      <w:r>
        <w:t>MBR</w:t>
      </w:r>
      <w:r>
        <w:rPr>
          <w:rFonts w:hint="eastAsia"/>
          <w:lang w:eastAsia="zh-CN"/>
        </w:rPr>
        <w:t>）</w:t>
      </w:r>
      <w:r>
        <w:t>处理高氨氮废水具有很大的优越性：首先，MBR内高浓度活性污泥可以加快氨氮和有机物的降解速率，提高处理效率；其次，MBR有利于增殖世代时间长，絮凝性差的硝化菌，减少了硝化细菌的比生长速率低，MBR较长的SRT可以有效地维持硝化菌数量，而活菌总数与污泥浓度成正比，污泥浓度越高，活菌数量也越高。</w:t>
      </w:r>
    </w:p>
    <w:p w14:paraId="1691110D">
      <w:pPr>
        <w:pStyle w:val="22"/>
        <w:bidi w:val="0"/>
      </w:pPr>
      <w:r>
        <w:rPr>
          <w:rFonts w:hint="eastAsia"/>
        </w:rPr>
        <w:t>型号</w:t>
      </w:r>
      <w:r>
        <w:t>：</w:t>
      </w:r>
      <w:r>
        <w:tab/>
      </w:r>
      <w:r>
        <w:tab/>
      </w:r>
      <w:r>
        <w:tab/>
      </w:r>
      <w:r>
        <w:tab/>
      </w:r>
      <w:r>
        <w:tab/>
      </w:r>
      <w:r>
        <w:tab/>
      </w:r>
      <w:r>
        <w:tab/>
      </w:r>
      <w:r>
        <w:tab/>
      </w:r>
      <w:r>
        <w:t>RHFX25/1</w:t>
      </w:r>
    </w:p>
    <w:p w14:paraId="24F99093">
      <w:pPr>
        <w:pStyle w:val="22"/>
        <w:bidi w:val="0"/>
      </w:pPr>
      <w:r>
        <w:t>数量：</w:t>
      </w:r>
      <w:r>
        <w:tab/>
      </w:r>
      <w:r>
        <w:tab/>
      </w:r>
      <w:r>
        <w:tab/>
      </w:r>
      <w:r>
        <w:tab/>
      </w:r>
      <w:r>
        <w:tab/>
      </w:r>
      <w:r>
        <w:tab/>
      </w:r>
      <w:r>
        <w:tab/>
      </w:r>
      <w:r>
        <w:tab/>
      </w:r>
      <w:r>
        <w:t>1座</w:t>
      </w:r>
    </w:p>
    <w:p w14:paraId="5BE61C6D">
      <w:pPr>
        <w:pStyle w:val="22"/>
        <w:bidi w:val="0"/>
        <w:rPr>
          <w:rFonts w:hint="eastAsia" w:eastAsia="宋体"/>
          <w:lang w:eastAsia="zh-CN"/>
        </w:rPr>
      </w:pPr>
      <w:r>
        <w:t>污泥浓度MLSS：</w:t>
      </w:r>
      <w:r>
        <w:tab/>
      </w:r>
      <w:r>
        <w:tab/>
      </w:r>
      <w:r>
        <w:tab/>
      </w:r>
      <w:r>
        <w:tab/>
      </w:r>
      <w:r>
        <w:tab/>
      </w:r>
      <w:r>
        <w:rPr>
          <w:rFonts w:hint="eastAsia"/>
        </w:rPr>
        <w:t>12-15</w:t>
      </w:r>
      <w:r>
        <w:t>kg/</w:t>
      </w:r>
      <w:r>
        <w:rPr>
          <w:rFonts w:hint="eastAsia"/>
          <w:lang w:eastAsia="zh-CN"/>
        </w:rPr>
        <w:t>m³</w:t>
      </w:r>
    </w:p>
    <w:p w14:paraId="1EDA5AD5">
      <w:pPr>
        <w:pStyle w:val="22"/>
        <w:bidi w:val="0"/>
      </w:pPr>
      <w:r>
        <w:t>反硝化速率qNi：</w:t>
      </w:r>
      <w:r>
        <w:tab/>
      </w:r>
      <w:r>
        <w:tab/>
      </w:r>
      <w:r>
        <w:tab/>
      </w:r>
      <w:r>
        <w:tab/>
      </w:r>
      <w:r>
        <w:tab/>
      </w:r>
      <w:r>
        <w:t>0.16kgNO3-N/kgMLSS/d</w:t>
      </w:r>
    </w:p>
    <w:p w14:paraId="6437D630">
      <w:pPr>
        <w:pStyle w:val="22"/>
        <w:bidi w:val="0"/>
      </w:pPr>
      <w:r>
        <w:t>反硝化率：</w:t>
      </w:r>
      <w:r>
        <w:tab/>
      </w:r>
      <w:r>
        <w:tab/>
      </w:r>
      <w:r>
        <w:tab/>
      </w:r>
      <w:r>
        <w:tab/>
      </w:r>
      <w:r>
        <w:tab/>
      </w:r>
      <w:r>
        <w:tab/>
      </w:r>
      <w:r>
        <w:tab/>
      </w:r>
      <w:r>
        <w:t>99%</w:t>
      </w:r>
    </w:p>
    <w:p w14:paraId="0027E466">
      <w:pPr>
        <w:pStyle w:val="22"/>
        <w:bidi w:val="0"/>
      </w:pPr>
      <w:r>
        <w:rPr>
          <w:rFonts w:hint="eastAsia"/>
        </w:rPr>
        <w:t>为防止罐体内冬季水温过低、结冰，影响罐内反硝化菌的活性，罐体与保温层之间安装自限温加热带一套。自限温加热带具有温度均匀，不会过热，节约电能，升温快速，在选用电热带的最长使用长度内任意剪断使用，重叠交叉等使用。</w:t>
      </w:r>
    </w:p>
    <w:p w14:paraId="73E1EB69">
      <w:pPr>
        <w:pStyle w:val="22"/>
        <w:bidi w:val="0"/>
      </w:pPr>
      <w:r>
        <w:rPr>
          <w:rFonts w:hint="eastAsia"/>
        </w:rPr>
        <w:t>技术标准</w:t>
      </w:r>
      <w:r>
        <w:rPr>
          <w:rFonts w:hint="eastAsia"/>
          <w:lang w:eastAsia="zh-CN"/>
        </w:rPr>
        <w:t>：</w:t>
      </w:r>
      <w:r>
        <w:rPr>
          <w:rFonts w:hint="eastAsia"/>
        </w:rPr>
        <w:t>反硝化罐为焊接碳钢结构的圆柱形容器，设备按标准进行设计、制造和试验，所涉及的标准详见执行标准表。反硝化罐为</w:t>
      </w:r>
      <w:r>
        <w:rPr>
          <w:rFonts w:hint="eastAsia"/>
          <w:lang w:eastAsia="zh-CN"/>
        </w:rPr>
        <w:t>现场</w:t>
      </w:r>
      <w:r>
        <w:rPr>
          <w:rFonts w:hint="eastAsia"/>
        </w:rPr>
        <w:t>制作，反硝化罐本体箱壁采用塔接焊。反硝化罐箱底直接放置在基础上进行装配与焊接，控制最小焊接变形量，任何部位的局部变形量不大于</w:t>
      </w:r>
      <w:r>
        <w:t>±30mm</w:t>
      </w:r>
      <w:r>
        <w:rPr>
          <w:rFonts w:hint="eastAsia"/>
        </w:rPr>
        <w:t>。反硝化罐整个箱体任何断面其椭圆度误差不大于直径的</w:t>
      </w:r>
      <w:r>
        <w:t>0.3%</w:t>
      </w:r>
      <w:r>
        <w:rPr>
          <w:rFonts w:hint="eastAsia"/>
        </w:rPr>
        <w:t>，垂直误差任何位置都不大于反硝化罐筒体高度的</w:t>
      </w:r>
      <w:r>
        <w:t>0.1%</w:t>
      </w:r>
      <w:r>
        <w:rPr>
          <w:rFonts w:hint="eastAsia"/>
        </w:rPr>
        <w:t>。反硝化罐就位前应保证基础平整，应一基础上先铺上</w:t>
      </w:r>
      <w:r>
        <w:t>15mm</w:t>
      </w:r>
      <w:r>
        <w:rPr>
          <w:rFonts w:hint="eastAsia"/>
        </w:rPr>
        <w:t>厚的黄沙，再铺上一层</w:t>
      </w:r>
      <w:r>
        <w:t>15mm</w:t>
      </w:r>
      <w:r>
        <w:rPr>
          <w:rFonts w:hint="eastAsia"/>
        </w:rPr>
        <w:t>厚的沥青沙。反硝化罐箱壁上的开孔避开焊缝，开孔与纵向焊缝之间的距离不小于</w:t>
      </w:r>
      <w:r>
        <w:t>500mm</w:t>
      </w:r>
      <w:r>
        <w:rPr>
          <w:rFonts w:hint="eastAsia"/>
        </w:rPr>
        <w:t>，与环向焊缝之间的距离不小于</w:t>
      </w:r>
      <w:r>
        <w:t>200mm</w:t>
      </w:r>
      <w:r>
        <w:rPr>
          <w:rFonts w:hint="eastAsia"/>
        </w:rPr>
        <w:t>。反硝化罐底板的下表面，下料后进行除锈，并涂防腐漆。反硝化罐箱体对接焊缝接口处焊前，均进行机械加工。反硝化罐外形要求平整、美观，不能有补口、裂口。反硝化罐为现场制作，制作完毕后作严密性的盛水试验，用</w:t>
      </w:r>
      <w:r>
        <w:t>1.5</w:t>
      </w:r>
      <w:r>
        <w:rPr>
          <w:rFonts w:hint="eastAsia"/>
        </w:rPr>
        <w:t>公斤锤子沿所有</w:t>
      </w:r>
      <w:r>
        <w:rPr>
          <w:rFonts w:hint="eastAsia"/>
          <w:lang w:eastAsia="zh-CN"/>
        </w:rPr>
        <w:t>焊缝</w:t>
      </w:r>
      <w:r>
        <w:rPr>
          <w:rFonts w:hint="eastAsia"/>
        </w:rPr>
        <w:t>距焊缝</w:t>
      </w:r>
      <w:r>
        <w:t>30</w:t>
      </w:r>
      <w:r>
        <w:rPr>
          <w:rFonts w:hint="eastAsia"/>
        </w:rPr>
        <w:t>～</w:t>
      </w:r>
      <w:r>
        <w:t>50mm</w:t>
      </w:r>
      <w:r>
        <w:rPr>
          <w:rFonts w:hint="eastAsia"/>
        </w:rPr>
        <w:t>处轻轻敲打，盛水时间不得小于</w:t>
      </w:r>
      <w:r>
        <w:t>24</w:t>
      </w:r>
      <w:r>
        <w:rPr>
          <w:rFonts w:hint="eastAsia"/>
        </w:rPr>
        <w:t>小时，逐步逐条焊缝进行检查，焊缝不得漏水及异常变形现象。反硝化罐箱底最底一圈纵向焊缝与箱底边板对接焊缝之间的距离不小于</w:t>
      </w:r>
      <w:r>
        <w:t>200mm</w:t>
      </w:r>
      <w:r>
        <w:rPr>
          <w:rFonts w:hint="eastAsia"/>
        </w:rPr>
        <w:t>，底板及箱壁上各平行焊缝间距离均不小于</w:t>
      </w:r>
      <w:r>
        <w:t>500mm</w:t>
      </w:r>
      <w:r>
        <w:rPr>
          <w:rFonts w:hint="eastAsia"/>
        </w:rPr>
        <w:t>，壁板的最小长度为</w:t>
      </w:r>
      <w:r>
        <w:t>1000mm</w:t>
      </w:r>
      <w:r>
        <w:rPr>
          <w:rFonts w:hint="eastAsia"/>
        </w:rPr>
        <w:t>。反硝化罐顶板局部凹凸度在任一米长度上不得大于</w:t>
      </w:r>
      <w:r>
        <w:t>5mm</w:t>
      </w:r>
      <w:r>
        <w:rPr>
          <w:rFonts w:hint="eastAsia"/>
        </w:rPr>
        <w:t>。反硝化罐经盛水试验合格后，内外进行彻底除锈，至金属本色，并进行彻底干燥，反硝化罐外壳涂二度氯磺化涂料</w:t>
      </w:r>
      <w:r>
        <w:rPr>
          <w:rFonts w:hint="eastAsia"/>
          <w:lang w:eastAsia="zh-CN"/>
        </w:rPr>
        <w:t>；</w:t>
      </w:r>
      <w:r>
        <w:rPr>
          <w:rFonts w:hint="eastAsia"/>
        </w:rPr>
        <w:t>内壁防腐使用煤沥青防腐，防腐层厚</w:t>
      </w:r>
      <w:r>
        <w:t>1mm</w:t>
      </w:r>
      <w:r>
        <w:rPr>
          <w:rFonts w:hint="eastAsia"/>
        </w:rPr>
        <w:t>。</w:t>
      </w:r>
      <w:bookmarkStart w:id="42" w:name="_Toc469002276"/>
      <w:bookmarkEnd w:id="42"/>
      <w:bookmarkStart w:id="43" w:name="_Toc469954433"/>
      <w:bookmarkEnd w:id="43"/>
      <w:r>
        <w:rPr>
          <w:rFonts w:hint="eastAsia"/>
        </w:rPr>
        <w:t>反硝化罐配有进水管、出水管、回流污水出口等。反硝化罐配有侧人孔、外爬梯、爬梯栏杆、箱顶栏杆及溢流管支架等。人孔配有人孔盖、垫圈、螺栓、螺母和起吊杆等全套部件。反硝化罐外用泡沫保温</w:t>
      </w:r>
      <w:r>
        <w:rPr>
          <w:rFonts w:hint="eastAsia"/>
          <w:lang w:eastAsia="zh-CN"/>
        </w:rPr>
        <w:t>，</w:t>
      </w:r>
      <w:r>
        <w:rPr>
          <w:rFonts w:hint="eastAsia"/>
        </w:rPr>
        <w:t>外用</w:t>
      </w:r>
      <w:r>
        <w:t>0.5mm</w:t>
      </w:r>
      <w:r>
        <w:rPr>
          <w:rFonts w:hint="eastAsia"/>
        </w:rPr>
        <w:t>的彩钢板包角</w:t>
      </w:r>
      <w:r>
        <w:rPr>
          <w:rFonts w:hint="eastAsia"/>
          <w:lang w:eastAsia="zh-CN"/>
        </w:rPr>
        <w:t>，</w:t>
      </w:r>
      <w:r>
        <w:rPr>
          <w:rFonts w:hint="eastAsia"/>
        </w:rPr>
        <w:t>保温层采用</w:t>
      </w:r>
      <w:r>
        <w:t>Ø6mm</w:t>
      </w:r>
      <w:r>
        <w:rPr>
          <w:rFonts w:hint="eastAsia"/>
        </w:rPr>
        <w:t>的保温钩钉固定</w:t>
      </w:r>
      <w:r>
        <w:rPr>
          <w:rFonts w:hint="eastAsia"/>
          <w:lang w:eastAsia="zh-CN"/>
        </w:rPr>
        <w:t>，</w:t>
      </w:r>
      <w:r>
        <w:rPr>
          <w:rFonts w:hint="eastAsia"/>
        </w:rPr>
        <w:t>保温钩钉设置间距不大于</w:t>
      </w:r>
      <w:r>
        <w:t>400mm</w:t>
      </w:r>
      <w:r>
        <w:rPr>
          <w:rFonts w:hint="eastAsia"/>
        </w:rPr>
        <w:t>。</w:t>
      </w:r>
    </w:p>
    <w:p w14:paraId="4137A44D">
      <w:pPr>
        <w:pStyle w:val="22"/>
        <w:bidi w:val="0"/>
      </w:pPr>
      <w:r>
        <w:t>配套提供：</w:t>
      </w:r>
    </w:p>
    <w:p w14:paraId="1A6767A7">
      <w:pPr>
        <w:pStyle w:val="22"/>
        <w:bidi w:val="0"/>
      </w:pPr>
      <w:r>
        <w:rPr>
          <w:rFonts w:hint="eastAsia"/>
          <w:lang w:val="en-US" w:eastAsia="zh-CN"/>
        </w:rPr>
        <w:t xml:space="preserve">① </w:t>
      </w:r>
      <w:r>
        <w:t>液下搅拌机</w:t>
      </w:r>
    </w:p>
    <w:p w14:paraId="28E6F578">
      <w:pPr>
        <w:pStyle w:val="22"/>
        <w:bidi w:val="0"/>
      </w:pPr>
      <w:r>
        <w:t>水下搅拌机用于</w:t>
      </w:r>
      <w:r>
        <w:rPr>
          <w:rFonts w:hint="eastAsia"/>
        </w:rPr>
        <w:t>反</w:t>
      </w:r>
      <w:r>
        <w:t>硝化罐内污泥、回流硝化液及进水的混合搅拌，使污泥呈悬浮状</w:t>
      </w:r>
      <w:r>
        <w:rPr>
          <w:rFonts w:hint="eastAsia"/>
          <w:lang w:eastAsia="zh-CN"/>
        </w:rPr>
        <w:t>，</w:t>
      </w:r>
      <w:r>
        <w:t>以保证活性污泥与污水的混合反应。搅拌叶轮在电机的驱动下旋转搅拌使污泥产生旋向射流，利用沿着射流表面的剪切应力来进行对污泥匀质混合，使流场以外的污泥摩擦产生搅拌作用，在极度混合的同时形成体积流，应用大体积流动模式使受控流体得到充分混合。</w:t>
      </w:r>
    </w:p>
    <w:p w14:paraId="12AD4342">
      <w:pPr>
        <w:pStyle w:val="22"/>
        <w:bidi w:val="0"/>
        <w:rPr>
          <w:rFonts w:hint="default" w:eastAsia="宋体"/>
          <w:lang w:val="en-US" w:eastAsia="zh-CN"/>
        </w:rPr>
      </w:pPr>
      <w:r>
        <w:rPr>
          <w:rFonts w:hint="eastAsia"/>
          <w:lang w:val="en-US" w:eastAsia="zh-CN"/>
        </w:rPr>
        <w:t>设备规范：</w:t>
      </w:r>
    </w:p>
    <w:p w14:paraId="51A277F9">
      <w:pPr>
        <w:pStyle w:val="22"/>
        <w:bidi w:val="0"/>
      </w:pPr>
      <w:r>
        <w:t>型式：混合搅拌式</w:t>
      </w:r>
    </w:p>
    <w:p w14:paraId="3D30419F">
      <w:pPr>
        <w:pStyle w:val="22"/>
        <w:bidi w:val="0"/>
      </w:pPr>
      <w:r>
        <w:t>数量：1套</w:t>
      </w:r>
    </w:p>
    <w:p w14:paraId="63E04599">
      <w:pPr>
        <w:pStyle w:val="22"/>
        <w:bidi w:val="0"/>
      </w:pPr>
      <w:r>
        <w:t>技术标准：水下搅拌机由潜水电机、搅拌叶轮、密封机构、减速机、提升机构等部分构成。</w:t>
      </w:r>
    </w:p>
    <w:p w14:paraId="6F880D02">
      <w:pPr>
        <w:pStyle w:val="22"/>
        <w:bidi w:val="0"/>
      </w:pPr>
      <w:r>
        <w:t>性能特点：水下搅拌机结构紧凑、操作维护简单、安装检修方便、使用寿命长。叶轮具有最佳的水力设计结构，搅拌效率高，后掠式叶片具有自洁功能可防杂物缠绕、堵塞。电机绝缘等级为F级，防护等级为IP68，选用进口轴承和独有专利的机械密封油腔结构，使电机的工作更加安全可靠。机械密封，材质为碳化钨一碳化钨。所有外露紧固件均为不锈钢。低速推流器为齿轮减速下传动。采用两套独立的碳化硅机械密封方式，保证产品使用的可靠性叶轮后轴端增加了聚四氟乙烯唇型密封防止砂粒进入油室；增加一套轴承支撑点保证设备在运行中能承受较强轴向力；采用三片螺旋桨，叶片具有很高的强度和刚度；叶轮外形设计使叶片能自净、无缠绕、增加了运转的平稳运行；叶轮设计为有利于产生射流的薄形轮廓，可形成最佳流场；叶轮角度采用后掠角结构提高了水力推流能力；叶轮能够满足水下防腐要求，使用寿命长。</w:t>
      </w:r>
    </w:p>
    <w:p w14:paraId="155971D7">
      <w:pPr>
        <w:pStyle w:val="22"/>
        <w:bidi w:val="0"/>
      </w:pPr>
      <w:r>
        <w:rPr>
          <w:rFonts w:hint="eastAsia"/>
          <w:lang w:val="en-US" w:eastAsia="zh-CN"/>
        </w:rPr>
        <w:t xml:space="preserve">② </w:t>
      </w:r>
      <w:r>
        <w:rPr>
          <w:rFonts w:hint="eastAsia"/>
        </w:rPr>
        <w:t>碳源投加</w:t>
      </w:r>
      <w:r>
        <w:t>装置</w:t>
      </w:r>
    </w:p>
    <w:p w14:paraId="6C9D131C">
      <w:pPr>
        <w:pStyle w:val="22"/>
        <w:bidi w:val="0"/>
      </w:pPr>
      <w:r>
        <w:rPr>
          <w:rFonts w:hint="eastAsia"/>
        </w:rPr>
        <w:t>碳源投加</w:t>
      </w:r>
      <w:r>
        <w:t>装置用来向</w:t>
      </w:r>
      <w:r>
        <w:rPr>
          <w:rFonts w:hint="eastAsia"/>
        </w:rPr>
        <w:t>一级反</w:t>
      </w:r>
      <w:r>
        <w:t>硝化池内投加</w:t>
      </w:r>
      <w:r>
        <w:rPr>
          <w:rFonts w:hint="eastAsia"/>
        </w:rPr>
        <w:t>碳源</w:t>
      </w:r>
      <w:r>
        <w:rPr>
          <w:rFonts w:hint="eastAsia"/>
          <w:lang w:eastAsia="zh-CN"/>
        </w:rPr>
        <w:t>，</w:t>
      </w:r>
      <w:r>
        <w:rPr>
          <w:rFonts w:hint="eastAsia"/>
        </w:rPr>
        <w:t>主要是供给反硝化菌进行反硝化反应时使用。</w:t>
      </w:r>
    </w:p>
    <w:p w14:paraId="3F8C7A71">
      <w:pPr>
        <w:pStyle w:val="22"/>
        <w:bidi w:val="0"/>
        <w:rPr>
          <w:rFonts w:hint="eastAsia" w:eastAsia="宋体"/>
          <w:lang w:eastAsia="zh-CN"/>
        </w:rPr>
      </w:pPr>
      <w:r>
        <w:t>设备规范</w:t>
      </w:r>
      <w:r>
        <w:rPr>
          <w:rFonts w:hint="eastAsia"/>
          <w:lang w:eastAsia="zh-CN"/>
        </w:rPr>
        <w:t>：</w:t>
      </w:r>
    </w:p>
    <w:p w14:paraId="3A4C7EF0">
      <w:pPr>
        <w:pStyle w:val="22"/>
        <w:bidi w:val="0"/>
      </w:pPr>
      <w:r>
        <w:t>型号：JBY1/1-1.6/0.76</w:t>
      </w:r>
    </w:p>
    <w:p w14:paraId="7FCB442B">
      <w:pPr>
        <w:pStyle w:val="22"/>
        <w:bidi w:val="0"/>
      </w:pPr>
      <w:r>
        <w:t>数量：1套</w:t>
      </w:r>
    </w:p>
    <w:p w14:paraId="24713831">
      <w:pPr>
        <w:pStyle w:val="22"/>
        <w:bidi w:val="0"/>
      </w:pPr>
      <w:r>
        <w:t>技术标准</w:t>
      </w:r>
      <w:r>
        <w:rPr>
          <w:rFonts w:hint="eastAsia"/>
          <w:lang w:eastAsia="zh-CN"/>
        </w:rPr>
        <w:t>：</w:t>
      </w:r>
      <w:r>
        <w:t>本加药装置设有溶液箱</w:t>
      </w:r>
      <w:r>
        <w:rPr>
          <w:rFonts w:hint="eastAsia"/>
          <w:lang w:eastAsia="zh-CN"/>
        </w:rPr>
        <w:t>（</w:t>
      </w:r>
      <w:r>
        <w:t>溶液箱配套液位计</w:t>
      </w:r>
      <w:r>
        <w:rPr>
          <w:rFonts w:hint="eastAsia"/>
          <w:lang w:eastAsia="zh-CN"/>
        </w:rPr>
        <w:t>）</w:t>
      </w:r>
      <w:r>
        <w:t>、管式过滤器、计量泵、压力表、内连管道、手动阀门、底座等全套附件。所有组件均布置在加药箱上</w:t>
      </w:r>
      <w:r>
        <w:rPr>
          <w:rFonts w:hint="eastAsia"/>
          <w:lang w:eastAsia="zh-CN"/>
        </w:rPr>
        <w:t>，</w:t>
      </w:r>
      <w:r>
        <w:t>单元供货。溶液箱为直立圆筒形结构</w:t>
      </w:r>
      <w:r>
        <w:rPr>
          <w:rFonts w:hint="eastAsia"/>
          <w:lang w:eastAsia="zh-CN"/>
        </w:rPr>
        <w:t>，</w:t>
      </w:r>
      <w:r>
        <w:t>上部带园盖。溶液箱配有出液口、排污口、液位开关接口、稀释水进口、进药口。计量泵为正排量形式</w:t>
      </w:r>
      <w:r>
        <w:rPr>
          <w:rFonts w:hint="eastAsia"/>
          <w:lang w:eastAsia="zh-CN"/>
        </w:rPr>
        <w:t>，</w:t>
      </w:r>
      <w:r>
        <w:t>可调节冲程。进口设有管式过滤器、出口装设多功能阀</w:t>
      </w:r>
      <w:r>
        <w:rPr>
          <w:rFonts w:hint="eastAsia"/>
          <w:lang w:eastAsia="zh-CN"/>
        </w:rPr>
        <w:t>，</w:t>
      </w:r>
      <w:r>
        <w:t>多功能阀具有防虹吸/背压、管路泄压、初始化及管路排污的功能。计量泵为电磁隔膜</w:t>
      </w:r>
      <w:r>
        <w:rPr>
          <w:rFonts w:hint="eastAsia"/>
          <w:lang w:eastAsia="zh-CN"/>
        </w:rPr>
        <w:t>，</w:t>
      </w:r>
      <w:r>
        <w:t>带液晶显示和四个触膜键</w:t>
      </w:r>
      <w:r>
        <w:rPr>
          <w:rFonts w:hint="eastAsia"/>
          <w:lang w:eastAsia="zh-CN"/>
        </w:rPr>
        <w:t>，</w:t>
      </w:r>
      <w:r>
        <w:t>流量可调节范围在10～100%。计量泵能对加药点的最高压力时输出全流量</w:t>
      </w:r>
      <w:r>
        <w:rPr>
          <w:rFonts w:hint="eastAsia"/>
          <w:lang w:eastAsia="zh-CN"/>
        </w:rPr>
        <w:t>，</w:t>
      </w:r>
      <w:r>
        <w:t>泵输出流量精度在总变化流量的1%以内</w:t>
      </w:r>
      <w:r>
        <w:rPr>
          <w:rFonts w:hint="eastAsia"/>
          <w:lang w:eastAsia="zh-CN"/>
        </w:rPr>
        <w:t>，</w:t>
      </w:r>
      <w:r>
        <w:t>滞后小于0.1秒。管式过滤器为PVC结构</w:t>
      </w:r>
      <w:r>
        <w:rPr>
          <w:rFonts w:hint="eastAsia"/>
          <w:lang w:eastAsia="zh-CN"/>
        </w:rPr>
        <w:t>，</w:t>
      </w:r>
      <w:r>
        <w:t>内部装有尼龙滤元</w:t>
      </w:r>
      <w:r>
        <w:rPr>
          <w:rFonts w:hint="eastAsia"/>
          <w:lang w:eastAsia="zh-CN"/>
        </w:rPr>
        <w:t>，</w:t>
      </w:r>
      <w:r>
        <w:t>缝隙0.3</w:t>
      </w:r>
      <w:r>
        <w:rPr>
          <w:rFonts w:hint="eastAsia"/>
          <w:lang w:eastAsia="zh-CN"/>
        </w:rPr>
        <w:t>（</w:t>
      </w:r>
      <w:r>
        <w:t>0.05mm。所有管道出口设有1套压力表</w:t>
      </w:r>
      <w:r>
        <w:rPr>
          <w:rFonts w:hint="eastAsia"/>
          <w:lang w:eastAsia="zh-CN"/>
        </w:rPr>
        <w:t>，</w:t>
      </w:r>
      <w:r>
        <w:t>可以显示加药点的压力。所有排放点通过漏斗接至一根总排水管上</w:t>
      </w:r>
      <w:r>
        <w:rPr>
          <w:rFonts w:hint="eastAsia"/>
          <w:lang w:eastAsia="zh-CN"/>
        </w:rPr>
        <w:t>，</w:t>
      </w:r>
      <w:r>
        <w:t>整个装置有一个总排水点。溶液箱均设有液位开关</w:t>
      </w:r>
      <w:r>
        <w:rPr>
          <w:rFonts w:hint="eastAsia"/>
          <w:lang w:eastAsia="zh-CN"/>
        </w:rPr>
        <w:t>，</w:t>
      </w:r>
      <w:r>
        <w:t>具有低液位开关量信号输出的功能。</w:t>
      </w:r>
    </w:p>
    <w:p w14:paraId="4B584806">
      <w:pPr>
        <w:pStyle w:val="22"/>
        <w:bidi w:val="0"/>
      </w:pPr>
      <w:bookmarkStart w:id="44" w:name="_Toc493099942"/>
      <w:bookmarkStart w:id="45" w:name="_Toc185150583"/>
      <w:r>
        <w:rPr>
          <w:rFonts w:hint="eastAsia"/>
          <w:lang w:eastAsia="zh-CN"/>
        </w:rPr>
        <w:t>（</w:t>
      </w:r>
      <w:r>
        <w:rPr>
          <w:rFonts w:hint="eastAsia"/>
          <w:lang w:val="en-US" w:eastAsia="zh-CN"/>
        </w:rPr>
        <w:t>7</w:t>
      </w:r>
      <w:r>
        <w:rPr>
          <w:rFonts w:hint="eastAsia"/>
          <w:lang w:eastAsia="zh-CN"/>
        </w:rPr>
        <w:t>）</w:t>
      </w:r>
      <w:r>
        <w:rPr>
          <w:rFonts w:hint="eastAsia"/>
        </w:rPr>
        <w:t>一级</w:t>
      </w:r>
      <w:r>
        <w:t>硝化</w:t>
      </w:r>
      <w:bookmarkEnd w:id="44"/>
      <w:r>
        <w:rPr>
          <w:rFonts w:hint="eastAsia"/>
        </w:rPr>
        <w:t>罐</w:t>
      </w:r>
      <w:bookmarkEnd w:id="45"/>
    </w:p>
    <w:p w14:paraId="4E3AD4DD">
      <w:pPr>
        <w:pStyle w:val="22"/>
        <w:bidi w:val="0"/>
      </w:pPr>
      <w:bookmarkStart w:id="46" w:name="OLE_LINK10"/>
      <w:bookmarkStart w:id="47" w:name="OLE_LINK7"/>
      <w:bookmarkStart w:id="48" w:name="OLE_LINK6"/>
      <w:r>
        <w:t>生物硝化是在好氧条件下，通过亚硝酸盐菌和硝酸盐菌的作用，将氨氮氧化成亚硝酸盐和硝酸盐的过程</w:t>
      </w:r>
      <w:bookmarkEnd w:id="46"/>
      <w:bookmarkEnd w:id="47"/>
      <w:bookmarkEnd w:id="48"/>
      <w:r>
        <w:t>。如果反应完全，氨氧化成硝酸盐分两阶段完成：第一阶段，在亚硝酸菌的作用下使氨氧化成亚硝酸盐，亚硝酸菌属于强好氧性自养细菌，利用氨作为其唯一能源；第二阶段，在硝酸菌的作用下，使亚硝酸盐转化为硝酸盐，硝酸菌是以亚硝酸作为唯一能源的特种自养细菌。虽然有些异养生物也能进行硝化，但硝化中最主要的生物是亚硝酸菌属和硝酸菌属。硝化最佳pH值为8.4，当pH在7.8～8.9范围时，为最佳速度的90%。当温度从5℃提高到30℃时，硝化速度也随之不断增加，一般温度应维持在20℃～40℃为宜。反硝化就是在缺氧条件下，由于反硝化菌的作用，将NO2-和NO3-还原为N2的过程，其过程的电子供体是各种各样的有机底物</w:t>
      </w:r>
      <w:r>
        <w:rPr>
          <w:rFonts w:hint="eastAsia"/>
          <w:lang w:eastAsia="zh-CN"/>
        </w:rPr>
        <w:t>（</w:t>
      </w:r>
      <w:r>
        <w:t>碳源</w:t>
      </w:r>
      <w:r>
        <w:rPr>
          <w:rFonts w:hint="eastAsia"/>
          <w:lang w:eastAsia="zh-CN"/>
        </w:rPr>
        <w:t>）</w:t>
      </w:r>
      <w:r>
        <w:t>。</w:t>
      </w:r>
    </w:p>
    <w:p w14:paraId="2263DA42">
      <w:pPr>
        <w:pStyle w:val="22"/>
        <w:bidi w:val="0"/>
      </w:pPr>
      <w:r>
        <w:rPr>
          <w:rFonts w:hint="eastAsia"/>
        </w:rPr>
        <w:t>型号</w:t>
      </w:r>
      <w:r>
        <w:t>：</w:t>
      </w:r>
      <w:r>
        <w:tab/>
      </w:r>
      <w:r>
        <w:tab/>
      </w:r>
      <w:r>
        <w:tab/>
      </w:r>
      <w:r>
        <w:tab/>
      </w:r>
      <w:r>
        <w:t>RHXH25/1</w:t>
      </w:r>
    </w:p>
    <w:p w14:paraId="6FC42565">
      <w:pPr>
        <w:pStyle w:val="22"/>
        <w:bidi w:val="0"/>
      </w:pPr>
      <w:r>
        <w:rPr>
          <w:rFonts w:hint="eastAsia"/>
        </w:rPr>
        <w:t>设计工作温度：28-30℃</w:t>
      </w:r>
    </w:p>
    <w:p w14:paraId="536F317E">
      <w:pPr>
        <w:pStyle w:val="22"/>
        <w:bidi w:val="0"/>
      </w:pPr>
      <w:r>
        <w:t>数量：</w:t>
      </w:r>
      <w:r>
        <w:tab/>
      </w:r>
      <w:r>
        <w:tab/>
      </w:r>
      <w:r>
        <w:tab/>
      </w:r>
      <w:r>
        <w:tab/>
      </w:r>
      <w:r>
        <w:rPr>
          <w:rFonts w:hint="eastAsia"/>
        </w:rPr>
        <w:t>1</w:t>
      </w:r>
      <w:r>
        <w:t>座</w:t>
      </w:r>
    </w:p>
    <w:p w14:paraId="4A258082">
      <w:pPr>
        <w:pStyle w:val="22"/>
        <w:bidi w:val="0"/>
      </w:pPr>
      <w:r>
        <w:rPr>
          <w:rFonts w:hint="eastAsia"/>
        </w:rPr>
        <w:t>为防止罐体内冬季水温过低、结冰，影响罐内反硝化菌的活性，罐体与保温层之间安装自限温加热带一套。自限温加热带具有温度均匀，不会过热，节约电能，升温快速，在选用电热带的最长使用长度内任意剪断使用，重叠交叉等使用。</w:t>
      </w:r>
    </w:p>
    <w:p w14:paraId="6A2EC2F4">
      <w:pPr>
        <w:pStyle w:val="22"/>
        <w:bidi w:val="0"/>
      </w:pPr>
      <w:r>
        <w:rPr>
          <w:rFonts w:hint="eastAsia"/>
        </w:rPr>
        <w:t>技术标准</w:t>
      </w:r>
      <w:r>
        <w:rPr>
          <w:rFonts w:hint="eastAsia"/>
          <w:lang w:eastAsia="zh-CN"/>
        </w:rPr>
        <w:t>：</w:t>
      </w:r>
      <w:r>
        <w:rPr>
          <w:rFonts w:hint="eastAsia"/>
        </w:rPr>
        <w:t>硝化罐为焊接碳钢结构的圆柱形容器，设备按标准进行设计、制造和试验，所涉及的标准详见执行标准表。本硝化罐为现场现场制作，硝化罐本体箱壁采用塔接焊。硝化罐箱底直接放置在基础上进行装配与焊接，控制最小焊接变形量，任何部位的局部变形量不大于</w:t>
      </w:r>
      <w:r>
        <w:t>±30mm</w:t>
      </w:r>
      <w:r>
        <w:rPr>
          <w:rFonts w:hint="eastAsia"/>
        </w:rPr>
        <w:t>。硝化罐整个箱体任何断面其椭圆度误差不大于直径的</w:t>
      </w:r>
      <w:r>
        <w:t>0.3%</w:t>
      </w:r>
      <w:r>
        <w:rPr>
          <w:rFonts w:hint="eastAsia"/>
        </w:rPr>
        <w:t>，垂直误差任何位置都不大于硝化罐筒体高度的</w:t>
      </w:r>
      <w:r>
        <w:t>0.1%</w:t>
      </w:r>
      <w:r>
        <w:rPr>
          <w:rFonts w:hint="eastAsia"/>
        </w:rPr>
        <w:t>。硝化罐就位前应保证基础平整，应一基础上先铺上</w:t>
      </w:r>
      <w:r>
        <w:t>15mm</w:t>
      </w:r>
      <w:r>
        <w:rPr>
          <w:rFonts w:hint="eastAsia"/>
        </w:rPr>
        <w:t>厚的黄沙，再铺上一层</w:t>
      </w:r>
      <w:r>
        <w:t>15mm</w:t>
      </w:r>
      <w:r>
        <w:rPr>
          <w:rFonts w:hint="eastAsia"/>
        </w:rPr>
        <w:t>厚的沥青沙。硝化罐箱壁上的开孔避开焊缝，开孔与纵向焊缝之间的距离不小于</w:t>
      </w:r>
      <w:r>
        <w:t>500mm</w:t>
      </w:r>
      <w:r>
        <w:rPr>
          <w:rFonts w:hint="eastAsia"/>
        </w:rPr>
        <w:t>，与环向焊缝之间的距离不小于</w:t>
      </w:r>
      <w:r>
        <w:t>200mm</w:t>
      </w:r>
      <w:r>
        <w:rPr>
          <w:rFonts w:hint="eastAsia"/>
        </w:rPr>
        <w:t>。硝化罐底板的下表面，下料后进行除锈，并涂防腐漆。硝化罐箱体对接焊缝接口处焊前，均进行机械加工。硝化罐外形要求平整、美观，不能有补口、裂口。硝化罐为现场制作，制作完毕后作严密性的盛水试验，用</w:t>
      </w:r>
      <w:r>
        <w:t>1.5</w:t>
      </w:r>
      <w:r>
        <w:rPr>
          <w:rFonts w:hint="eastAsia"/>
        </w:rPr>
        <w:t>公斤锤子沿所有焊缝但距焊缝</w:t>
      </w:r>
      <w:r>
        <w:t>30</w:t>
      </w:r>
      <w:r>
        <w:rPr>
          <w:rFonts w:hint="eastAsia"/>
        </w:rPr>
        <w:t>～</w:t>
      </w:r>
      <w:r>
        <w:t>50mm</w:t>
      </w:r>
      <w:r>
        <w:rPr>
          <w:rFonts w:hint="eastAsia"/>
        </w:rPr>
        <w:t>处轻轻敲打，盛水时间不得小于</w:t>
      </w:r>
      <w:r>
        <w:t>24</w:t>
      </w:r>
      <w:r>
        <w:rPr>
          <w:rFonts w:hint="eastAsia"/>
        </w:rPr>
        <w:t>小时，逐步逐条焊缝进行检查，焊缝不得漏水及异常变形现象。硝化罐箱底最底一圈纵向焊缝与箱底边板对接焊缝之间的距离不小于</w:t>
      </w:r>
      <w:r>
        <w:t>200mm</w:t>
      </w:r>
      <w:r>
        <w:rPr>
          <w:rFonts w:hint="eastAsia"/>
        </w:rPr>
        <w:t>，底板及箱壁上各平行焊缝间距离均不小于</w:t>
      </w:r>
      <w:r>
        <w:t>500mm</w:t>
      </w:r>
      <w:r>
        <w:rPr>
          <w:rFonts w:hint="eastAsia"/>
        </w:rPr>
        <w:t>，壁板的最小长度为</w:t>
      </w:r>
      <w:r>
        <w:t>1000mm</w:t>
      </w:r>
      <w:r>
        <w:rPr>
          <w:rFonts w:hint="eastAsia"/>
        </w:rPr>
        <w:t>。硝化罐顶板局部凹凸度在任一米长度上不得大于</w:t>
      </w:r>
      <w:r>
        <w:t>5mm</w:t>
      </w:r>
      <w:r>
        <w:rPr>
          <w:rFonts w:hint="eastAsia"/>
        </w:rPr>
        <w:t>。硝化罐经盛水试验合格后，内外进行彻底除锈，至金属本色，并进行彻底干燥，硝化罐外壳涂二度氯磺化涂料</w:t>
      </w:r>
      <w:r>
        <w:rPr>
          <w:rFonts w:hint="eastAsia"/>
          <w:lang w:eastAsia="zh-CN"/>
        </w:rPr>
        <w:t>；</w:t>
      </w:r>
      <w:r>
        <w:rPr>
          <w:rFonts w:hint="eastAsia"/>
        </w:rPr>
        <w:t>内壁防腐煤沥青防腐。硝化罐配有进水管、出水管、回流污水出口等。本硝化罐配有侧人孔、外爬梯、爬梯栏杆、箱顶栏杆及溢流管支架等。人孔配有人孔盖、垫圈、螺栓、螺母和起吊杆等全套部件。硝化罐外用泡沫保温，外用</w:t>
      </w:r>
      <w:r>
        <w:t>0.5mm</w:t>
      </w:r>
      <w:r>
        <w:rPr>
          <w:rFonts w:hint="eastAsia"/>
        </w:rPr>
        <w:t>的彩钢板包角</w:t>
      </w:r>
      <w:r>
        <w:rPr>
          <w:rFonts w:hint="eastAsia"/>
          <w:lang w:eastAsia="zh-CN"/>
        </w:rPr>
        <w:t>，</w:t>
      </w:r>
      <w:r>
        <w:rPr>
          <w:rFonts w:hint="eastAsia"/>
        </w:rPr>
        <w:t>保温层采用</w:t>
      </w:r>
      <w:r>
        <w:t>ф6mm</w:t>
      </w:r>
      <w:r>
        <w:rPr>
          <w:rFonts w:hint="eastAsia"/>
        </w:rPr>
        <w:t>的保温钩钉固定</w:t>
      </w:r>
      <w:r>
        <w:rPr>
          <w:rFonts w:hint="eastAsia"/>
          <w:lang w:eastAsia="zh-CN"/>
        </w:rPr>
        <w:t>，</w:t>
      </w:r>
      <w:r>
        <w:rPr>
          <w:rFonts w:hint="eastAsia"/>
        </w:rPr>
        <w:t>保温钩钉设置间距不大于</w:t>
      </w:r>
      <w:r>
        <w:t>400mm</w:t>
      </w:r>
      <w:r>
        <w:rPr>
          <w:rFonts w:hint="eastAsia"/>
        </w:rPr>
        <w:t>。</w:t>
      </w:r>
    </w:p>
    <w:p w14:paraId="31470CA5">
      <w:pPr>
        <w:pStyle w:val="22"/>
        <w:bidi w:val="0"/>
      </w:pPr>
      <w:r>
        <w:t>配套提供：</w:t>
      </w:r>
    </w:p>
    <w:p w14:paraId="4288957D">
      <w:pPr>
        <w:pStyle w:val="22"/>
        <w:bidi w:val="0"/>
      </w:pPr>
      <w:r>
        <w:rPr>
          <w:rFonts w:hint="eastAsia"/>
          <w:lang w:val="en-US" w:eastAsia="zh-CN"/>
        </w:rPr>
        <w:t xml:space="preserve">① </w:t>
      </w:r>
      <w:r>
        <w:t>回流泵</w:t>
      </w:r>
    </w:p>
    <w:p w14:paraId="13504CC5">
      <w:pPr>
        <w:pStyle w:val="22"/>
        <w:bidi w:val="0"/>
      </w:pPr>
      <w:r>
        <w:t>污水回流泵用于硝化</w:t>
      </w:r>
      <w:r>
        <w:rPr>
          <w:rFonts w:hint="eastAsia"/>
        </w:rPr>
        <w:t>池</w:t>
      </w:r>
      <w:r>
        <w:t>内污水的提升</w:t>
      </w:r>
      <w:r>
        <w:rPr>
          <w:rFonts w:hint="eastAsia"/>
          <w:lang w:eastAsia="zh-CN"/>
        </w:rPr>
        <w:t>，</w:t>
      </w:r>
      <w:r>
        <w:t>经提升后回流至反硝化</w:t>
      </w:r>
      <w:r>
        <w:rPr>
          <w:rFonts w:hint="eastAsia"/>
        </w:rPr>
        <w:t>池。</w:t>
      </w:r>
    </w:p>
    <w:p w14:paraId="6D8EE51C">
      <w:pPr>
        <w:pStyle w:val="22"/>
        <w:bidi w:val="0"/>
        <w:rPr>
          <w:rFonts w:hint="eastAsia" w:eastAsia="宋体"/>
          <w:lang w:eastAsia="zh-CN"/>
        </w:rPr>
      </w:pPr>
      <w:r>
        <w:t>设备规范</w:t>
      </w:r>
      <w:r>
        <w:rPr>
          <w:rFonts w:hint="eastAsia"/>
          <w:lang w:eastAsia="zh-CN"/>
        </w:rPr>
        <w:t>：</w:t>
      </w:r>
    </w:p>
    <w:p w14:paraId="28ABC3CB">
      <w:pPr>
        <w:pStyle w:val="22"/>
        <w:bidi w:val="0"/>
      </w:pPr>
      <w:r>
        <w:rPr>
          <w:rFonts w:hint="eastAsia"/>
        </w:rPr>
        <w:t>形式：卧式离心泵</w:t>
      </w:r>
    </w:p>
    <w:p w14:paraId="409E697B">
      <w:pPr>
        <w:pStyle w:val="22"/>
        <w:bidi w:val="0"/>
      </w:pPr>
      <w:r>
        <w:t>数量：2台</w:t>
      </w:r>
      <w:r>
        <w:rPr>
          <w:rFonts w:hint="eastAsia"/>
        </w:rPr>
        <w:t>（一用一备，备用泵与二级硝化共用）</w:t>
      </w:r>
    </w:p>
    <w:p w14:paraId="74217242">
      <w:pPr>
        <w:pStyle w:val="22"/>
        <w:bidi w:val="0"/>
      </w:pPr>
      <w:r>
        <w:rPr>
          <w:rFonts w:hint="eastAsia"/>
          <w:lang w:val="en-US" w:eastAsia="zh-CN"/>
        </w:rPr>
        <w:t xml:space="preserve">② </w:t>
      </w:r>
      <w:r>
        <w:t>射流曝气器</w:t>
      </w:r>
    </w:p>
    <w:p w14:paraId="18C5AFEF">
      <w:pPr>
        <w:pStyle w:val="22"/>
        <w:bidi w:val="0"/>
      </w:pPr>
      <w:r>
        <w:t>射流曝气器采用法尔管盘式结构</w:t>
      </w:r>
      <w:r>
        <w:rPr>
          <w:rFonts w:hint="eastAsia"/>
          <w:lang w:eastAsia="zh-CN"/>
        </w:rPr>
        <w:t>，</w:t>
      </w:r>
      <w:r>
        <w:t>有A（内喷嘴为拉法尔管）和B（外喷嘴为拉法尔管）两个系列，适用于各种活性污泥法污水处理工艺的充氧曝气。该系列产品的内喷嘴或外喷嘴采用了独创性的拉法尔管设计。根据拉法尔原理，水流通过拉法尔管的收缩颈后流速会骤然加快，因而该系列产品克服了目前国内、外市场上其它类型的射流曝气产品的运行能耗高及服务面积小的缺点，与这些产品相比，各项曝气性能指标均有大幅度提高。</w:t>
      </w:r>
    </w:p>
    <w:p w14:paraId="35078718">
      <w:pPr>
        <w:pStyle w:val="22"/>
        <w:bidi w:val="0"/>
      </w:pPr>
      <w:r>
        <w:t>设备规范</w:t>
      </w:r>
      <w:r>
        <w:rPr>
          <w:rFonts w:hint="eastAsia"/>
        </w:rPr>
        <w:t>：</w:t>
      </w:r>
    </w:p>
    <w:p w14:paraId="564FF2AB">
      <w:pPr>
        <w:pStyle w:val="22"/>
        <w:bidi w:val="0"/>
      </w:pPr>
      <w:r>
        <w:t>型号：DSLQ-6-</w:t>
      </w:r>
      <w:r>
        <w:rPr>
          <w:rFonts w:hint="eastAsia"/>
        </w:rPr>
        <w:t>Ⅰ</w:t>
      </w:r>
    </w:p>
    <w:p w14:paraId="2A7CCFA6">
      <w:pPr>
        <w:pStyle w:val="22"/>
        <w:bidi w:val="0"/>
      </w:pPr>
      <w:r>
        <w:t>数量：</w:t>
      </w:r>
      <w:r>
        <w:rPr>
          <w:rFonts w:hint="eastAsia"/>
        </w:rPr>
        <w:t>1</w:t>
      </w:r>
      <w:r>
        <w:t>套</w:t>
      </w:r>
    </w:p>
    <w:p w14:paraId="16B5C1F8">
      <w:pPr>
        <w:pStyle w:val="22"/>
        <w:bidi w:val="0"/>
      </w:pPr>
      <w:r>
        <w:t>混合液温度：15～35℃</w:t>
      </w:r>
    </w:p>
    <w:p w14:paraId="722C4C5D">
      <w:pPr>
        <w:pStyle w:val="22"/>
        <w:bidi w:val="0"/>
      </w:pPr>
      <w:r>
        <w:t>pH</w:t>
      </w:r>
      <w:r>
        <w:rPr>
          <w:rFonts w:hint="eastAsia"/>
          <w:lang w:eastAsia="zh-CN"/>
        </w:rPr>
        <w:t>：</w:t>
      </w:r>
      <w:r>
        <w:t>6～9</w:t>
      </w:r>
    </w:p>
    <w:p w14:paraId="60322476">
      <w:pPr>
        <w:pStyle w:val="22"/>
        <w:bidi w:val="0"/>
      </w:pPr>
      <w:r>
        <w:t>动力效率：3.8～4.0kgO2/KW•h</w:t>
      </w:r>
    </w:p>
    <w:p w14:paraId="7890B619">
      <w:pPr>
        <w:pStyle w:val="22"/>
        <w:bidi w:val="0"/>
      </w:pPr>
      <w:r>
        <w:t>充氧能力：6～7kgO2/h</w:t>
      </w:r>
    </w:p>
    <w:p w14:paraId="312844F4">
      <w:pPr>
        <w:pStyle w:val="22"/>
        <w:bidi w:val="0"/>
      </w:pPr>
      <w:r>
        <w:t>氧利用率：2</w:t>
      </w:r>
      <w:r>
        <w:rPr>
          <w:rFonts w:hint="eastAsia"/>
        </w:rPr>
        <w:t>2</w:t>
      </w:r>
      <w:r>
        <w:t>～2</w:t>
      </w:r>
      <w:r>
        <w:rPr>
          <w:rFonts w:hint="eastAsia"/>
        </w:rPr>
        <w:t>8</w:t>
      </w:r>
      <w:r>
        <w:t>％</w:t>
      </w:r>
    </w:p>
    <w:p w14:paraId="4534BBAA">
      <w:pPr>
        <w:pStyle w:val="22"/>
        <w:bidi w:val="0"/>
      </w:pPr>
      <w:r>
        <w:t>使用寿命：≥20年</w:t>
      </w:r>
    </w:p>
    <w:p w14:paraId="3B307BF7">
      <w:pPr>
        <w:pStyle w:val="22"/>
        <w:bidi w:val="0"/>
      </w:pPr>
      <w:r>
        <w:t>曝气器特点</w:t>
      </w:r>
      <w:r>
        <w:rPr>
          <w:rFonts w:hint="eastAsia"/>
        </w:rPr>
        <w:t>：</w:t>
      </w:r>
      <w:r>
        <w:t>充氧速度快，氧气利用率高；拉法尔管喷嘴设计，提高了水流的喷射速度以及气泡的表面更新速率</w:t>
      </w:r>
      <w:r>
        <w:rPr>
          <w:rFonts w:hint="eastAsia"/>
          <w:lang w:eastAsia="zh-CN"/>
        </w:rPr>
        <w:t>，</w:t>
      </w:r>
      <w:r>
        <w:t>因而采用拉法尔。射流曝气器，氧气传输速度可比其他单独采用风机的曝气方式提高十多倍，氧气利用率更是高</w:t>
      </w:r>
      <w:r>
        <w:rPr>
          <w:rFonts w:hint="eastAsia"/>
          <w:lang w:eastAsia="zh-CN"/>
        </w:rPr>
        <w:t>，</w:t>
      </w:r>
      <w:r>
        <w:t>达2</w:t>
      </w:r>
      <w:r>
        <w:rPr>
          <w:rFonts w:hint="eastAsia"/>
        </w:rPr>
        <w:t>2</w:t>
      </w:r>
      <w:r>
        <w:t>-2</w:t>
      </w:r>
      <w:r>
        <w:rPr>
          <w:rFonts w:hint="eastAsia"/>
        </w:rPr>
        <w:t>8</w:t>
      </w:r>
      <w:r>
        <w:t>%。理论动力效率高，能耗低；拉法尔管盘式射流曝气器与其他单独采用风机的曝气方式相比，能耗最多可降低50%。兼具搅拌和混合功能，便于过程控制；采用拉法尔管盘式射流曝气器，可根据工艺需要将搅拌和曝气分开控制，从而满足多种处理工艺的运行需求。a值高达0.9，且几乎不随MLSS增大而降低；微孔曝气实际用于污水时其氧气传输效率比清水试验值最多可减少50%，而拉法尔管盘式射流曝气器所产生的高效混合及紊流作用可保证在任何污水及污泥浓度条件下均可获得0.9左右的a值。拉法尔管盘式射流曝气器无机械部件，无堵塞，不存在密封问题，完全免维护；拉法尔管盘式射流曝气器采用</w:t>
      </w:r>
      <w:r>
        <w:rPr>
          <w:rFonts w:hint="eastAsia"/>
        </w:rPr>
        <w:t>FR</w:t>
      </w:r>
      <w:r>
        <w:t>P或不锈钢材质铸造成型，耐腐蚀，使用寿命不低于20年；</w:t>
      </w:r>
    </w:p>
    <w:p w14:paraId="19A9D8E6">
      <w:pPr>
        <w:pStyle w:val="22"/>
        <w:bidi w:val="0"/>
      </w:pPr>
      <w:r>
        <w:t>技术标准</w:t>
      </w:r>
      <w:r>
        <w:rPr>
          <w:rFonts w:hint="eastAsia"/>
        </w:rPr>
        <w:t>：</w:t>
      </w:r>
      <w:r>
        <w:t>水下高效射流曝气混合器主要由外腔、内腔、混合腔、外喷嘴、内喷嘴、进气口和进液口七部分组成。内外腔体均由上下两个蝶形壳体对合粘结而成的空腔，内外腔体同轴套合，进液口和进气口沿内，外腔体周面同心均布。内腔即为工作介质腔，外腔既为引射介质吸入腔，内、外喷嘴间即为混合腔。曝身器自身不含任何机电部件和传动部件，工作时需要配套的设备有：射流循环泵、鼓风机</w:t>
      </w:r>
      <w:r>
        <w:rPr>
          <w:rFonts w:hint="eastAsia"/>
          <w:lang w:eastAsia="zh-CN"/>
        </w:rPr>
        <w:t>。</w:t>
      </w:r>
      <w:r>
        <w:t>考虑各喷嘴之间相互的影响，喷嘴的分布采用圆形径向等角度放射状布置。这种布置能最大限度地避免射流之间的相互干扰，减少气泡并聚现象。利于提高氧利用率。DSLQ-6-</w:t>
      </w:r>
      <w:r>
        <w:rPr>
          <w:rFonts w:hint="eastAsia"/>
        </w:rPr>
        <w:t>Ⅰ</w:t>
      </w:r>
      <w:r>
        <w:t>型水下高效射流曝气混合器一个明显的特点是混合腔</w:t>
      </w:r>
      <w:r>
        <w:rPr>
          <w:rFonts w:hint="eastAsia"/>
          <w:lang w:eastAsia="zh-CN"/>
        </w:rPr>
        <w:t>（</w:t>
      </w:r>
      <w:r>
        <w:t>外喷嘴</w:t>
      </w:r>
      <w:r>
        <w:rPr>
          <w:rFonts w:hint="eastAsia"/>
          <w:lang w:eastAsia="zh-CN"/>
        </w:rPr>
        <w:t>）</w:t>
      </w:r>
      <w:r>
        <w:t>呈喷嘴状，与工作介质喷嘴</w:t>
      </w:r>
      <w:r>
        <w:rPr>
          <w:rFonts w:hint="eastAsia"/>
          <w:lang w:eastAsia="zh-CN"/>
        </w:rPr>
        <w:t>（</w:t>
      </w:r>
      <w:r>
        <w:t>内喷嘴</w:t>
      </w:r>
      <w:r>
        <w:rPr>
          <w:rFonts w:hint="eastAsia"/>
          <w:lang w:eastAsia="zh-CN"/>
        </w:rPr>
        <w:t>）</w:t>
      </w:r>
      <w:r>
        <w:t>构成一组重喷嘴。将混合腔设计成喷嘴状的主要原因共有四个：一是因为这种结构即能满足氧利用率提高的要求，又能满足减少撞击损失的要求。减少撞击损失需要气液间的速度差尽量小，但是速度差越小，液体对气体的切割作用就越弱，氧的利用率就越低。混合腔成喷嘴状时，入口面积较大，空气的流速就低，与液体的速度差就大，切割作用就强</w:t>
      </w:r>
      <w:r>
        <w:rPr>
          <w:rFonts w:hint="eastAsia"/>
          <w:lang w:eastAsia="zh-CN"/>
        </w:rPr>
        <w:t>；</w:t>
      </w:r>
      <w:r>
        <w:t>混合腔出口较小，空气流速就高，与液体的速度差就小，撞击损失就少。二是因为这种结构能利用混合液的动能来实现二次喷射，提高能量的使用效率。混合液与喷嘴外的液体存在较大的速度差，能产生强烈的二次切割作用。三是因为这种结构有利于池内液体紊流的形成，使氧的利用率进一步提高。收缩状喷嘴喷射的液体发散现象较直管喷嘴明显，携带</w:t>
      </w:r>
      <w:r>
        <w:rPr>
          <w:rFonts w:hint="eastAsia"/>
          <w:lang w:eastAsia="zh-CN"/>
        </w:rPr>
        <w:t>（</w:t>
      </w:r>
      <w:r>
        <w:t>卷入</w:t>
      </w:r>
      <w:r>
        <w:rPr>
          <w:rFonts w:hint="eastAsia"/>
          <w:lang w:eastAsia="zh-CN"/>
        </w:rPr>
        <w:t>）</w:t>
      </w:r>
      <w:r>
        <w:t>周围液体的能力也强，产生紊流的范围也大。四是因为这种结构能够减小气泡直径，增加水中氧的溶解度，提高氧的传递速度。收缩喷嘴喷射的液体发散使流速迅速减小，混合液的动能转为压能，气体被压缩，直径逐渐减小，水中氧的溶解度也增加，使空气中的氧可以更快地溶入气液混合流中去，从而提高氧的传递速度。</w:t>
      </w:r>
    </w:p>
    <w:p w14:paraId="1B2EF251">
      <w:pPr>
        <w:pStyle w:val="22"/>
        <w:bidi w:val="0"/>
      </w:pPr>
      <w:r>
        <w:rPr>
          <w:rFonts w:hint="eastAsia"/>
          <w:lang w:val="en-US" w:eastAsia="zh-CN"/>
        </w:rPr>
        <w:t xml:space="preserve">③ </w:t>
      </w:r>
      <w:r>
        <w:t>罗茨风机</w:t>
      </w:r>
    </w:p>
    <w:p w14:paraId="4512A690">
      <w:pPr>
        <w:pStyle w:val="22"/>
        <w:bidi w:val="0"/>
      </w:pPr>
      <w:r>
        <w:t>罗茨风机配套射流曝气器使用</w:t>
      </w:r>
      <w:r>
        <w:rPr>
          <w:rFonts w:hint="eastAsia"/>
        </w:rPr>
        <w:t>，</w:t>
      </w:r>
      <w:r>
        <w:t>以提供射流曝气器微压空气用于硝化池的供气。在系统中设置</w:t>
      </w:r>
      <w:r>
        <w:rPr>
          <w:rFonts w:hint="eastAsia"/>
        </w:rPr>
        <w:t>两</w:t>
      </w:r>
      <w:r>
        <w:t>台</w:t>
      </w:r>
      <w:r>
        <w:rPr>
          <w:rFonts w:hint="eastAsia"/>
        </w:rPr>
        <w:t>，一</w:t>
      </w:r>
      <w:r>
        <w:t>用</w:t>
      </w:r>
      <w:r>
        <w:rPr>
          <w:rFonts w:hint="eastAsia"/>
        </w:rPr>
        <w:t>一</w:t>
      </w:r>
      <w:r>
        <w:t>备。</w:t>
      </w:r>
    </w:p>
    <w:p w14:paraId="783D5F4F">
      <w:pPr>
        <w:pStyle w:val="22"/>
        <w:bidi w:val="0"/>
      </w:pPr>
      <w:r>
        <w:t>设备规范：</w:t>
      </w:r>
    </w:p>
    <w:p w14:paraId="217F8881">
      <w:pPr>
        <w:pStyle w:val="22"/>
        <w:bidi w:val="0"/>
      </w:pPr>
      <w:r>
        <w:t>型式：罗茨三叶风机</w:t>
      </w:r>
    </w:p>
    <w:p w14:paraId="6AF11B9A">
      <w:pPr>
        <w:pStyle w:val="22"/>
        <w:bidi w:val="0"/>
      </w:pPr>
      <w:r>
        <w:t>数量</w:t>
      </w:r>
      <w:r>
        <w:rPr>
          <w:rFonts w:hint="eastAsia"/>
          <w:lang w:eastAsia="zh-CN"/>
        </w:rPr>
        <w:t>：</w:t>
      </w:r>
      <w:r>
        <w:rPr>
          <w:rFonts w:hint="eastAsia"/>
        </w:rPr>
        <w:t>2</w:t>
      </w:r>
      <w:r>
        <w:t>台</w:t>
      </w:r>
      <w:r>
        <w:rPr>
          <w:rFonts w:hint="eastAsia"/>
        </w:rPr>
        <w:t>（一用一备，备用风机与二级硝化共用</w:t>
      </w:r>
      <w:r>
        <w:t>）</w:t>
      </w:r>
    </w:p>
    <w:p w14:paraId="6CAA8E1D">
      <w:pPr>
        <w:pStyle w:val="22"/>
        <w:bidi w:val="0"/>
      </w:pPr>
      <w:r>
        <w:t>输送介质：空气</w:t>
      </w:r>
    </w:p>
    <w:p w14:paraId="44830CED">
      <w:pPr>
        <w:pStyle w:val="22"/>
        <w:bidi w:val="0"/>
      </w:pPr>
      <w:r>
        <w:rPr>
          <w:rFonts w:hint="eastAsia"/>
          <w:lang w:val="en-US" w:eastAsia="zh-CN"/>
        </w:rPr>
        <w:t xml:space="preserve">④ </w:t>
      </w:r>
      <w:r>
        <w:t>射流泵</w:t>
      </w:r>
    </w:p>
    <w:p w14:paraId="60F7CA30">
      <w:pPr>
        <w:pStyle w:val="22"/>
        <w:bidi w:val="0"/>
      </w:pPr>
      <w:r>
        <w:t>射流泵配套射流曝气器使用</w:t>
      </w:r>
      <w:r>
        <w:rPr>
          <w:rFonts w:hint="eastAsia"/>
          <w:lang w:eastAsia="zh-CN"/>
        </w:rPr>
        <w:t>，</w:t>
      </w:r>
      <w:r>
        <w:t>以提供射流曝气器压力水</w:t>
      </w:r>
      <w:r>
        <w:rPr>
          <w:rFonts w:hint="eastAsia"/>
          <w:lang w:eastAsia="zh-CN"/>
        </w:rPr>
        <w:t>，</w:t>
      </w:r>
      <w:r>
        <w:t>通过压力水形成真空吸气</w:t>
      </w:r>
      <w:r>
        <w:rPr>
          <w:rFonts w:hint="eastAsia"/>
        </w:rPr>
        <w:t>，</w:t>
      </w:r>
      <w:r>
        <w:t>在系统中设置</w:t>
      </w:r>
      <w:r>
        <w:rPr>
          <w:rFonts w:hint="eastAsia"/>
        </w:rPr>
        <w:t>两</w:t>
      </w:r>
      <w:r>
        <w:t>台</w:t>
      </w:r>
      <w:r>
        <w:rPr>
          <w:rFonts w:hint="eastAsia"/>
          <w:lang w:eastAsia="zh-CN"/>
        </w:rPr>
        <w:t>，</w:t>
      </w:r>
      <w:r>
        <w:rPr>
          <w:rFonts w:hint="eastAsia"/>
        </w:rPr>
        <w:t>一</w:t>
      </w:r>
      <w:r>
        <w:t>用一备。</w:t>
      </w:r>
    </w:p>
    <w:p w14:paraId="482822D8">
      <w:pPr>
        <w:pStyle w:val="22"/>
        <w:bidi w:val="0"/>
        <w:rPr>
          <w:rFonts w:hint="eastAsia" w:eastAsia="宋体"/>
          <w:lang w:eastAsia="zh-CN"/>
        </w:rPr>
      </w:pPr>
      <w:r>
        <w:t>设备规范</w:t>
      </w:r>
      <w:r>
        <w:rPr>
          <w:rFonts w:hint="eastAsia"/>
          <w:lang w:eastAsia="zh-CN"/>
        </w:rPr>
        <w:t>：</w:t>
      </w:r>
    </w:p>
    <w:p w14:paraId="31BC92F8">
      <w:pPr>
        <w:pStyle w:val="22"/>
        <w:bidi w:val="0"/>
      </w:pPr>
      <w:r>
        <w:t>数量：</w:t>
      </w:r>
      <w:r>
        <w:rPr>
          <w:rFonts w:hint="eastAsia"/>
        </w:rPr>
        <w:t>2</w:t>
      </w:r>
      <w:r>
        <w:t>台</w:t>
      </w:r>
      <w:r>
        <w:rPr>
          <w:rFonts w:hint="eastAsia"/>
        </w:rPr>
        <w:t>（一用一备，备用泵与二级硝化共用）</w:t>
      </w:r>
    </w:p>
    <w:p w14:paraId="78A65319">
      <w:pPr>
        <w:pStyle w:val="22"/>
        <w:bidi w:val="0"/>
      </w:pPr>
      <w:r>
        <w:t>电源</w:t>
      </w:r>
      <w:r>
        <w:rPr>
          <w:rFonts w:hint="eastAsia"/>
          <w:lang w:eastAsia="zh-CN"/>
        </w:rPr>
        <w:t>：</w:t>
      </w:r>
      <w:r>
        <w:t>380V/50HZ</w:t>
      </w:r>
    </w:p>
    <w:p w14:paraId="121126BC">
      <w:pPr>
        <w:pStyle w:val="22"/>
        <w:bidi w:val="0"/>
      </w:pPr>
      <w:r>
        <w:rPr>
          <w:rFonts w:hint="eastAsia"/>
          <w:lang w:val="en-US" w:eastAsia="zh-CN"/>
        </w:rPr>
        <w:t xml:space="preserve">⑤ </w:t>
      </w:r>
      <w:r>
        <w:t>污泥提升泵</w:t>
      </w:r>
    </w:p>
    <w:p w14:paraId="127390B6">
      <w:pPr>
        <w:pStyle w:val="22"/>
        <w:bidi w:val="0"/>
      </w:pPr>
      <w:r>
        <w:t>污泥提升泵用于硝化池剩余污泥的提升</w:t>
      </w:r>
      <w:r>
        <w:rPr>
          <w:rFonts w:hint="eastAsia"/>
          <w:lang w:eastAsia="zh-CN"/>
        </w:rPr>
        <w:t>，</w:t>
      </w:r>
      <w:r>
        <w:t>经提升后进入污泥池。</w:t>
      </w:r>
    </w:p>
    <w:p w14:paraId="085EC35E">
      <w:pPr>
        <w:pStyle w:val="22"/>
        <w:bidi w:val="0"/>
        <w:rPr>
          <w:rFonts w:hint="eastAsia" w:eastAsia="宋体"/>
          <w:lang w:eastAsia="zh-CN"/>
        </w:rPr>
      </w:pPr>
      <w:r>
        <w:t>设备规范</w:t>
      </w:r>
      <w:r>
        <w:rPr>
          <w:rFonts w:hint="eastAsia"/>
          <w:lang w:eastAsia="zh-CN"/>
        </w:rPr>
        <w:t>：</w:t>
      </w:r>
    </w:p>
    <w:p w14:paraId="16E709AE">
      <w:pPr>
        <w:pStyle w:val="22"/>
        <w:bidi w:val="0"/>
      </w:pPr>
      <w:r>
        <w:t>数量：1台</w:t>
      </w:r>
    </w:p>
    <w:p w14:paraId="7DCBDD0B">
      <w:pPr>
        <w:pStyle w:val="22"/>
        <w:bidi w:val="0"/>
      </w:pPr>
      <w:r>
        <w:rPr>
          <w:rFonts w:hint="eastAsia"/>
          <w:lang w:val="en-US" w:eastAsia="zh-CN"/>
        </w:rPr>
        <w:t xml:space="preserve">⑥ </w:t>
      </w:r>
      <w:r>
        <w:t>消泡剂加药装置</w:t>
      </w:r>
    </w:p>
    <w:p w14:paraId="62FC7B20">
      <w:pPr>
        <w:pStyle w:val="22"/>
        <w:bidi w:val="0"/>
      </w:pPr>
      <w:r>
        <w:t>消泡剂加药装置用来向硝化池内投加复合消泡剂</w:t>
      </w:r>
      <w:r>
        <w:rPr>
          <w:rFonts w:hint="eastAsia"/>
          <w:lang w:eastAsia="zh-CN"/>
        </w:rPr>
        <w:t>，</w:t>
      </w:r>
      <w:r>
        <w:t>降低液面的表面张力，抑制泡沫产生或</w:t>
      </w:r>
      <w:r>
        <w:fldChar w:fldCharType="begin"/>
      </w:r>
      <w:r>
        <w:instrText xml:space="preserve">HYPERLINK"http://baike.baidu.com/view/1697339.htm"\t"_blank"</w:instrText>
      </w:r>
      <w:r>
        <w:fldChar w:fldCharType="separate"/>
      </w:r>
      <w:r>
        <w:t>消除</w:t>
      </w:r>
      <w:r>
        <w:fldChar w:fldCharType="end"/>
      </w:r>
      <w:r>
        <w:t>已产生泡沫。</w:t>
      </w:r>
    </w:p>
    <w:p w14:paraId="54418F4B">
      <w:pPr>
        <w:pStyle w:val="22"/>
        <w:bidi w:val="0"/>
      </w:pPr>
      <w:r>
        <w:t>设备规范</w:t>
      </w:r>
      <w:r>
        <w:rPr>
          <w:rFonts w:hint="eastAsia"/>
        </w:rPr>
        <w:t>：</w:t>
      </w:r>
    </w:p>
    <w:p w14:paraId="0B1F5E90">
      <w:pPr>
        <w:pStyle w:val="22"/>
        <w:bidi w:val="0"/>
      </w:pPr>
      <w:r>
        <w:t>型号：JBY1/1-1.6/0.76</w:t>
      </w:r>
    </w:p>
    <w:p w14:paraId="131124CD">
      <w:pPr>
        <w:pStyle w:val="22"/>
        <w:bidi w:val="0"/>
      </w:pPr>
      <w:r>
        <w:t>数量：1套</w:t>
      </w:r>
    </w:p>
    <w:p w14:paraId="4B9FF81C">
      <w:pPr>
        <w:pStyle w:val="22"/>
        <w:bidi w:val="0"/>
      </w:pPr>
      <w:r>
        <w:t>技术标准</w:t>
      </w:r>
      <w:r>
        <w:rPr>
          <w:rFonts w:hint="eastAsia"/>
        </w:rPr>
        <w:t>：</w:t>
      </w:r>
      <w:r>
        <w:t>本加药装置设有溶液箱</w:t>
      </w:r>
      <w:r>
        <w:rPr>
          <w:rFonts w:hint="eastAsia"/>
          <w:lang w:eastAsia="zh-CN"/>
        </w:rPr>
        <w:t>（</w:t>
      </w:r>
      <w:r>
        <w:t>溶液箱配套液位计</w:t>
      </w:r>
      <w:r>
        <w:rPr>
          <w:rFonts w:hint="eastAsia"/>
          <w:lang w:eastAsia="zh-CN"/>
        </w:rPr>
        <w:t>）</w:t>
      </w:r>
      <w:r>
        <w:t>、管式过滤器、计量泵、压力表、内连管道、手动阀门、底座等全套附件。所有组件均布置在加药箱上</w:t>
      </w:r>
      <w:r>
        <w:rPr>
          <w:rFonts w:hint="eastAsia"/>
          <w:lang w:eastAsia="zh-CN"/>
        </w:rPr>
        <w:t>，</w:t>
      </w:r>
      <w:r>
        <w:t>单元供货。溶液箱为直立圆筒形结构</w:t>
      </w:r>
      <w:r>
        <w:rPr>
          <w:rFonts w:hint="eastAsia"/>
          <w:lang w:eastAsia="zh-CN"/>
        </w:rPr>
        <w:t>，</w:t>
      </w:r>
      <w:r>
        <w:t>上部带园盖。溶液箱配有出液口、排污口、液位开关接口、稀释水进口、进药口。计量泵为正排量形式</w:t>
      </w:r>
      <w:r>
        <w:rPr>
          <w:rFonts w:hint="eastAsia"/>
          <w:lang w:eastAsia="zh-CN"/>
        </w:rPr>
        <w:t>，</w:t>
      </w:r>
      <w:r>
        <w:t>可调节冲程。进口设有管式过滤器、出口装设多功能阀</w:t>
      </w:r>
      <w:r>
        <w:rPr>
          <w:rFonts w:hint="eastAsia"/>
          <w:lang w:eastAsia="zh-CN"/>
        </w:rPr>
        <w:t>，</w:t>
      </w:r>
      <w:r>
        <w:t>多功能阀具有防虹吸/背压、管路泄压、初始化及管路排污的功能。计量泵为电磁隔膜</w:t>
      </w:r>
      <w:r>
        <w:rPr>
          <w:rFonts w:hint="eastAsia"/>
          <w:lang w:eastAsia="zh-CN"/>
        </w:rPr>
        <w:t>，</w:t>
      </w:r>
      <w:r>
        <w:t>带液晶显示和四个触膜键</w:t>
      </w:r>
      <w:r>
        <w:rPr>
          <w:rFonts w:hint="eastAsia"/>
          <w:lang w:eastAsia="zh-CN"/>
        </w:rPr>
        <w:t>，</w:t>
      </w:r>
      <w:r>
        <w:t>流量可调节范围在10～100%。计量泵能对加药点的最高压力时输出全流量</w:t>
      </w:r>
      <w:r>
        <w:rPr>
          <w:rFonts w:hint="eastAsia"/>
          <w:lang w:eastAsia="zh-CN"/>
        </w:rPr>
        <w:t>，</w:t>
      </w:r>
      <w:r>
        <w:t>泵输出流量精度在总变化流量的1%以内</w:t>
      </w:r>
      <w:r>
        <w:rPr>
          <w:rFonts w:hint="eastAsia"/>
          <w:lang w:eastAsia="zh-CN"/>
        </w:rPr>
        <w:t>，</w:t>
      </w:r>
      <w:r>
        <w:t>滞后小于0.1秒。管式过滤器为PVC结构</w:t>
      </w:r>
      <w:r>
        <w:rPr>
          <w:rFonts w:hint="eastAsia"/>
          <w:lang w:eastAsia="zh-CN"/>
        </w:rPr>
        <w:t>，</w:t>
      </w:r>
      <w:r>
        <w:t>内部装有尼龙滤元</w:t>
      </w:r>
      <w:r>
        <w:rPr>
          <w:rFonts w:hint="eastAsia"/>
          <w:lang w:eastAsia="zh-CN"/>
        </w:rPr>
        <w:t>，</w:t>
      </w:r>
      <w:r>
        <w:t>缝隙0.3</w:t>
      </w:r>
      <w:r>
        <w:rPr>
          <w:rFonts w:hint="eastAsia"/>
          <w:lang w:eastAsia="zh-CN"/>
        </w:rPr>
        <w:t>（</w:t>
      </w:r>
      <w:r>
        <w:t>0.05mm</w:t>
      </w:r>
      <w:r>
        <w:rPr>
          <w:rFonts w:hint="eastAsia"/>
          <w:lang w:eastAsia="zh-CN"/>
        </w:rPr>
        <w:t>）</w:t>
      </w:r>
      <w:r>
        <w:t>。所有管道出口设有1套压力表</w:t>
      </w:r>
      <w:r>
        <w:rPr>
          <w:rFonts w:hint="eastAsia"/>
          <w:lang w:eastAsia="zh-CN"/>
        </w:rPr>
        <w:t>，</w:t>
      </w:r>
      <w:r>
        <w:t>可以显示加药点的压力。所有排放点通过漏斗接至一根总排水管上</w:t>
      </w:r>
      <w:r>
        <w:rPr>
          <w:rFonts w:hint="eastAsia"/>
          <w:lang w:eastAsia="zh-CN"/>
        </w:rPr>
        <w:t>，</w:t>
      </w:r>
      <w:r>
        <w:t>整个装置有一个总排水点。溶液箱均设有液位开关</w:t>
      </w:r>
      <w:r>
        <w:rPr>
          <w:rFonts w:hint="eastAsia"/>
          <w:lang w:eastAsia="zh-CN"/>
        </w:rPr>
        <w:t>，</w:t>
      </w:r>
      <w:r>
        <w:t>具有低液位开关量信号输出的功能。</w:t>
      </w:r>
    </w:p>
    <w:p w14:paraId="7342DB21">
      <w:pPr>
        <w:pStyle w:val="22"/>
        <w:bidi w:val="0"/>
      </w:pPr>
      <w:bookmarkStart w:id="49" w:name="_Toc185150584"/>
      <w:r>
        <w:rPr>
          <w:rFonts w:hint="eastAsia"/>
          <w:lang w:eastAsia="zh-CN"/>
        </w:rPr>
        <w:t>（</w:t>
      </w:r>
      <w:r>
        <w:rPr>
          <w:rFonts w:hint="eastAsia"/>
          <w:lang w:val="en-US" w:eastAsia="zh-CN"/>
        </w:rPr>
        <w:t>8</w:t>
      </w:r>
      <w:r>
        <w:rPr>
          <w:rFonts w:hint="eastAsia"/>
          <w:lang w:eastAsia="zh-CN"/>
        </w:rPr>
        <w:t>）</w:t>
      </w:r>
      <w:r>
        <w:rPr>
          <w:rFonts w:hint="eastAsia"/>
        </w:rPr>
        <w:t>二级</w:t>
      </w:r>
      <w:r>
        <w:t>反硝化</w:t>
      </w:r>
      <w:r>
        <w:rPr>
          <w:rFonts w:hint="eastAsia"/>
        </w:rPr>
        <w:t>罐</w:t>
      </w:r>
      <w:bookmarkEnd w:id="49"/>
    </w:p>
    <w:p w14:paraId="575B99F1">
      <w:pPr>
        <w:pStyle w:val="22"/>
        <w:bidi w:val="0"/>
      </w:pPr>
      <w:r>
        <w:rPr>
          <w:rFonts w:hint="eastAsia"/>
        </w:rPr>
        <w:t>型号</w:t>
      </w:r>
      <w:r>
        <w:t>：</w:t>
      </w:r>
      <w:r>
        <w:tab/>
      </w:r>
      <w:r>
        <w:tab/>
      </w:r>
      <w:r>
        <w:tab/>
      </w:r>
      <w:r>
        <w:tab/>
      </w:r>
      <w:r>
        <w:t>RHFX25/2</w:t>
      </w:r>
    </w:p>
    <w:p w14:paraId="4657633F">
      <w:pPr>
        <w:pStyle w:val="22"/>
        <w:bidi w:val="0"/>
      </w:pPr>
      <w:r>
        <w:t>数量：</w:t>
      </w:r>
      <w:r>
        <w:tab/>
      </w:r>
      <w:r>
        <w:tab/>
      </w:r>
      <w:r>
        <w:tab/>
      </w:r>
      <w:r>
        <w:tab/>
      </w:r>
      <w:r>
        <w:t>1座</w:t>
      </w:r>
    </w:p>
    <w:p w14:paraId="32E7D45A">
      <w:pPr>
        <w:pStyle w:val="22"/>
        <w:bidi w:val="0"/>
        <w:rPr>
          <w:rFonts w:hint="eastAsia" w:eastAsia="宋体"/>
          <w:lang w:eastAsia="zh-CN"/>
        </w:rPr>
      </w:pPr>
      <w:r>
        <w:t>污泥浓度MLSS：</w:t>
      </w:r>
      <w:r>
        <w:tab/>
      </w:r>
      <w:r>
        <w:tab/>
      </w:r>
      <w:r>
        <w:tab/>
      </w:r>
      <w:r>
        <w:rPr>
          <w:rFonts w:hint="eastAsia"/>
        </w:rPr>
        <w:t>12-15</w:t>
      </w:r>
      <w:r>
        <w:t>kg/</w:t>
      </w:r>
      <w:r>
        <w:rPr>
          <w:rFonts w:hint="eastAsia"/>
          <w:lang w:eastAsia="zh-CN"/>
        </w:rPr>
        <w:t>m³</w:t>
      </w:r>
    </w:p>
    <w:p w14:paraId="5B67E387">
      <w:pPr>
        <w:pStyle w:val="22"/>
        <w:bidi w:val="0"/>
      </w:pPr>
      <w:r>
        <w:t>反硝化速率qNi：</w:t>
      </w:r>
      <w:r>
        <w:tab/>
      </w:r>
      <w:r>
        <w:tab/>
      </w:r>
      <w:r>
        <w:tab/>
      </w:r>
      <w:r>
        <w:t>0.16kgNO3-N/kgMLSS/d</w:t>
      </w:r>
    </w:p>
    <w:p w14:paraId="73C75CC0">
      <w:pPr>
        <w:pStyle w:val="22"/>
        <w:bidi w:val="0"/>
      </w:pPr>
      <w:r>
        <w:t>溶解氧</w:t>
      </w:r>
      <w:r>
        <w:rPr>
          <w:rFonts w:hint="eastAsia"/>
          <w:lang w:eastAsia="zh-CN"/>
        </w:rPr>
        <w:t>：</w:t>
      </w:r>
      <w:r>
        <w:t>&lt;0.5mg/L</w:t>
      </w:r>
    </w:p>
    <w:p w14:paraId="4F0690DE">
      <w:pPr>
        <w:pStyle w:val="22"/>
        <w:bidi w:val="0"/>
      </w:pPr>
      <w:r>
        <w:t>反硝化率：</w:t>
      </w:r>
      <w:r>
        <w:tab/>
      </w:r>
      <w:r>
        <w:tab/>
      </w:r>
      <w:r>
        <w:tab/>
      </w:r>
      <w:r>
        <w:tab/>
      </w:r>
      <w:r>
        <w:tab/>
      </w:r>
      <w:r>
        <w:t>99%</w:t>
      </w:r>
    </w:p>
    <w:p w14:paraId="64117459">
      <w:pPr>
        <w:pStyle w:val="22"/>
        <w:bidi w:val="0"/>
      </w:pPr>
      <w:r>
        <w:t>配套提供：液下搅拌机</w:t>
      </w:r>
    </w:p>
    <w:p w14:paraId="5A2C35DC">
      <w:pPr>
        <w:pStyle w:val="22"/>
        <w:bidi w:val="0"/>
      </w:pPr>
      <w:r>
        <w:t>技术标准：</w:t>
      </w:r>
    </w:p>
    <w:p w14:paraId="0F71C68F">
      <w:pPr>
        <w:pStyle w:val="22"/>
        <w:bidi w:val="0"/>
      </w:pPr>
      <w:r>
        <w:t>型式：混合搅拌式</w:t>
      </w:r>
    </w:p>
    <w:p w14:paraId="18066DF1">
      <w:pPr>
        <w:pStyle w:val="22"/>
        <w:bidi w:val="0"/>
      </w:pPr>
      <w:r>
        <w:t>数量：1套</w:t>
      </w:r>
    </w:p>
    <w:p w14:paraId="019335CF">
      <w:pPr>
        <w:pStyle w:val="22"/>
        <w:bidi w:val="0"/>
      </w:pPr>
      <w:bookmarkStart w:id="50" w:name="_Toc185150585"/>
      <w:bookmarkStart w:id="51" w:name="OLE_LINK4"/>
      <w:bookmarkStart w:id="52" w:name="OLE_LINK5"/>
      <w:r>
        <w:rPr>
          <w:rFonts w:hint="eastAsia"/>
          <w:lang w:eastAsia="zh-CN"/>
        </w:rPr>
        <w:t>（</w:t>
      </w:r>
      <w:r>
        <w:rPr>
          <w:rFonts w:hint="eastAsia"/>
          <w:lang w:val="en-US" w:eastAsia="zh-CN"/>
        </w:rPr>
        <w:t>9</w:t>
      </w:r>
      <w:r>
        <w:rPr>
          <w:rFonts w:hint="eastAsia"/>
          <w:lang w:eastAsia="zh-CN"/>
        </w:rPr>
        <w:t>）</w:t>
      </w:r>
      <w:r>
        <w:rPr>
          <w:rFonts w:hint="eastAsia"/>
        </w:rPr>
        <w:t>二级</w:t>
      </w:r>
      <w:r>
        <w:t>硝化</w:t>
      </w:r>
      <w:r>
        <w:rPr>
          <w:rFonts w:hint="eastAsia"/>
        </w:rPr>
        <w:t>罐</w:t>
      </w:r>
      <w:bookmarkEnd w:id="50"/>
      <w:bookmarkEnd w:id="51"/>
      <w:bookmarkEnd w:id="52"/>
    </w:p>
    <w:p w14:paraId="4766E66C">
      <w:pPr>
        <w:pStyle w:val="22"/>
        <w:bidi w:val="0"/>
      </w:pPr>
      <w:r>
        <w:rPr>
          <w:rFonts w:hint="eastAsia"/>
        </w:rPr>
        <w:t>型号</w:t>
      </w:r>
      <w:r>
        <w:t>：</w:t>
      </w:r>
      <w:r>
        <w:tab/>
      </w:r>
      <w:r>
        <w:tab/>
      </w:r>
      <w:r>
        <w:tab/>
      </w:r>
      <w:r>
        <w:tab/>
      </w:r>
      <w:r>
        <w:t>RHXH25/2</w:t>
      </w:r>
    </w:p>
    <w:p w14:paraId="18403265">
      <w:pPr>
        <w:pStyle w:val="22"/>
        <w:bidi w:val="0"/>
      </w:pPr>
      <w:r>
        <w:rPr>
          <w:rFonts w:hint="eastAsia"/>
        </w:rPr>
        <w:t>设计工作温度：28-30℃</w:t>
      </w:r>
    </w:p>
    <w:p w14:paraId="51698B32">
      <w:pPr>
        <w:pStyle w:val="22"/>
        <w:bidi w:val="0"/>
      </w:pPr>
      <w:r>
        <w:t>数量：</w:t>
      </w:r>
      <w:r>
        <w:tab/>
      </w:r>
      <w:r>
        <w:tab/>
      </w:r>
      <w:r>
        <w:tab/>
      </w:r>
      <w:r>
        <w:tab/>
      </w:r>
      <w:r>
        <w:rPr>
          <w:rFonts w:hint="eastAsia"/>
        </w:rPr>
        <w:t>1</w:t>
      </w:r>
      <w:r>
        <w:t>座</w:t>
      </w:r>
    </w:p>
    <w:p w14:paraId="3DC92E85">
      <w:pPr>
        <w:pStyle w:val="22"/>
        <w:bidi w:val="0"/>
      </w:pPr>
      <w:r>
        <w:t>配套提供：</w:t>
      </w:r>
    </w:p>
    <w:p w14:paraId="17DF74BE">
      <w:pPr>
        <w:pStyle w:val="22"/>
        <w:bidi w:val="0"/>
      </w:pPr>
      <w:r>
        <w:rPr>
          <w:rFonts w:hint="eastAsia"/>
          <w:lang w:val="en-US" w:eastAsia="zh-CN"/>
        </w:rPr>
        <w:t xml:space="preserve">① </w:t>
      </w:r>
      <w:r>
        <w:t>回流泵</w:t>
      </w:r>
    </w:p>
    <w:p w14:paraId="0DDB87D6">
      <w:pPr>
        <w:pStyle w:val="22"/>
        <w:bidi w:val="0"/>
      </w:pPr>
      <w:r>
        <w:t>污水回流泵用于硝化</w:t>
      </w:r>
      <w:r>
        <w:rPr>
          <w:rFonts w:hint="eastAsia"/>
        </w:rPr>
        <w:t>池</w:t>
      </w:r>
      <w:r>
        <w:t>内污水的提升</w:t>
      </w:r>
      <w:r>
        <w:rPr>
          <w:rFonts w:hint="eastAsia"/>
          <w:lang w:eastAsia="zh-CN"/>
        </w:rPr>
        <w:t>，</w:t>
      </w:r>
      <w:r>
        <w:t>经提升后回流至反硝化</w:t>
      </w:r>
      <w:r>
        <w:rPr>
          <w:rFonts w:hint="eastAsia"/>
        </w:rPr>
        <w:t>池。</w:t>
      </w:r>
    </w:p>
    <w:p w14:paraId="4D1F1546">
      <w:pPr>
        <w:pStyle w:val="22"/>
        <w:bidi w:val="0"/>
        <w:rPr>
          <w:rFonts w:hint="eastAsia" w:eastAsia="宋体"/>
          <w:lang w:eastAsia="zh-CN"/>
        </w:rPr>
      </w:pPr>
      <w:r>
        <w:t>设备规范</w:t>
      </w:r>
      <w:r>
        <w:rPr>
          <w:rFonts w:hint="eastAsia"/>
          <w:lang w:eastAsia="zh-CN"/>
        </w:rPr>
        <w:t>：</w:t>
      </w:r>
    </w:p>
    <w:p w14:paraId="2C3B36C3">
      <w:pPr>
        <w:pStyle w:val="22"/>
        <w:bidi w:val="0"/>
      </w:pPr>
      <w:r>
        <w:rPr>
          <w:rFonts w:hint="eastAsia"/>
        </w:rPr>
        <w:t>形式：卧式离心泵</w:t>
      </w:r>
    </w:p>
    <w:p w14:paraId="78ED0675">
      <w:pPr>
        <w:pStyle w:val="22"/>
        <w:bidi w:val="0"/>
      </w:pPr>
      <w:r>
        <w:t>数量：1台</w:t>
      </w:r>
    </w:p>
    <w:p w14:paraId="19600E5E">
      <w:pPr>
        <w:pStyle w:val="22"/>
        <w:bidi w:val="0"/>
      </w:pPr>
      <w:r>
        <w:rPr>
          <w:rFonts w:hint="eastAsia"/>
          <w:lang w:val="en-US" w:eastAsia="zh-CN"/>
        </w:rPr>
        <w:t xml:space="preserve">② </w:t>
      </w:r>
      <w:r>
        <w:t>射流曝气器</w:t>
      </w:r>
    </w:p>
    <w:p w14:paraId="1218828F">
      <w:pPr>
        <w:pStyle w:val="22"/>
        <w:bidi w:val="0"/>
      </w:pPr>
      <w:r>
        <w:t>设备规范</w:t>
      </w:r>
      <w:r>
        <w:rPr>
          <w:rFonts w:hint="eastAsia"/>
        </w:rPr>
        <w:t>：</w:t>
      </w:r>
    </w:p>
    <w:p w14:paraId="75291342">
      <w:pPr>
        <w:pStyle w:val="22"/>
        <w:bidi w:val="0"/>
      </w:pPr>
      <w:r>
        <w:t>型号</w:t>
      </w:r>
      <w:r>
        <w:rPr>
          <w:rFonts w:hint="eastAsia"/>
          <w:lang w:eastAsia="zh-CN"/>
        </w:rPr>
        <w:t>：</w:t>
      </w:r>
      <w:r>
        <w:t>DSLQ-6-</w:t>
      </w:r>
      <w:r>
        <w:rPr>
          <w:rFonts w:hint="eastAsia"/>
        </w:rPr>
        <w:t>Ⅰ</w:t>
      </w:r>
    </w:p>
    <w:p w14:paraId="3339D6D0">
      <w:pPr>
        <w:pStyle w:val="22"/>
        <w:bidi w:val="0"/>
      </w:pPr>
      <w:r>
        <w:t>数量：</w:t>
      </w:r>
      <w:r>
        <w:rPr>
          <w:rFonts w:hint="eastAsia"/>
        </w:rPr>
        <w:t>1</w:t>
      </w:r>
      <w:r>
        <w:t>套</w:t>
      </w:r>
    </w:p>
    <w:p w14:paraId="05C1D476">
      <w:pPr>
        <w:pStyle w:val="22"/>
        <w:bidi w:val="0"/>
      </w:pPr>
      <w:r>
        <w:t>混合液温度：15～35℃</w:t>
      </w:r>
    </w:p>
    <w:p w14:paraId="07374080">
      <w:pPr>
        <w:pStyle w:val="22"/>
        <w:bidi w:val="0"/>
      </w:pPr>
      <w:r>
        <w:t>pH：6～9</w:t>
      </w:r>
    </w:p>
    <w:p w14:paraId="4AFBC75D">
      <w:pPr>
        <w:pStyle w:val="22"/>
        <w:bidi w:val="0"/>
      </w:pPr>
      <w:r>
        <w:t>循环水量</w:t>
      </w:r>
      <w:r>
        <w:rPr>
          <w:rFonts w:hint="eastAsia"/>
          <w:lang w:eastAsia="zh-CN"/>
        </w:rPr>
        <w:t>：</w:t>
      </w:r>
      <w:r>
        <w:t>216～252</w:t>
      </w:r>
      <w:r>
        <w:rPr>
          <w:rFonts w:hint="eastAsia"/>
          <w:lang w:eastAsia="zh-CN"/>
        </w:rPr>
        <w:t>m³</w:t>
      </w:r>
      <w:r>
        <w:t>/h</w:t>
      </w:r>
    </w:p>
    <w:p w14:paraId="7B3E00D2">
      <w:pPr>
        <w:pStyle w:val="22"/>
        <w:bidi w:val="0"/>
      </w:pPr>
      <w:r>
        <w:t>动力效率：3.8～4.0kgO2/KW•h</w:t>
      </w:r>
    </w:p>
    <w:p w14:paraId="2BD35BA5">
      <w:pPr>
        <w:pStyle w:val="22"/>
        <w:bidi w:val="0"/>
      </w:pPr>
      <w:r>
        <w:t>充氧能力：6～7kgO2/h</w:t>
      </w:r>
    </w:p>
    <w:p w14:paraId="48E9115A">
      <w:pPr>
        <w:pStyle w:val="22"/>
        <w:bidi w:val="0"/>
      </w:pPr>
      <w:r>
        <w:t>氧利用率：2</w:t>
      </w:r>
      <w:r>
        <w:rPr>
          <w:rFonts w:hint="eastAsia"/>
        </w:rPr>
        <w:t>2</w:t>
      </w:r>
      <w:r>
        <w:t>～2</w:t>
      </w:r>
      <w:r>
        <w:rPr>
          <w:rFonts w:hint="eastAsia"/>
        </w:rPr>
        <w:t>8</w:t>
      </w:r>
      <w:r>
        <w:t>％</w:t>
      </w:r>
    </w:p>
    <w:p w14:paraId="7C4E93BB">
      <w:pPr>
        <w:pStyle w:val="22"/>
        <w:bidi w:val="0"/>
      </w:pPr>
      <w:r>
        <w:t>使用寿命：≥20年</w:t>
      </w:r>
    </w:p>
    <w:p w14:paraId="0D44604D">
      <w:pPr>
        <w:pStyle w:val="22"/>
        <w:bidi w:val="0"/>
      </w:pPr>
      <w:r>
        <w:rPr>
          <w:rFonts w:hint="eastAsia"/>
          <w:lang w:val="en-US" w:eastAsia="zh-CN"/>
        </w:rPr>
        <w:t xml:space="preserve">③ </w:t>
      </w:r>
      <w:r>
        <w:t>罗茨风机</w:t>
      </w:r>
    </w:p>
    <w:p w14:paraId="1968EBE8">
      <w:pPr>
        <w:pStyle w:val="22"/>
        <w:bidi w:val="0"/>
      </w:pPr>
      <w:r>
        <w:t>罗茨风机配套射流曝气器使用</w:t>
      </w:r>
      <w:r>
        <w:rPr>
          <w:rFonts w:hint="eastAsia"/>
        </w:rPr>
        <w:t>，</w:t>
      </w:r>
      <w:r>
        <w:t>以提供射流曝气器微压空气用于硝化池的供气。</w:t>
      </w:r>
    </w:p>
    <w:p w14:paraId="62288711">
      <w:pPr>
        <w:pStyle w:val="22"/>
        <w:bidi w:val="0"/>
      </w:pPr>
      <w:r>
        <w:t>设备规范：</w:t>
      </w:r>
    </w:p>
    <w:p w14:paraId="59164EC8">
      <w:pPr>
        <w:pStyle w:val="22"/>
        <w:bidi w:val="0"/>
      </w:pPr>
      <w:r>
        <w:t>型式：罗茨三叶风机</w:t>
      </w:r>
    </w:p>
    <w:p w14:paraId="5604D072">
      <w:pPr>
        <w:pStyle w:val="22"/>
        <w:bidi w:val="0"/>
      </w:pPr>
      <w:r>
        <w:t>数量</w:t>
      </w:r>
      <w:r>
        <w:rPr>
          <w:rFonts w:hint="eastAsia"/>
          <w:lang w:eastAsia="zh-CN"/>
        </w:rPr>
        <w:t>：</w:t>
      </w:r>
      <w:r>
        <w:t>1台</w:t>
      </w:r>
    </w:p>
    <w:p w14:paraId="0F51EF6D">
      <w:pPr>
        <w:pStyle w:val="22"/>
        <w:bidi w:val="0"/>
      </w:pPr>
      <w:r>
        <w:rPr>
          <w:rFonts w:hint="eastAsia"/>
          <w:lang w:val="en-US" w:eastAsia="zh-CN"/>
        </w:rPr>
        <w:t xml:space="preserve">④ </w:t>
      </w:r>
      <w:r>
        <w:t>射流泵</w:t>
      </w:r>
    </w:p>
    <w:p w14:paraId="3C7BEB0C">
      <w:pPr>
        <w:pStyle w:val="22"/>
        <w:bidi w:val="0"/>
      </w:pPr>
      <w:r>
        <w:t>射流泵配套射流曝气器使用</w:t>
      </w:r>
      <w:r>
        <w:rPr>
          <w:rFonts w:hint="eastAsia"/>
          <w:lang w:eastAsia="zh-CN"/>
        </w:rPr>
        <w:t>，</w:t>
      </w:r>
      <w:r>
        <w:t>以提供射流曝气器压力水</w:t>
      </w:r>
      <w:r>
        <w:rPr>
          <w:rFonts w:hint="eastAsia"/>
          <w:lang w:eastAsia="zh-CN"/>
        </w:rPr>
        <w:t>，</w:t>
      </w:r>
      <w:r>
        <w:t>通过压力水形成真空吸气。</w:t>
      </w:r>
    </w:p>
    <w:p w14:paraId="4D9DA4DB">
      <w:pPr>
        <w:pStyle w:val="22"/>
        <w:bidi w:val="0"/>
        <w:rPr>
          <w:rFonts w:hint="eastAsia" w:eastAsia="宋体"/>
          <w:lang w:eastAsia="zh-CN"/>
        </w:rPr>
      </w:pPr>
      <w:r>
        <w:t>设备规范</w:t>
      </w:r>
      <w:r>
        <w:rPr>
          <w:rFonts w:hint="eastAsia"/>
          <w:lang w:eastAsia="zh-CN"/>
        </w:rPr>
        <w:t>：</w:t>
      </w:r>
    </w:p>
    <w:p w14:paraId="6AD94D05">
      <w:pPr>
        <w:pStyle w:val="22"/>
        <w:bidi w:val="0"/>
      </w:pPr>
      <w:r>
        <w:t>数量：1台</w:t>
      </w:r>
    </w:p>
    <w:p w14:paraId="4B4A1051">
      <w:pPr>
        <w:pStyle w:val="22"/>
        <w:bidi w:val="0"/>
      </w:pPr>
      <w:r>
        <w:t>电源</w:t>
      </w:r>
      <w:r>
        <w:rPr>
          <w:rFonts w:hint="eastAsia"/>
          <w:lang w:eastAsia="zh-CN"/>
        </w:rPr>
        <w:t>：</w:t>
      </w:r>
      <w:r>
        <w:t>380V/50HZ</w:t>
      </w:r>
    </w:p>
    <w:p w14:paraId="2664174B">
      <w:pPr>
        <w:pStyle w:val="22"/>
        <w:bidi w:val="0"/>
      </w:pPr>
      <w:r>
        <w:rPr>
          <w:rFonts w:hint="eastAsia"/>
          <w:lang w:val="en-US" w:eastAsia="zh-CN"/>
        </w:rPr>
        <w:t xml:space="preserve">⑤ </w:t>
      </w:r>
      <w:r>
        <w:t>污泥提升泵</w:t>
      </w:r>
    </w:p>
    <w:p w14:paraId="1454D2B3">
      <w:pPr>
        <w:pStyle w:val="22"/>
        <w:bidi w:val="0"/>
      </w:pPr>
      <w:r>
        <w:t>污泥提升泵用于硝化池剩余污泥的提升</w:t>
      </w:r>
      <w:r>
        <w:rPr>
          <w:rFonts w:hint="eastAsia"/>
          <w:lang w:eastAsia="zh-CN"/>
        </w:rPr>
        <w:t>，</w:t>
      </w:r>
      <w:r>
        <w:t>经提升后进入污泥池。</w:t>
      </w:r>
    </w:p>
    <w:p w14:paraId="15817E97">
      <w:pPr>
        <w:pStyle w:val="22"/>
        <w:bidi w:val="0"/>
        <w:rPr>
          <w:rFonts w:hint="eastAsia" w:eastAsia="宋体"/>
          <w:lang w:eastAsia="zh-CN"/>
        </w:rPr>
      </w:pPr>
      <w:r>
        <w:t>设备规范</w:t>
      </w:r>
      <w:r>
        <w:rPr>
          <w:rFonts w:hint="eastAsia"/>
          <w:lang w:eastAsia="zh-CN"/>
        </w:rPr>
        <w:t>：</w:t>
      </w:r>
    </w:p>
    <w:p w14:paraId="1D55598A">
      <w:pPr>
        <w:pStyle w:val="22"/>
        <w:bidi w:val="0"/>
      </w:pPr>
      <w:r>
        <w:t>型式：</w:t>
      </w:r>
      <w:r>
        <w:tab/>
      </w:r>
      <w:r>
        <w:tab/>
      </w:r>
      <w:r>
        <w:tab/>
      </w:r>
      <w:r>
        <w:rPr>
          <w:rFonts w:hint="eastAsia"/>
        </w:rPr>
        <w:t>卧式离心泵</w:t>
      </w:r>
    </w:p>
    <w:p w14:paraId="7C4EBADC">
      <w:pPr>
        <w:pStyle w:val="22"/>
        <w:bidi w:val="0"/>
      </w:pPr>
      <w:r>
        <w:t>数量：1台</w:t>
      </w:r>
    </w:p>
    <w:p w14:paraId="604F0AD0">
      <w:pPr>
        <w:pStyle w:val="22"/>
        <w:bidi w:val="0"/>
      </w:pPr>
      <w:bookmarkStart w:id="53" w:name="_Toc185150586"/>
      <w:bookmarkStart w:id="54" w:name="_Toc493099943"/>
      <w:bookmarkStart w:id="55" w:name="_Toc259096278"/>
      <w:r>
        <w:rPr>
          <w:rFonts w:hint="eastAsia"/>
          <w:lang w:eastAsia="zh-CN"/>
        </w:rPr>
        <w:t>（</w:t>
      </w:r>
      <w:r>
        <w:rPr>
          <w:rFonts w:hint="eastAsia"/>
          <w:lang w:val="en-US" w:eastAsia="zh-CN"/>
        </w:rPr>
        <w:t>10</w:t>
      </w:r>
      <w:r>
        <w:rPr>
          <w:rFonts w:hint="eastAsia"/>
          <w:lang w:eastAsia="zh-CN"/>
        </w:rPr>
        <w:t>）</w:t>
      </w:r>
      <w:r>
        <w:t>超滤系统</w:t>
      </w:r>
      <w:bookmarkEnd w:id="53"/>
      <w:bookmarkEnd w:id="54"/>
    </w:p>
    <w:bookmarkEnd w:id="55"/>
    <w:p w14:paraId="3838AE74">
      <w:pPr>
        <w:pStyle w:val="22"/>
        <w:bidi w:val="0"/>
      </w:pPr>
      <w:r>
        <w:t>超滤膜是膜分离技术中的一种，它的截留孔径为0.1-0.01微米，可将悬浮物、微生物（细菌、病毒等）、胶体等完全截留，同时可截留部分大分子有机物、浊度等，是一个高效、环保的分离过程，与传统的分离技术如蒸馏、吸附、吸收、萃取、深冷分离等相比，具有较多的优势。</w:t>
      </w:r>
    </w:p>
    <w:p w14:paraId="5FD3B1B5">
      <w:pPr>
        <w:pStyle w:val="22"/>
        <w:bidi w:val="0"/>
      </w:pPr>
      <w:r>
        <w:t>采用针对污染体系开发的自动超滤工艺，采用变频器（可选）对原水泵、循环泵进行控制，以达到连续稳定的产水，保证了超滤装置的长期稳定的正常运行。</w:t>
      </w:r>
    </w:p>
    <w:p w14:paraId="5B4345DA">
      <w:pPr>
        <w:pStyle w:val="22"/>
        <w:bidi w:val="0"/>
      </w:pPr>
      <w:r>
        <w:t>超滤的操作有：运行、正冲洗、药洗三种方式。</w:t>
      </w:r>
    </w:p>
    <w:p w14:paraId="4E619057">
      <w:pPr>
        <w:pStyle w:val="22"/>
        <w:bidi w:val="0"/>
      </w:pPr>
      <w:r>
        <w:t>设计水温：20-3</w:t>
      </w:r>
      <w:r>
        <w:rPr>
          <w:rFonts w:hint="eastAsia"/>
        </w:rPr>
        <w:t>5</w:t>
      </w:r>
      <w:r>
        <w:t>℃</w:t>
      </w:r>
    </w:p>
    <w:p w14:paraId="7A018795">
      <w:pPr>
        <w:pStyle w:val="22"/>
        <w:bidi w:val="0"/>
      </w:pPr>
      <w:r>
        <w:t>最高进水水压：0.2MPa</w:t>
      </w:r>
    </w:p>
    <w:p w14:paraId="1A78EB07">
      <w:pPr>
        <w:pStyle w:val="22"/>
        <w:bidi w:val="0"/>
      </w:pPr>
      <w:r>
        <w:t>设备</w:t>
      </w:r>
      <w:r>
        <w:rPr>
          <w:rFonts w:hint="eastAsia"/>
        </w:rPr>
        <w:t>参数：</w:t>
      </w:r>
    </w:p>
    <w:p w14:paraId="23AEEC0B">
      <w:pPr>
        <w:pStyle w:val="22"/>
        <w:bidi w:val="0"/>
      </w:pPr>
      <w:r>
        <w:t>数量：1套</w:t>
      </w:r>
    </w:p>
    <w:p w14:paraId="6E689C7F">
      <w:pPr>
        <w:pStyle w:val="22"/>
        <w:bidi w:val="0"/>
      </w:pPr>
      <w:r>
        <w:t>设计使用年限：5年</w:t>
      </w:r>
    </w:p>
    <w:p w14:paraId="57B92A99">
      <w:pPr>
        <w:pStyle w:val="22"/>
        <w:bidi w:val="0"/>
      </w:pPr>
      <w:r>
        <w:t>进水方式</w:t>
      </w:r>
      <w:r>
        <w:rPr>
          <w:rFonts w:hint="eastAsia"/>
          <w:lang w:eastAsia="zh-CN"/>
        </w:rPr>
        <w:t>：</w:t>
      </w:r>
      <w:r>
        <w:t>底部进水</w:t>
      </w:r>
    </w:p>
    <w:p w14:paraId="3F18C6CD">
      <w:pPr>
        <w:pStyle w:val="22"/>
        <w:bidi w:val="0"/>
      </w:pPr>
      <w:r>
        <w:t>出水方式</w:t>
      </w:r>
      <w:r>
        <w:rPr>
          <w:rFonts w:hint="eastAsia"/>
          <w:lang w:eastAsia="zh-CN"/>
        </w:rPr>
        <w:t>：</w:t>
      </w:r>
      <w:r>
        <w:t>顶部出水</w:t>
      </w:r>
    </w:p>
    <w:p w14:paraId="3516BF40">
      <w:pPr>
        <w:pStyle w:val="22"/>
        <w:bidi w:val="0"/>
        <w:rPr>
          <w:rFonts w:hint="eastAsia" w:eastAsia="宋体"/>
          <w:lang w:eastAsia="zh-CN"/>
        </w:rPr>
      </w:pPr>
      <w:r>
        <w:t>化学清洗周期</w:t>
      </w:r>
      <w:r>
        <w:rPr>
          <w:rFonts w:hint="eastAsia"/>
          <w:lang w:eastAsia="zh-CN"/>
        </w:rPr>
        <w:t>：</w:t>
      </w:r>
      <w:r>
        <w:t>1-3个月一次</w:t>
      </w:r>
      <w:r>
        <w:rPr>
          <w:rFonts w:hint="eastAsia"/>
          <w:lang w:eastAsia="zh-CN"/>
        </w:rPr>
        <w:t>（</w:t>
      </w:r>
      <w:r>
        <w:t>当出水通量为设计出水量的50%时</w:t>
      </w:r>
      <w:r>
        <w:rPr>
          <w:rFonts w:hint="eastAsia"/>
          <w:lang w:eastAsia="zh-CN"/>
        </w:rPr>
        <w:t>）</w:t>
      </w:r>
    </w:p>
    <w:p w14:paraId="503AAF7F">
      <w:pPr>
        <w:pStyle w:val="22"/>
        <w:bidi w:val="0"/>
      </w:pPr>
      <w:r>
        <w:t>设备规范</w:t>
      </w:r>
      <w:r>
        <w:rPr>
          <w:rFonts w:hint="eastAsia"/>
        </w:rPr>
        <w:t>：</w:t>
      </w:r>
      <w:r>
        <w:t>超滤装置为集中框架式组装结构，主要由超滤膜组件，进出水管道、阀门就地控制柜、仪表柜及组装框架等组成</w:t>
      </w:r>
      <w:r>
        <w:rPr>
          <w:rFonts w:hint="eastAsia"/>
          <w:lang w:eastAsia="zh-CN"/>
        </w:rPr>
        <w:t>，</w:t>
      </w:r>
      <w:r>
        <w:t>设备按标准进行生产</w:t>
      </w:r>
      <w:r>
        <w:rPr>
          <w:rFonts w:hint="eastAsia"/>
          <w:lang w:eastAsia="zh-CN"/>
        </w:rPr>
        <w:t>，</w:t>
      </w:r>
      <w:r>
        <w:t>所涉及的标准详见技术标准汇总表。该膜元件属内压式超滤膜，具有结构紧凑，产水量大，操作压力低，耐余氯侵蚀性好</w:t>
      </w:r>
      <w:r>
        <w:rPr>
          <w:rFonts w:hint="eastAsia"/>
          <w:lang w:eastAsia="zh-CN"/>
        </w:rPr>
        <w:t>（</w:t>
      </w:r>
      <w:r>
        <w:t>最大为250000PPm.h</w:t>
      </w:r>
      <w:r>
        <w:rPr>
          <w:rFonts w:hint="eastAsia"/>
          <w:lang w:eastAsia="zh-CN"/>
        </w:rPr>
        <w:t>，）</w:t>
      </w:r>
      <w:r>
        <w:t>，适用PH范围广（PH为2～12）的优点。超滤装置卧式组装</w:t>
      </w:r>
      <w:r>
        <w:rPr>
          <w:rFonts w:hint="eastAsia"/>
          <w:lang w:eastAsia="zh-CN"/>
        </w:rPr>
        <w:t>，</w:t>
      </w:r>
      <w:r>
        <w:t>完成独立的运行、清洗程序等程序。超滤装置在水质过滤过程中无相变，且体积小，实行编程自控，适应范围广，无环境污染等优点。超滤装置底部进水</w:t>
      </w:r>
      <w:r>
        <w:rPr>
          <w:rFonts w:hint="eastAsia"/>
          <w:lang w:eastAsia="zh-CN"/>
        </w:rPr>
        <w:t>，</w:t>
      </w:r>
      <w:r>
        <w:t>顶部出水</w:t>
      </w:r>
      <w:r>
        <w:rPr>
          <w:rFonts w:hint="eastAsia"/>
          <w:lang w:eastAsia="zh-CN"/>
        </w:rPr>
        <w:t>，</w:t>
      </w:r>
      <w:r>
        <w:t>清洗进水</w:t>
      </w:r>
      <w:r>
        <w:rPr>
          <w:rFonts w:hint="eastAsia"/>
          <w:lang w:eastAsia="zh-CN"/>
        </w:rPr>
        <w:t>，</w:t>
      </w:r>
      <w:r>
        <w:t>清洗排水</w:t>
      </w:r>
      <w:r>
        <w:rPr>
          <w:rFonts w:hint="eastAsia"/>
          <w:lang w:eastAsia="zh-CN"/>
        </w:rPr>
        <w:t>，</w:t>
      </w:r>
      <w:r>
        <w:t>每套超滤设有总进水、清洗排水、清洗进水及产水电磁阀、并设清洗进水、清洗回水手动阀。进出水电磁阀用于系统产水而设置</w:t>
      </w:r>
      <w:r>
        <w:rPr>
          <w:rFonts w:hint="eastAsia"/>
          <w:lang w:eastAsia="zh-CN"/>
        </w:rPr>
        <w:t>，</w:t>
      </w:r>
      <w:r>
        <w:t>用于系统运行产水及进入其它程序时的启动及停止</w:t>
      </w:r>
      <w:r>
        <w:rPr>
          <w:rFonts w:hint="eastAsia"/>
          <w:lang w:eastAsia="zh-CN"/>
        </w:rPr>
        <w:t>，</w:t>
      </w:r>
      <w:r>
        <w:t>超滤进水及出水设手动隔断阀</w:t>
      </w:r>
      <w:r>
        <w:rPr>
          <w:rFonts w:hint="eastAsia"/>
          <w:lang w:eastAsia="zh-CN"/>
        </w:rPr>
        <w:t>，</w:t>
      </w:r>
      <w:r>
        <w:t>用于切出系统进行检修。清洗进水及清洗排水气动阀用于超滤系统的定期在线清洗</w:t>
      </w:r>
      <w:r>
        <w:rPr>
          <w:rFonts w:hint="eastAsia"/>
          <w:lang w:eastAsia="zh-CN"/>
        </w:rPr>
        <w:t>，</w:t>
      </w:r>
      <w:r>
        <w:t>清洗水来自超滤滤后清水。化学清水进水阀及清洗回水阀用于超滤系统的定期化学清洗</w:t>
      </w:r>
      <w:r>
        <w:rPr>
          <w:rFonts w:hint="eastAsia"/>
          <w:lang w:eastAsia="zh-CN"/>
        </w:rPr>
        <w:t>，</w:t>
      </w:r>
      <w:r>
        <w:t>以恢复膜元件的水通量。超滤装置设有进水及产水压力表</w:t>
      </w:r>
      <w:r>
        <w:rPr>
          <w:rFonts w:hint="eastAsia"/>
          <w:lang w:eastAsia="zh-CN"/>
        </w:rPr>
        <w:t>，</w:t>
      </w:r>
      <w:r>
        <w:t>用以在经监视系统的进水及产水压力</w:t>
      </w:r>
      <w:r>
        <w:rPr>
          <w:rFonts w:hint="eastAsia"/>
          <w:lang w:eastAsia="zh-CN"/>
        </w:rPr>
        <w:t>，</w:t>
      </w:r>
      <w:r>
        <w:t>当进出水压力超压时需进行反冲洗。超滤系统循环总管及产水管设有流量变送器</w:t>
      </w:r>
      <w:r>
        <w:rPr>
          <w:rFonts w:hint="eastAsia"/>
          <w:lang w:eastAsia="zh-CN"/>
        </w:rPr>
        <w:t>，</w:t>
      </w:r>
      <w:r>
        <w:t>用于监视系统的进水及产水流量。超滤系统清洗水管设PH仪</w:t>
      </w:r>
      <w:r>
        <w:rPr>
          <w:rFonts w:hint="eastAsia"/>
          <w:lang w:eastAsia="zh-CN"/>
        </w:rPr>
        <w:t>，</w:t>
      </w:r>
      <w:r>
        <w:t>用于监视系统的清洗水的PH值</w:t>
      </w:r>
      <w:r>
        <w:rPr>
          <w:rFonts w:hint="eastAsia"/>
          <w:lang w:eastAsia="zh-CN"/>
        </w:rPr>
        <w:t>，</w:t>
      </w:r>
      <w:r>
        <w:t>设定各部分运行参数。超滤系统所有与介质接触的管道均采用PE管</w:t>
      </w:r>
      <w:r>
        <w:rPr>
          <w:rFonts w:hint="eastAsia"/>
          <w:lang w:eastAsia="zh-CN"/>
        </w:rPr>
        <w:t>，</w:t>
      </w:r>
      <w:r>
        <w:t>弯管采用316L不锈钢管</w:t>
      </w:r>
      <w:r>
        <w:rPr>
          <w:rFonts w:hint="eastAsia"/>
          <w:lang w:eastAsia="zh-CN"/>
        </w:rPr>
        <w:t>，</w:t>
      </w:r>
      <w:r>
        <w:t>所有管道及阀门组装在组合框架上。超滤装置的内部件在工厂安装定位，并提供正确、牢固的安全支撑，以防止运输及搬运时的偏位、松动及损坏。</w:t>
      </w:r>
    </w:p>
    <w:p w14:paraId="3292CBC1">
      <w:pPr>
        <w:pStyle w:val="22"/>
        <w:bidi w:val="0"/>
      </w:pPr>
      <w:r>
        <w:t>配套提供：</w:t>
      </w:r>
    </w:p>
    <w:p w14:paraId="412DB579">
      <w:pPr>
        <w:pStyle w:val="22"/>
        <w:bidi w:val="0"/>
      </w:pPr>
      <w:r>
        <w:rPr>
          <w:rFonts w:hint="eastAsia"/>
          <w:lang w:val="en-US" w:eastAsia="zh-CN"/>
        </w:rPr>
        <w:t xml:space="preserve">① </w:t>
      </w:r>
      <w:r>
        <w:t>UF进水泵</w:t>
      </w:r>
    </w:p>
    <w:p w14:paraId="6F85B4B7">
      <w:pPr>
        <w:pStyle w:val="22"/>
        <w:bidi w:val="0"/>
      </w:pPr>
      <w:r>
        <w:t>数量：2台</w:t>
      </w:r>
    </w:p>
    <w:p w14:paraId="1C4A61C6">
      <w:pPr>
        <w:pStyle w:val="22"/>
        <w:bidi w:val="0"/>
      </w:pPr>
      <w:r>
        <w:t>电源</w:t>
      </w:r>
      <w:r>
        <w:rPr>
          <w:rFonts w:hint="eastAsia"/>
          <w:lang w:eastAsia="zh-CN"/>
        </w:rPr>
        <w:t>：</w:t>
      </w:r>
      <w:r>
        <w:t>380V/50HZ</w:t>
      </w:r>
    </w:p>
    <w:p w14:paraId="10AF0A17">
      <w:pPr>
        <w:pStyle w:val="22"/>
        <w:bidi w:val="0"/>
      </w:pPr>
      <w:r>
        <w:rPr>
          <w:rFonts w:hint="eastAsia"/>
          <w:lang w:val="en-US" w:eastAsia="zh-CN"/>
        </w:rPr>
        <w:t xml:space="preserve">② </w:t>
      </w:r>
      <w:r>
        <w:t>循环泵</w:t>
      </w:r>
    </w:p>
    <w:p w14:paraId="0D5462AE">
      <w:pPr>
        <w:pStyle w:val="22"/>
        <w:bidi w:val="0"/>
      </w:pPr>
      <w:r>
        <w:t>启动方式</w:t>
      </w:r>
      <w:r>
        <w:rPr>
          <w:rFonts w:hint="eastAsia"/>
        </w:rPr>
        <w:t>：</w:t>
      </w:r>
      <w:r>
        <w:t>软启动</w:t>
      </w:r>
    </w:p>
    <w:p w14:paraId="61B7F736">
      <w:pPr>
        <w:pStyle w:val="22"/>
        <w:bidi w:val="0"/>
      </w:pPr>
      <w:r>
        <w:t>数量：1台</w:t>
      </w:r>
    </w:p>
    <w:p w14:paraId="2B9D6619">
      <w:pPr>
        <w:pStyle w:val="22"/>
        <w:bidi w:val="0"/>
      </w:pPr>
      <w:r>
        <w:rPr>
          <w:rFonts w:hint="eastAsia"/>
          <w:lang w:val="en-US" w:eastAsia="zh-CN"/>
        </w:rPr>
        <w:t xml:space="preserve">③ </w:t>
      </w:r>
      <w:r>
        <w:t>自清式过滤器</w:t>
      </w:r>
    </w:p>
    <w:p w14:paraId="0FC3F920">
      <w:pPr>
        <w:pStyle w:val="22"/>
        <w:bidi w:val="0"/>
      </w:pPr>
      <w:r>
        <w:t>自冲洗过滤器设在超滤进水泵后</w:t>
      </w:r>
      <w:r>
        <w:rPr>
          <w:rFonts w:hint="eastAsia"/>
          <w:lang w:eastAsia="zh-CN"/>
        </w:rPr>
        <w:t>，</w:t>
      </w:r>
      <w:r>
        <w:t>由于超滤系统内循环流速较高</w:t>
      </w:r>
      <w:r>
        <w:rPr>
          <w:rFonts w:hint="eastAsia"/>
          <w:lang w:eastAsia="zh-CN"/>
        </w:rPr>
        <w:t>，</w:t>
      </w:r>
      <w:r>
        <w:t>大颗粒的悬浮物经水泵加速后将损坏膜管及水泵叶轮</w:t>
      </w:r>
      <w:r>
        <w:rPr>
          <w:rFonts w:hint="eastAsia"/>
          <w:lang w:eastAsia="zh-CN"/>
        </w:rPr>
        <w:t>，</w:t>
      </w:r>
      <w:r>
        <w:t>因此该装置用于截留硝化罐出水中大颗粒的悬浮物</w:t>
      </w:r>
      <w:r>
        <w:rPr>
          <w:rFonts w:hint="eastAsia"/>
          <w:lang w:eastAsia="zh-CN"/>
        </w:rPr>
        <w:t>，</w:t>
      </w:r>
      <w:r>
        <w:t>防止大颗粒悬浮物阻塞UF系统。</w:t>
      </w:r>
    </w:p>
    <w:p w14:paraId="3471F80A">
      <w:pPr>
        <w:pStyle w:val="22"/>
        <w:bidi w:val="0"/>
      </w:pPr>
      <w:r>
        <w:t>设备规范</w:t>
      </w:r>
      <w:r>
        <w:rPr>
          <w:rFonts w:hint="eastAsia"/>
        </w:rPr>
        <w:t>：</w:t>
      </w:r>
    </w:p>
    <w:p w14:paraId="3A7E2F5A">
      <w:pPr>
        <w:pStyle w:val="22"/>
        <w:bidi w:val="0"/>
      </w:pPr>
      <w:r>
        <w:t>设备型号：CTF-65</w:t>
      </w:r>
    </w:p>
    <w:p w14:paraId="7E01C66F">
      <w:pPr>
        <w:pStyle w:val="22"/>
        <w:bidi w:val="0"/>
      </w:pPr>
      <w:r>
        <w:t>数量</w:t>
      </w:r>
      <w:r>
        <w:rPr>
          <w:rFonts w:hint="eastAsia"/>
          <w:lang w:eastAsia="zh-CN"/>
        </w:rPr>
        <w:t>：</w:t>
      </w:r>
      <w:r>
        <w:t>1套</w:t>
      </w:r>
    </w:p>
    <w:p w14:paraId="024F1D9F">
      <w:pPr>
        <w:pStyle w:val="22"/>
        <w:bidi w:val="0"/>
      </w:pPr>
      <w:r>
        <w:t>技术标准</w:t>
      </w:r>
      <w:r>
        <w:rPr>
          <w:rFonts w:hint="eastAsia"/>
        </w:rPr>
        <w:t>：</w:t>
      </w:r>
      <w:r>
        <w:t>自清洗过滤器</w:t>
      </w:r>
      <w:r>
        <w:rPr>
          <w:rFonts w:hint="eastAsia"/>
          <w:lang w:eastAsia="zh-CN"/>
        </w:rPr>
        <w:t>（</w:t>
      </w:r>
      <w:r>
        <w:t>以下简称过滤器</w:t>
      </w:r>
      <w:r>
        <w:rPr>
          <w:rFonts w:hint="eastAsia"/>
          <w:lang w:eastAsia="zh-CN"/>
        </w:rPr>
        <w:t>）</w:t>
      </w:r>
      <w:r>
        <w:t>为焊接碳钢结构卧式圆形容器</w:t>
      </w:r>
      <w:r>
        <w:rPr>
          <w:rFonts w:hint="eastAsia"/>
          <w:lang w:eastAsia="zh-CN"/>
        </w:rPr>
        <w:t>，</w:t>
      </w:r>
      <w:r>
        <w:t>水平安装</w:t>
      </w:r>
      <w:r>
        <w:rPr>
          <w:rFonts w:hint="eastAsia"/>
          <w:lang w:eastAsia="zh-CN"/>
        </w:rPr>
        <w:t>，</w:t>
      </w:r>
      <w:r>
        <w:t>设备按标准进行生产及制作</w:t>
      </w:r>
      <w:r>
        <w:rPr>
          <w:rFonts w:hint="eastAsia"/>
          <w:lang w:eastAsia="zh-CN"/>
        </w:rPr>
        <w:t>，</w:t>
      </w:r>
      <w:r>
        <w:t>所涉及的标准详见执行标准汇总表。过滤器由壳体、滤网、电动排泥系统、差压式变送器及就地控制箱组成。过滤器为两端封头结构</w:t>
      </w:r>
      <w:r>
        <w:rPr>
          <w:rFonts w:hint="eastAsia"/>
          <w:lang w:eastAsia="zh-CN"/>
        </w:rPr>
        <w:t>，</w:t>
      </w:r>
      <w:r>
        <w:t>两端为法兰式联接</w:t>
      </w:r>
      <w:r>
        <w:rPr>
          <w:rFonts w:hint="eastAsia"/>
          <w:lang w:eastAsia="zh-CN"/>
        </w:rPr>
        <w:t>，</w:t>
      </w:r>
      <w:r>
        <w:t>便于内部件的更换及设备的检修。过滤器内设三道滤网分编织滤网</w:t>
      </w:r>
      <w:r>
        <w:rPr>
          <w:rFonts w:hint="eastAsia"/>
          <w:lang w:eastAsia="zh-CN"/>
        </w:rPr>
        <w:t>，</w:t>
      </w:r>
      <w:r>
        <w:t>钻孔滤网及楔形滤网</w:t>
      </w:r>
      <w:r>
        <w:rPr>
          <w:rFonts w:hint="eastAsia"/>
          <w:lang w:eastAsia="zh-CN"/>
        </w:rPr>
        <w:t>，</w:t>
      </w:r>
      <w:r>
        <w:t>钻孔滤网设在最外层</w:t>
      </w:r>
      <w:r>
        <w:rPr>
          <w:rFonts w:hint="eastAsia"/>
          <w:lang w:eastAsia="zh-CN"/>
        </w:rPr>
        <w:t>，</w:t>
      </w:r>
      <w:r>
        <w:t>在系统中起骨架及加强作用</w:t>
      </w:r>
      <w:r>
        <w:rPr>
          <w:rFonts w:hint="eastAsia"/>
          <w:lang w:eastAsia="zh-CN"/>
        </w:rPr>
        <w:t>，</w:t>
      </w:r>
      <w:r>
        <w:t>楔形滤网为梯形缝隙结构</w:t>
      </w:r>
      <w:r>
        <w:rPr>
          <w:rFonts w:hint="eastAsia"/>
          <w:lang w:eastAsia="zh-CN"/>
        </w:rPr>
        <w:t>，</w:t>
      </w:r>
      <w:r>
        <w:t>设在最内层</w:t>
      </w:r>
      <w:r>
        <w:rPr>
          <w:rFonts w:hint="eastAsia"/>
          <w:lang w:eastAsia="zh-CN"/>
        </w:rPr>
        <w:t>，</w:t>
      </w:r>
      <w:r>
        <w:t>在系统中用于颗料污染物的截留</w:t>
      </w:r>
      <w:r>
        <w:rPr>
          <w:rFonts w:hint="eastAsia"/>
          <w:lang w:eastAsia="zh-CN"/>
        </w:rPr>
        <w:t>，</w:t>
      </w:r>
      <w:r>
        <w:t>便于清洗</w:t>
      </w:r>
      <w:r>
        <w:rPr>
          <w:rFonts w:hint="eastAsia"/>
          <w:lang w:eastAsia="zh-CN"/>
        </w:rPr>
        <w:t>，</w:t>
      </w:r>
      <w:r>
        <w:t>起骨架的作用</w:t>
      </w:r>
      <w:r>
        <w:rPr>
          <w:rFonts w:hint="eastAsia"/>
          <w:lang w:eastAsia="zh-CN"/>
        </w:rPr>
        <w:t>，</w:t>
      </w:r>
      <w:r>
        <w:t>编织滤网设在中间层</w:t>
      </w:r>
      <w:r>
        <w:rPr>
          <w:rFonts w:hint="eastAsia"/>
          <w:lang w:eastAsia="zh-CN"/>
        </w:rPr>
        <w:t>，</w:t>
      </w:r>
      <w:r>
        <w:t>用于小颗粒悬浮物的过滤。电动排泥系统由电机、减速机、中心轴、吸嘴及电动排污阀等组成</w:t>
      </w:r>
      <w:r>
        <w:rPr>
          <w:rFonts w:hint="eastAsia"/>
          <w:lang w:eastAsia="zh-CN"/>
        </w:rPr>
        <w:t>，</w:t>
      </w:r>
      <w:r>
        <w:t>减速机为摆线针轮式结构</w:t>
      </w:r>
      <w:r>
        <w:rPr>
          <w:rFonts w:hint="eastAsia"/>
          <w:lang w:eastAsia="zh-CN"/>
        </w:rPr>
        <w:t>，</w:t>
      </w:r>
      <w:r>
        <w:t>电机及减机用于中心轴的传动</w:t>
      </w:r>
      <w:r>
        <w:rPr>
          <w:rFonts w:hint="eastAsia"/>
          <w:lang w:eastAsia="zh-CN"/>
        </w:rPr>
        <w:t>，</w:t>
      </w:r>
      <w:r>
        <w:t>牵动中心轴上下旋转</w:t>
      </w:r>
      <w:r>
        <w:rPr>
          <w:rFonts w:hint="eastAsia"/>
          <w:lang w:eastAsia="zh-CN"/>
        </w:rPr>
        <w:t>，</w:t>
      </w:r>
      <w:r>
        <w:t>中心轴为中空结构</w:t>
      </w:r>
      <w:r>
        <w:rPr>
          <w:rFonts w:hint="eastAsia"/>
          <w:lang w:eastAsia="zh-CN"/>
        </w:rPr>
        <w:t>，</w:t>
      </w:r>
      <w:r>
        <w:t>不锈钢材质与吸嘴联接</w:t>
      </w:r>
      <w:r>
        <w:rPr>
          <w:rFonts w:hint="eastAsia"/>
          <w:lang w:eastAsia="zh-CN"/>
        </w:rPr>
        <w:t>，</w:t>
      </w:r>
      <w:r>
        <w:t>吸嘴为弹簧式结构</w:t>
      </w:r>
      <w:r>
        <w:rPr>
          <w:rFonts w:hint="eastAsia"/>
          <w:lang w:eastAsia="zh-CN"/>
        </w:rPr>
        <w:t>，</w:t>
      </w:r>
      <w:r>
        <w:t>防止吸嘴对滤网的破坏</w:t>
      </w:r>
      <w:r>
        <w:rPr>
          <w:rFonts w:hint="eastAsia"/>
          <w:lang w:eastAsia="zh-CN"/>
        </w:rPr>
        <w:t>，</w:t>
      </w:r>
      <w:r>
        <w:t>吸嘴通过过滤器的压力由中心管通过电动排污阀排污</w:t>
      </w:r>
      <w:r>
        <w:rPr>
          <w:rFonts w:hint="eastAsia"/>
          <w:lang w:eastAsia="zh-CN"/>
        </w:rPr>
        <w:t>，</w:t>
      </w:r>
      <w:r>
        <w:t>与减速及电动系统同步工作。差压式变送器用于检测过滤器进出水差压</w:t>
      </w:r>
      <w:r>
        <w:rPr>
          <w:rFonts w:hint="eastAsia"/>
          <w:lang w:eastAsia="zh-CN"/>
        </w:rPr>
        <w:t>，</w:t>
      </w:r>
      <w:r>
        <w:t>当进出水压差达设定值时</w:t>
      </w:r>
      <w:r>
        <w:rPr>
          <w:rFonts w:hint="eastAsia"/>
          <w:lang w:eastAsia="zh-CN"/>
        </w:rPr>
        <w:t>，</w:t>
      </w:r>
      <w:r>
        <w:t>过滤器自动排污</w:t>
      </w:r>
      <w:r>
        <w:rPr>
          <w:rFonts w:hint="eastAsia"/>
          <w:lang w:eastAsia="zh-CN"/>
        </w:rPr>
        <w:t>，</w:t>
      </w:r>
      <w:r>
        <w:t>排污时不间断产水。就地控制箱用于过滤器的就地操作</w:t>
      </w:r>
      <w:r>
        <w:rPr>
          <w:rFonts w:hint="eastAsia"/>
          <w:lang w:eastAsia="zh-CN"/>
        </w:rPr>
        <w:t>，</w:t>
      </w:r>
      <w:r>
        <w:t>设手动/自动转换开关</w:t>
      </w:r>
      <w:r>
        <w:rPr>
          <w:rFonts w:hint="eastAsia"/>
          <w:lang w:eastAsia="zh-CN"/>
        </w:rPr>
        <w:t>，</w:t>
      </w:r>
      <w:r>
        <w:t>可单步手动操作</w:t>
      </w:r>
      <w:r>
        <w:rPr>
          <w:rFonts w:hint="eastAsia"/>
          <w:lang w:eastAsia="zh-CN"/>
        </w:rPr>
        <w:t>，</w:t>
      </w:r>
      <w:r>
        <w:t>同时可按设定的压差程序自动运行及排污。</w:t>
      </w:r>
    </w:p>
    <w:p w14:paraId="77EEB0CC">
      <w:pPr>
        <w:pStyle w:val="22"/>
        <w:bidi w:val="0"/>
        <w:rPr>
          <w:rFonts w:hint="eastAsia" w:eastAsia="宋体"/>
          <w:lang w:eastAsia="zh-CN"/>
        </w:rPr>
      </w:pPr>
      <w:r>
        <w:rPr>
          <w:rFonts w:hint="eastAsia"/>
          <w:lang w:val="en-US" w:eastAsia="zh-CN"/>
        </w:rPr>
        <w:t xml:space="preserve">④ </w:t>
      </w:r>
      <w:r>
        <w:t>UF清洗装置</w:t>
      </w:r>
    </w:p>
    <w:p w14:paraId="06BB42DC">
      <w:pPr>
        <w:pStyle w:val="22"/>
        <w:bidi w:val="0"/>
      </w:pPr>
      <w:bookmarkStart w:id="56" w:name="_Toc469954439"/>
      <w:bookmarkStart w:id="57" w:name="_Toc469002282"/>
      <w:r>
        <w:t>清洗装置由清洗水箱、清洗水泵</w:t>
      </w:r>
      <w:r>
        <w:rPr>
          <w:rFonts w:hint="eastAsia"/>
        </w:rPr>
        <w:t>等</w:t>
      </w:r>
      <w:r>
        <w:t>装置组成</w:t>
      </w:r>
      <w:r>
        <w:rPr>
          <w:rFonts w:hint="eastAsia"/>
        </w:rPr>
        <w:t>，</w:t>
      </w:r>
      <w:r>
        <w:t>用以满足超滤系统的循环清洗</w:t>
      </w:r>
      <w:r>
        <w:rPr>
          <w:rFonts w:hint="eastAsia"/>
        </w:rPr>
        <w:t>，</w:t>
      </w:r>
      <w:r>
        <w:t>满足超滤装置一次清洗用的药剂量。</w:t>
      </w:r>
      <w:bookmarkEnd w:id="56"/>
      <w:bookmarkEnd w:id="57"/>
    </w:p>
    <w:p w14:paraId="04B8A083">
      <w:pPr>
        <w:pStyle w:val="22"/>
        <w:bidi w:val="0"/>
      </w:pPr>
      <w:bookmarkStart w:id="58" w:name="_Toc469002283"/>
      <w:bookmarkStart w:id="59" w:name="_Toc469954440"/>
      <w:r>
        <w:t>设备规范：</w:t>
      </w:r>
      <w:bookmarkEnd w:id="58"/>
      <w:bookmarkEnd w:id="59"/>
    </w:p>
    <w:p w14:paraId="23857316">
      <w:pPr>
        <w:pStyle w:val="22"/>
        <w:bidi w:val="0"/>
      </w:pPr>
      <w:r>
        <w:t>a、清洗水箱：</w:t>
      </w:r>
    </w:p>
    <w:p w14:paraId="1479BDC2">
      <w:pPr>
        <w:pStyle w:val="22"/>
        <w:bidi w:val="0"/>
      </w:pPr>
      <w:r>
        <w:t>设备台数：</w:t>
      </w:r>
      <w:r>
        <w:tab/>
      </w:r>
      <w:r>
        <w:tab/>
      </w:r>
      <w:r>
        <w:tab/>
      </w:r>
      <w:r>
        <w:tab/>
      </w:r>
      <w:r>
        <w:t>1台</w:t>
      </w:r>
    </w:p>
    <w:p w14:paraId="2E836144">
      <w:pPr>
        <w:pStyle w:val="22"/>
        <w:bidi w:val="0"/>
      </w:pPr>
      <w:r>
        <w:t>设计压力：</w:t>
      </w:r>
      <w:r>
        <w:tab/>
      </w:r>
      <w:r>
        <w:tab/>
      </w:r>
      <w:r>
        <w:tab/>
      </w:r>
      <w:r>
        <w:tab/>
      </w:r>
      <w:r>
        <w:t>常压</w:t>
      </w:r>
    </w:p>
    <w:p w14:paraId="6E6E777A">
      <w:pPr>
        <w:pStyle w:val="22"/>
        <w:bidi w:val="0"/>
      </w:pPr>
      <w:bookmarkStart w:id="60" w:name="_Toc469002290"/>
      <w:bookmarkStart w:id="61" w:name="_Toc469954447"/>
      <w:r>
        <w:t>试验压力：</w:t>
      </w:r>
      <w:r>
        <w:tab/>
      </w:r>
      <w:r>
        <w:tab/>
      </w:r>
      <w:r>
        <w:tab/>
      </w:r>
      <w:r>
        <w:tab/>
      </w:r>
      <w:r>
        <w:t>24小时满水盛水试验</w:t>
      </w:r>
      <w:bookmarkEnd w:id="60"/>
      <w:bookmarkEnd w:id="61"/>
    </w:p>
    <w:p w14:paraId="648A4C47">
      <w:pPr>
        <w:pStyle w:val="22"/>
        <w:bidi w:val="0"/>
      </w:pPr>
      <w:bookmarkStart w:id="62" w:name="_Toc469954448"/>
      <w:bookmarkStart w:id="63" w:name="_Toc469002291"/>
      <w:r>
        <w:t>工作温度：</w:t>
      </w:r>
      <w:r>
        <w:tab/>
      </w:r>
      <w:r>
        <w:tab/>
      </w:r>
      <w:r>
        <w:tab/>
      </w:r>
      <w:r>
        <w:tab/>
      </w:r>
      <w:r>
        <w:t>4-50</w:t>
      </w:r>
      <w:r>
        <w:rPr>
          <w:rFonts w:hint="eastAsia"/>
          <w:lang w:eastAsia="zh-CN"/>
        </w:rPr>
        <w:t>（</w:t>
      </w:r>
      <w:r>
        <w:t>C</w:t>
      </w:r>
      <w:bookmarkEnd w:id="62"/>
      <w:bookmarkEnd w:id="63"/>
    </w:p>
    <w:p w14:paraId="284946B3">
      <w:pPr>
        <w:pStyle w:val="22"/>
        <w:bidi w:val="0"/>
      </w:pPr>
      <w:r>
        <w:t>b、清洗水泵：</w:t>
      </w:r>
    </w:p>
    <w:p w14:paraId="555B391C">
      <w:pPr>
        <w:pStyle w:val="22"/>
        <w:bidi w:val="0"/>
      </w:pPr>
      <w:r>
        <w:t>数量：1台</w:t>
      </w:r>
    </w:p>
    <w:p w14:paraId="5A033E31">
      <w:pPr>
        <w:pStyle w:val="22"/>
        <w:bidi w:val="0"/>
      </w:pPr>
      <w:r>
        <w:t>输送介质：清水</w:t>
      </w:r>
    </w:p>
    <w:p w14:paraId="2D91677B">
      <w:pPr>
        <w:pStyle w:val="22"/>
        <w:bidi w:val="0"/>
      </w:pPr>
      <w:r>
        <w:t>技术标准：清洗溶液箱为立式圆形容器</w:t>
      </w:r>
      <w:r>
        <w:rPr>
          <w:rFonts w:hint="eastAsia"/>
          <w:lang w:eastAsia="zh-CN"/>
        </w:rPr>
        <w:t>，</w:t>
      </w:r>
      <w:r>
        <w:t>所涉及的标准详见执行标准汇总表。清洗溶液箱制作完毕后作严密性的水压试验</w:t>
      </w:r>
      <w:r>
        <w:rPr>
          <w:rFonts w:hint="eastAsia"/>
          <w:lang w:eastAsia="zh-CN"/>
        </w:rPr>
        <w:t>，</w:t>
      </w:r>
      <w:r>
        <w:t>盛水时间不小于24小时</w:t>
      </w:r>
      <w:r>
        <w:rPr>
          <w:rFonts w:hint="eastAsia"/>
          <w:lang w:eastAsia="zh-CN"/>
        </w:rPr>
        <w:t>，</w:t>
      </w:r>
      <w:r>
        <w:t>不得有漏水及有异常变形现象。</w:t>
      </w:r>
      <w:bookmarkStart w:id="64" w:name="_Toc469954454"/>
      <w:bookmarkStart w:id="65" w:name="_Toc469002297"/>
      <w:r>
        <w:t>清洗溶液箱配有进水口、出液口、排污口、溢流口、清水回水口等。</w:t>
      </w:r>
      <w:bookmarkEnd w:id="64"/>
      <w:bookmarkEnd w:id="65"/>
      <w:r>
        <w:t>清洗装置所有内部管道阀门均为1.0MPa的UPVC材料。清洗装置的内部件在工厂安装定位</w:t>
      </w:r>
      <w:r>
        <w:rPr>
          <w:rFonts w:hint="eastAsia"/>
          <w:lang w:eastAsia="zh-CN"/>
        </w:rPr>
        <w:t>，</w:t>
      </w:r>
      <w:r>
        <w:t>并提供正确、牢固的安全支撑</w:t>
      </w:r>
      <w:r>
        <w:rPr>
          <w:rFonts w:hint="eastAsia"/>
          <w:lang w:eastAsia="zh-CN"/>
        </w:rPr>
        <w:t>，</w:t>
      </w:r>
      <w:r>
        <w:t>以防止运输及搬运时的偏位、松动及损坏。</w:t>
      </w:r>
    </w:p>
    <w:p w14:paraId="5DA6AFA1">
      <w:pPr>
        <w:pStyle w:val="22"/>
        <w:bidi w:val="0"/>
        <w:rPr>
          <w:rFonts w:hint="eastAsia" w:eastAsia="宋体"/>
          <w:lang w:eastAsia="zh-CN"/>
        </w:rPr>
      </w:pPr>
      <w:r>
        <w:rPr>
          <w:rFonts w:hint="eastAsia"/>
          <w:lang w:val="en-US" w:eastAsia="zh-CN"/>
        </w:rPr>
        <w:t xml:space="preserve">⑤ </w:t>
      </w:r>
      <w:r>
        <w:t>UF清液槽</w:t>
      </w:r>
    </w:p>
    <w:p w14:paraId="127B2AA4">
      <w:pPr>
        <w:pStyle w:val="22"/>
        <w:bidi w:val="0"/>
      </w:pPr>
      <w:bookmarkStart w:id="66" w:name="_Toc469002300"/>
      <w:bookmarkStart w:id="67" w:name="_Toc469954457"/>
      <w:r>
        <w:t>UF清液槽在工艺中用于超滤产水的储存</w:t>
      </w:r>
      <w:r>
        <w:rPr>
          <w:rFonts w:hint="eastAsia"/>
          <w:lang w:eastAsia="zh-CN"/>
        </w:rPr>
        <w:t>，</w:t>
      </w:r>
      <w:r>
        <w:t>在工艺中起调节水量的功能。</w:t>
      </w:r>
      <w:bookmarkEnd w:id="66"/>
      <w:bookmarkEnd w:id="67"/>
    </w:p>
    <w:p w14:paraId="7B755B4B">
      <w:pPr>
        <w:pStyle w:val="22"/>
        <w:bidi w:val="0"/>
      </w:pPr>
      <w:bookmarkStart w:id="68" w:name="_Toc469002301"/>
      <w:bookmarkStart w:id="69" w:name="_Toc469954458"/>
      <w:r>
        <w:t>设备规范：</w:t>
      </w:r>
      <w:bookmarkEnd w:id="68"/>
      <w:bookmarkEnd w:id="69"/>
    </w:p>
    <w:p w14:paraId="4EA8325C">
      <w:pPr>
        <w:pStyle w:val="22"/>
        <w:bidi w:val="0"/>
      </w:pPr>
      <w:r>
        <w:t>设备台数：</w:t>
      </w:r>
      <w:r>
        <w:tab/>
      </w:r>
      <w:r>
        <w:tab/>
      </w:r>
      <w:r>
        <w:tab/>
      </w:r>
      <w:r>
        <w:tab/>
      </w:r>
      <w:r>
        <w:t>1台</w:t>
      </w:r>
    </w:p>
    <w:p w14:paraId="30A13327">
      <w:pPr>
        <w:pStyle w:val="22"/>
        <w:bidi w:val="0"/>
      </w:pPr>
      <w:r>
        <w:t>设计压力：</w:t>
      </w:r>
      <w:r>
        <w:tab/>
      </w:r>
      <w:r>
        <w:tab/>
      </w:r>
      <w:r>
        <w:tab/>
      </w:r>
      <w:r>
        <w:tab/>
      </w:r>
      <w:r>
        <w:t>常压</w:t>
      </w:r>
    </w:p>
    <w:p w14:paraId="4EA4E1B8">
      <w:pPr>
        <w:pStyle w:val="22"/>
        <w:bidi w:val="0"/>
      </w:pPr>
      <w:bookmarkStart w:id="70" w:name="_Toc469954459"/>
      <w:bookmarkStart w:id="71" w:name="_Toc469002302"/>
      <w:r>
        <w:t>试验压力：</w:t>
      </w:r>
      <w:r>
        <w:tab/>
      </w:r>
      <w:r>
        <w:tab/>
      </w:r>
      <w:r>
        <w:tab/>
      </w:r>
      <w:r>
        <w:tab/>
      </w:r>
      <w:r>
        <w:t>24小时满水盛水试验</w:t>
      </w:r>
      <w:bookmarkEnd w:id="70"/>
      <w:bookmarkEnd w:id="71"/>
    </w:p>
    <w:p w14:paraId="0BA9610D">
      <w:pPr>
        <w:pStyle w:val="22"/>
        <w:bidi w:val="0"/>
      </w:pPr>
      <w:bookmarkStart w:id="72" w:name="_Toc469002303"/>
      <w:bookmarkStart w:id="73" w:name="_Toc469954460"/>
      <w:r>
        <w:t>工作温度：</w:t>
      </w:r>
      <w:r>
        <w:tab/>
      </w:r>
      <w:r>
        <w:tab/>
      </w:r>
      <w:r>
        <w:tab/>
      </w:r>
      <w:r>
        <w:tab/>
      </w:r>
      <w:r>
        <w:t>4-50</w:t>
      </w:r>
      <w:r>
        <w:rPr>
          <w:rFonts w:hint="eastAsia"/>
          <w:lang w:eastAsia="zh-CN"/>
        </w:rPr>
        <w:t>（</w:t>
      </w:r>
      <w:r>
        <w:t>C</w:t>
      </w:r>
      <w:bookmarkEnd w:id="72"/>
      <w:bookmarkEnd w:id="73"/>
    </w:p>
    <w:p w14:paraId="0813D2B4">
      <w:pPr>
        <w:pStyle w:val="22"/>
        <w:bidi w:val="0"/>
        <w:rPr>
          <w:rFonts w:hint="eastAsia" w:eastAsia="宋体"/>
          <w:lang w:eastAsia="zh-CN"/>
        </w:rPr>
      </w:pPr>
      <w:r>
        <w:rPr>
          <w:rFonts w:hint="eastAsia"/>
          <w:lang w:val="en-US" w:eastAsia="zh-CN"/>
        </w:rPr>
        <w:t xml:space="preserve">⑥ </w:t>
      </w:r>
      <w:r>
        <w:t>UF清液回流泵</w:t>
      </w:r>
    </w:p>
    <w:p w14:paraId="38261306">
      <w:pPr>
        <w:pStyle w:val="22"/>
        <w:bidi w:val="0"/>
      </w:pPr>
      <w:r>
        <w:t>清液回流泵用于超滤产水的提升</w:t>
      </w:r>
      <w:r>
        <w:rPr>
          <w:rFonts w:hint="eastAsia"/>
          <w:lang w:eastAsia="zh-CN"/>
        </w:rPr>
        <w:t>，</w:t>
      </w:r>
      <w:r>
        <w:t>当超滤产水不合格时</w:t>
      </w:r>
      <w:r>
        <w:rPr>
          <w:rFonts w:hint="eastAsia"/>
          <w:lang w:eastAsia="zh-CN"/>
        </w:rPr>
        <w:t>，</w:t>
      </w:r>
      <w:r>
        <w:t>部分水提升回流</w:t>
      </w:r>
      <w:r>
        <w:rPr>
          <w:rFonts w:hint="eastAsia"/>
        </w:rPr>
        <w:t>，</w:t>
      </w:r>
      <w:r>
        <w:t>以保证超滤产水水质。</w:t>
      </w:r>
    </w:p>
    <w:p w14:paraId="6CB89264">
      <w:pPr>
        <w:pStyle w:val="22"/>
        <w:bidi w:val="0"/>
        <w:rPr>
          <w:rFonts w:hint="eastAsia" w:eastAsia="宋体"/>
          <w:lang w:eastAsia="zh-CN"/>
        </w:rPr>
      </w:pPr>
      <w:r>
        <w:t>设备规范</w:t>
      </w:r>
      <w:r>
        <w:rPr>
          <w:rFonts w:hint="eastAsia"/>
          <w:lang w:eastAsia="zh-CN"/>
        </w:rPr>
        <w:t>：</w:t>
      </w:r>
    </w:p>
    <w:p w14:paraId="4B32B680">
      <w:pPr>
        <w:pStyle w:val="22"/>
        <w:bidi w:val="0"/>
      </w:pPr>
      <w:r>
        <w:t>数量：1台</w:t>
      </w:r>
    </w:p>
    <w:p w14:paraId="14A84030">
      <w:pPr>
        <w:pStyle w:val="22"/>
        <w:bidi w:val="0"/>
      </w:pPr>
      <w:r>
        <w:t>电源</w:t>
      </w:r>
      <w:r>
        <w:rPr>
          <w:rFonts w:hint="eastAsia"/>
        </w:rPr>
        <w:t>：</w:t>
      </w:r>
      <w:r>
        <w:t>380V/50HZ</w:t>
      </w:r>
    </w:p>
    <w:p w14:paraId="724C2EAA">
      <w:pPr>
        <w:pStyle w:val="22"/>
        <w:bidi w:val="0"/>
        <w:rPr>
          <w:rFonts w:hint="eastAsia" w:eastAsia="宋体"/>
          <w:lang w:eastAsia="zh-CN"/>
        </w:rPr>
      </w:pPr>
      <w:r>
        <w:rPr>
          <w:rFonts w:hint="eastAsia"/>
        </w:rPr>
        <w:t>U</w:t>
      </w:r>
      <w:r>
        <w:t>F清液提升泵</w:t>
      </w:r>
      <w:r>
        <w:rPr>
          <w:rFonts w:hint="eastAsia"/>
          <w:lang w:eastAsia="zh-CN"/>
        </w:rPr>
        <w:t>：</w:t>
      </w:r>
    </w:p>
    <w:p w14:paraId="22014502">
      <w:pPr>
        <w:pStyle w:val="22"/>
        <w:bidi w:val="0"/>
      </w:pPr>
      <w:r>
        <w:t>数量：2台</w:t>
      </w:r>
      <w:r>
        <w:rPr>
          <w:rFonts w:hint="eastAsia"/>
        </w:rPr>
        <w:t>（1用1备）</w:t>
      </w:r>
    </w:p>
    <w:p w14:paraId="389BB28B">
      <w:pPr>
        <w:pStyle w:val="22"/>
        <w:bidi w:val="0"/>
      </w:pPr>
      <w:r>
        <w:t>输送介质：污水</w:t>
      </w:r>
    </w:p>
    <w:p w14:paraId="3451B032">
      <w:pPr>
        <w:pStyle w:val="22"/>
        <w:bidi w:val="0"/>
      </w:pPr>
      <w:bookmarkStart w:id="74" w:name="_Toc185150587"/>
      <w:r>
        <w:rPr>
          <w:rFonts w:hint="eastAsia"/>
          <w:lang w:eastAsia="zh-CN"/>
        </w:rPr>
        <w:t>（</w:t>
      </w:r>
      <w:r>
        <w:rPr>
          <w:rFonts w:hint="eastAsia"/>
          <w:lang w:val="en-US" w:eastAsia="zh-CN"/>
        </w:rPr>
        <w:t>11</w:t>
      </w:r>
      <w:r>
        <w:rPr>
          <w:rFonts w:hint="eastAsia"/>
          <w:lang w:eastAsia="zh-CN"/>
        </w:rPr>
        <w:t>）</w:t>
      </w:r>
      <w:r>
        <w:rPr>
          <w:rFonts w:hint="eastAsia"/>
        </w:rPr>
        <w:t>高效沉淀池</w:t>
      </w:r>
      <w:bookmarkEnd w:id="74"/>
    </w:p>
    <w:p w14:paraId="6213CE98">
      <w:pPr>
        <w:pStyle w:val="22"/>
        <w:bidi w:val="0"/>
      </w:pPr>
      <w:r>
        <w:t>UF</w:t>
      </w:r>
      <w:r>
        <w:rPr>
          <w:rFonts w:hint="eastAsia"/>
        </w:rPr>
        <w:t>出水进入沉淀池内进行絮凝沉淀、软化处理，去除大部分硬度、碱度和悬浮物等。</w:t>
      </w:r>
    </w:p>
    <w:p w14:paraId="174BE560">
      <w:pPr>
        <w:pStyle w:val="22"/>
        <w:bidi w:val="0"/>
        <w:rPr>
          <w:rFonts w:hint="eastAsia" w:eastAsia="宋体"/>
          <w:lang w:eastAsia="zh-CN"/>
        </w:rPr>
      </w:pPr>
      <w:r>
        <w:t>设备规范</w:t>
      </w:r>
      <w:r>
        <w:rPr>
          <w:rFonts w:hint="eastAsia"/>
          <w:lang w:eastAsia="zh-CN"/>
        </w:rPr>
        <w:t>：</w:t>
      </w:r>
    </w:p>
    <w:p w14:paraId="5434D4A5">
      <w:pPr>
        <w:pStyle w:val="22"/>
        <w:bidi w:val="0"/>
      </w:pPr>
      <w:r>
        <w:t>型号：RHGX25</w:t>
      </w:r>
    </w:p>
    <w:p w14:paraId="15710C2F">
      <w:pPr>
        <w:pStyle w:val="22"/>
        <w:bidi w:val="0"/>
      </w:pPr>
      <w:r>
        <w:t>数量</w:t>
      </w:r>
      <w:r>
        <w:rPr>
          <w:rFonts w:hint="eastAsia"/>
        </w:rPr>
        <w:t>：</w:t>
      </w:r>
      <w:r>
        <w:t>1座</w:t>
      </w:r>
    </w:p>
    <w:p w14:paraId="48332C25">
      <w:pPr>
        <w:pStyle w:val="22"/>
        <w:bidi w:val="0"/>
      </w:pPr>
      <w:r>
        <w:rPr>
          <w:rFonts w:hint="eastAsia"/>
          <w:lang w:val="en-US" w:eastAsia="zh-CN"/>
        </w:rPr>
        <w:t xml:space="preserve">① </w:t>
      </w:r>
      <w:r>
        <w:rPr>
          <w:rFonts w:hint="eastAsia"/>
        </w:rPr>
        <w:t>混凝剂加药装置</w:t>
      </w:r>
    </w:p>
    <w:p w14:paraId="5B1355CE">
      <w:pPr>
        <w:pStyle w:val="22"/>
        <w:bidi w:val="0"/>
        <w:rPr>
          <w:rFonts w:hint="eastAsia" w:eastAsia="宋体"/>
          <w:lang w:eastAsia="zh-CN"/>
        </w:rPr>
      </w:pPr>
      <w:r>
        <w:t>设备规范</w:t>
      </w:r>
      <w:r>
        <w:rPr>
          <w:rFonts w:hint="eastAsia"/>
          <w:lang w:eastAsia="zh-CN"/>
        </w:rPr>
        <w:t>：</w:t>
      </w:r>
    </w:p>
    <w:p w14:paraId="3DBC084E">
      <w:pPr>
        <w:pStyle w:val="22"/>
        <w:bidi w:val="0"/>
      </w:pPr>
      <w:r>
        <w:t>型号：JBY1/1-1.6/0.76</w:t>
      </w:r>
    </w:p>
    <w:p w14:paraId="313635F6">
      <w:pPr>
        <w:pStyle w:val="22"/>
        <w:bidi w:val="0"/>
      </w:pPr>
      <w:r>
        <w:t>数量：1套</w:t>
      </w:r>
    </w:p>
    <w:p w14:paraId="29A79714">
      <w:pPr>
        <w:pStyle w:val="22"/>
        <w:bidi w:val="0"/>
      </w:pPr>
      <w:r>
        <w:rPr>
          <w:rFonts w:hint="eastAsia"/>
          <w:lang w:val="en-US" w:eastAsia="zh-CN"/>
        </w:rPr>
        <w:t xml:space="preserve">② </w:t>
      </w:r>
      <w:r>
        <w:rPr>
          <w:rFonts w:hint="eastAsia"/>
        </w:rPr>
        <w:t>絮凝剂加药装置</w:t>
      </w:r>
    </w:p>
    <w:p w14:paraId="51D7452E">
      <w:pPr>
        <w:pStyle w:val="22"/>
        <w:bidi w:val="0"/>
        <w:rPr>
          <w:rFonts w:hint="eastAsia" w:eastAsia="宋体"/>
          <w:lang w:eastAsia="zh-CN"/>
        </w:rPr>
      </w:pPr>
      <w:r>
        <w:t>设备规范</w:t>
      </w:r>
      <w:r>
        <w:rPr>
          <w:rFonts w:hint="eastAsia"/>
          <w:lang w:eastAsia="zh-CN"/>
        </w:rPr>
        <w:t>：</w:t>
      </w:r>
    </w:p>
    <w:p w14:paraId="409C5832">
      <w:pPr>
        <w:pStyle w:val="22"/>
        <w:bidi w:val="0"/>
      </w:pPr>
      <w:r>
        <w:t>型号：JBY1/1-1.6/0.76</w:t>
      </w:r>
    </w:p>
    <w:p w14:paraId="59D96905">
      <w:pPr>
        <w:pStyle w:val="22"/>
        <w:bidi w:val="0"/>
      </w:pPr>
      <w:r>
        <w:t>数量：1套</w:t>
      </w:r>
    </w:p>
    <w:p w14:paraId="4B3AE179">
      <w:pPr>
        <w:pStyle w:val="22"/>
        <w:bidi w:val="0"/>
      </w:pPr>
      <w:bookmarkStart w:id="75" w:name="_Toc185150588"/>
      <w:bookmarkStart w:id="76" w:name="_Toc493099945"/>
      <w:r>
        <w:rPr>
          <w:rFonts w:hint="eastAsia"/>
          <w:lang w:eastAsia="zh-CN"/>
        </w:rPr>
        <w:t>（</w:t>
      </w:r>
      <w:r>
        <w:t>12）</w:t>
      </w:r>
      <w:r>
        <w:rPr>
          <w:rFonts w:hint="eastAsia"/>
        </w:rPr>
        <w:t>一级R</w:t>
      </w:r>
      <w:r>
        <w:t>O</w:t>
      </w:r>
      <w:r>
        <w:rPr>
          <w:rFonts w:hint="eastAsia"/>
        </w:rPr>
        <w:t>系统</w:t>
      </w:r>
      <w:bookmarkEnd w:id="75"/>
      <w:bookmarkEnd w:id="76"/>
    </w:p>
    <w:p w14:paraId="401143D1">
      <w:pPr>
        <w:pStyle w:val="22"/>
        <w:bidi w:val="0"/>
      </w:pPr>
      <w:r>
        <w:t>反渗透又称逆渗透</w:t>
      </w:r>
      <w:r>
        <w:rPr>
          <w:rFonts w:hint="eastAsia"/>
          <w:lang w:eastAsia="zh-CN"/>
        </w:rPr>
        <w:t>，是</w:t>
      </w:r>
      <w:r>
        <w:t>一种以</w:t>
      </w:r>
      <w:r>
        <w:fldChar w:fldCharType="begin"/>
      </w:r>
      <w:r>
        <w:instrText xml:space="preserve">HYPERLINK"http://baike.baidu.com/item/%E5%8E%8B%E5%8A%9B%E5%B7%AE"\t"_blank"</w:instrText>
      </w:r>
      <w:r>
        <w:fldChar w:fldCharType="separate"/>
      </w:r>
      <w:r>
        <w:t>压力差</w:t>
      </w:r>
      <w:r>
        <w:fldChar w:fldCharType="end"/>
      </w:r>
      <w:r>
        <w:t>为推动力，从溶液中分离出溶剂的</w:t>
      </w:r>
      <w:r>
        <w:fldChar w:fldCharType="begin"/>
      </w:r>
      <w:r>
        <w:instrText xml:space="preserve">HYPERLINK"http://baike.baidu.com/item/%E8%86%9C%E5%88%86%E7%A6%BB"\t"_blank"</w:instrText>
      </w:r>
      <w:r>
        <w:fldChar w:fldCharType="separate"/>
      </w:r>
      <w:r>
        <w:t>膜分离</w:t>
      </w:r>
      <w:r>
        <w:fldChar w:fldCharType="end"/>
      </w:r>
      <w:r>
        <w:t>操作。对膜一侧的料液施加压力，当压力超过它的渗透压时，溶剂会逆着自然渗透的方向作反向渗透。从而在膜的低压侧得到透过的溶剂，即渗透液；高压侧得到浓缩的溶液，即浓缩液。</w:t>
      </w:r>
    </w:p>
    <w:p w14:paraId="00092FB3">
      <w:pPr>
        <w:pStyle w:val="22"/>
        <w:bidi w:val="0"/>
      </w:pPr>
      <w:r>
        <w:t>反渗透工艺在许多工程中得到成功应用。在这套工艺中，污水经过反渗透系统进行浓缩分离，去除绝大部分有机污染和大部分盐份</w:t>
      </w:r>
      <w:r>
        <w:rPr>
          <w:rFonts w:hint="eastAsia"/>
          <w:lang w:eastAsia="zh-CN"/>
        </w:rPr>
        <w:t>，</w:t>
      </w:r>
      <w:r>
        <w:t>其产品水质可以达到一个很高的条件。经过反渗透系统的过滤，其产水中的有机物含量已经在一个比较低的程度，大分子物质全部被截留形成浓缩液另行处置；盐分物质也被去除掉85%以上，一价盐的稳定去除率也在65%以上，形成的产品水水质可以稳定达到目标标准的要求。</w:t>
      </w:r>
    </w:p>
    <w:p w14:paraId="79A70EDD">
      <w:pPr>
        <w:pStyle w:val="22"/>
        <w:bidi w:val="0"/>
      </w:pPr>
      <w:r>
        <w:t>本设计采用的膜系统形式可以保证系统能得到一个较高的产品水回收率。根据理论设计和工程实际经验证明，本设计中反渗透系统的产品水回收率保证在75%以上。</w:t>
      </w:r>
    </w:p>
    <w:p w14:paraId="7510A515">
      <w:pPr>
        <w:pStyle w:val="22"/>
        <w:bidi w:val="0"/>
      </w:pPr>
      <w:r>
        <w:t>系统采用了完整的过程监控设计，并配套设置了膜清洗系统，可以有效保证系统能长期稳定的运行。同时，本设计选用的膜元件为抗污染卷式膜，其具有单位容积内膜比表面积大且不易发生堵塞的优势，在水处理行业中应用最为广泛。由于卷式膜具有较大的过流通道，所以膜污染的速率被大大降低。本系统采用膜过滤方式为错流过滤，即过滤产水流向与浓缩液流向不在同一平面上，这样可以有效的减少过滤过程中污染物对膜的污染。</w:t>
      </w:r>
    </w:p>
    <w:p w14:paraId="77BB4126">
      <w:pPr>
        <w:pStyle w:val="22"/>
        <w:bidi w:val="0"/>
      </w:pPr>
      <w:bookmarkStart w:id="77" w:name="_Hlk184906700"/>
      <w:r>
        <w:t>型号：RHR25/1</w:t>
      </w:r>
    </w:p>
    <w:p w14:paraId="512FD287">
      <w:pPr>
        <w:pStyle w:val="22"/>
        <w:bidi w:val="0"/>
      </w:pPr>
      <w:r>
        <w:t>进水NH3-N去除率：≈</w:t>
      </w:r>
      <w:r>
        <w:rPr>
          <w:rFonts w:hint="eastAsia"/>
        </w:rPr>
        <w:t>1</w:t>
      </w:r>
      <w:r>
        <w:t>0%</w:t>
      </w:r>
    </w:p>
    <w:p w14:paraId="52091FD3">
      <w:pPr>
        <w:pStyle w:val="22"/>
        <w:bidi w:val="0"/>
      </w:pPr>
      <w:r>
        <w:t>进水水温</w:t>
      </w:r>
      <w:r>
        <w:rPr>
          <w:rFonts w:hint="eastAsia"/>
          <w:lang w:eastAsia="zh-CN"/>
        </w:rPr>
        <w:t>：</w:t>
      </w:r>
      <w:r>
        <w:tab/>
      </w:r>
      <w:r>
        <w:tab/>
      </w:r>
      <w:r>
        <w:t>25℃</w:t>
      </w:r>
    </w:p>
    <w:p w14:paraId="492A14DB">
      <w:pPr>
        <w:pStyle w:val="22"/>
        <w:bidi w:val="0"/>
      </w:pPr>
      <w:r>
        <w:t>适用pH</w:t>
      </w:r>
      <w:r>
        <w:rPr>
          <w:rFonts w:hint="eastAsia"/>
          <w:lang w:eastAsia="zh-CN"/>
        </w:rPr>
        <w:t>：</w:t>
      </w:r>
      <w:r>
        <w:tab/>
      </w:r>
      <w:r>
        <w:tab/>
      </w:r>
      <w:r>
        <w:t>2-11</w:t>
      </w:r>
      <w:r>
        <w:tab/>
      </w:r>
    </w:p>
    <w:p w14:paraId="1C724784">
      <w:pPr>
        <w:pStyle w:val="22"/>
        <w:bidi w:val="0"/>
      </w:pPr>
      <w:r>
        <w:t>数量：1套</w:t>
      </w:r>
    </w:p>
    <w:bookmarkEnd w:id="77"/>
    <w:p w14:paraId="3A93D8BC">
      <w:pPr>
        <w:pStyle w:val="22"/>
        <w:bidi w:val="0"/>
      </w:pPr>
      <w:r>
        <w:t>技术标准：反渗透装置为集中框架式组装结构</w:t>
      </w:r>
      <w:r>
        <w:rPr>
          <w:rFonts w:hint="eastAsia"/>
          <w:lang w:eastAsia="zh-CN"/>
        </w:rPr>
        <w:t>，</w:t>
      </w:r>
      <w:r>
        <w:t>主要由反渗透膜元件</w:t>
      </w:r>
      <w:r>
        <w:rPr>
          <w:rFonts w:hint="eastAsia"/>
          <w:lang w:eastAsia="zh-CN"/>
        </w:rPr>
        <w:t>，</w:t>
      </w:r>
      <w:r>
        <w:t>膜外壳</w:t>
      </w:r>
      <w:r>
        <w:rPr>
          <w:rFonts w:hint="eastAsia"/>
          <w:lang w:eastAsia="zh-CN"/>
        </w:rPr>
        <w:t>，</w:t>
      </w:r>
      <w:r>
        <w:t>进出水管道、阀门、就地仪表柜、集中取样盘及组装框架等组成</w:t>
      </w:r>
      <w:r>
        <w:rPr>
          <w:rFonts w:hint="eastAsia"/>
          <w:lang w:eastAsia="zh-CN"/>
        </w:rPr>
        <w:t>，</w:t>
      </w:r>
      <w:r>
        <w:t>设备按标准进行生产</w:t>
      </w:r>
      <w:r>
        <w:rPr>
          <w:rFonts w:hint="eastAsia"/>
          <w:lang w:eastAsia="zh-CN"/>
        </w:rPr>
        <w:t>，</w:t>
      </w:r>
      <w:r>
        <w:t>所涉及的标准详见技术标准汇总表。反渗透装置选用</w:t>
      </w:r>
      <w:r>
        <w:rPr>
          <w:rFonts w:hint="eastAsia"/>
        </w:rPr>
        <w:t>德国</w:t>
      </w:r>
      <w:r>
        <w:t>抗污染膜</w:t>
      </w:r>
      <w:r>
        <w:rPr>
          <w:rFonts w:hint="eastAsia"/>
          <w:lang w:eastAsia="zh-CN"/>
        </w:rPr>
        <w:t>，</w:t>
      </w:r>
      <w:r>
        <w:t>该膜元件是世界上先进的卷式膜元件</w:t>
      </w:r>
      <w:r>
        <w:rPr>
          <w:rFonts w:hint="eastAsia"/>
          <w:lang w:eastAsia="zh-CN"/>
        </w:rPr>
        <w:t>，</w:t>
      </w:r>
      <w:r>
        <w:t>具有结构紧凑</w:t>
      </w:r>
      <w:r>
        <w:rPr>
          <w:rFonts w:hint="eastAsia"/>
          <w:lang w:eastAsia="zh-CN"/>
        </w:rPr>
        <w:t>，</w:t>
      </w:r>
      <w:r>
        <w:t>产水量大</w:t>
      </w:r>
      <w:r>
        <w:rPr>
          <w:rFonts w:hint="eastAsia"/>
          <w:lang w:eastAsia="zh-CN"/>
        </w:rPr>
        <w:t>，</w:t>
      </w:r>
      <w:r>
        <w:t>有机物去除率高</w:t>
      </w:r>
      <w:r>
        <w:rPr>
          <w:rFonts w:hint="eastAsia"/>
          <w:lang w:eastAsia="zh-CN"/>
        </w:rPr>
        <w:t>，</w:t>
      </w:r>
      <w:r>
        <w:t>耐细菌侵蚀性好</w:t>
      </w:r>
      <w:r>
        <w:rPr>
          <w:rFonts w:hint="eastAsia"/>
          <w:lang w:eastAsia="zh-CN"/>
        </w:rPr>
        <w:t>，</w:t>
      </w:r>
      <w:r>
        <w:t>适用PH范围广（PH为2-11）的优点。反渗透装置配套使用的膜外壳为玻璃钢高压管。膜元件一级</w:t>
      </w:r>
      <w:r>
        <w:rPr>
          <w:rFonts w:hint="eastAsia"/>
        </w:rPr>
        <w:t>一</w:t>
      </w:r>
      <w:r>
        <w:t>段。反渗透装置配套增压泵为立式多级离心泵。反渗透装置在水质分离过程中无相变</w:t>
      </w:r>
      <w:r>
        <w:rPr>
          <w:rFonts w:hint="eastAsia"/>
          <w:lang w:eastAsia="zh-CN"/>
        </w:rPr>
        <w:t>，</w:t>
      </w:r>
      <w:r>
        <w:t>有机物去除率高</w:t>
      </w:r>
      <w:r>
        <w:rPr>
          <w:rFonts w:hint="eastAsia"/>
          <w:lang w:eastAsia="zh-CN"/>
        </w:rPr>
        <w:t>，</w:t>
      </w:r>
      <w:r>
        <w:t>体积小</w:t>
      </w:r>
      <w:r>
        <w:rPr>
          <w:rFonts w:hint="eastAsia"/>
          <w:lang w:eastAsia="zh-CN"/>
        </w:rPr>
        <w:t>，</w:t>
      </w:r>
      <w:r>
        <w:t>实行自控</w:t>
      </w:r>
      <w:r>
        <w:rPr>
          <w:rFonts w:hint="eastAsia"/>
          <w:lang w:eastAsia="zh-CN"/>
        </w:rPr>
        <w:t>，</w:t>
      </w:r>
      <w:r>
        <w:t>适应范围广</w:t>
      </w:r>
      <w:r>
        <w:rPr>
          <w:rFonts w:hint="eastAsia"/>
          <w:lang w:eastAsia="zh-CN"/>
        </w:rPr>
        <w:t>，</w:t>
      </w:r>
      <w:r>
        <w:t>无环境污染等优点。每套反渗透装置包括进、出口隔离阀</w:t>
      </w:r>
      <w:r>
        <w:rPr>
          <w:rFonts w:hint="eastAsia"/>
          <w:lang w:eastAsia="zh-CN"/>
        </w:rPr>
        <w:t>，</w:t>
      </w:r>
      <w:r>
        <w:t>进口电动慢开阀</w:t>
      </w:r>
      <w:r>
        <w:rPr>
          <w:rFonts w:hint="eastAsia"/>
          <w:lang w:eastAsia="zh-CN"/>
        </w:rPr>
        <w:t>，</w:t>
      </w:r>
      <w:r>
        <w:t>浓水电动阀、出水止回阀、出水电动排放阀、高压泵出口逆止阀。每支膜出水设有一个取样阀</w:t>
      </w:r>
      <w:r>
        <w:rPr>
          <w:rFonts w:hint="eastAsia"/>
          <w:lang w:eastAsia="zh-CN"/>
        </w:rPr>
        <w:t>，</w:t>
      </w:r>
      <w:r>
        <w:t>每段膜元件进水及浓水排放均设有一个压力表</w:t>
      </w:r>
      <w:r>
        <w:rPr>
          <w:rFonts w:hint="eastAsia"/>
          <w:lang w:eastAsia="zh-CN"/>
        </w:rPr>
        <w:t>，</w:t>
      </w:r>
      <w:r>
        <w:t>压力表设在仪表柜内</w:t>
      </w:r>
      <w:r>
        <w:rPr>
          <w:rFonts w:hint="eastAsia"/>
          <w:lang w:eastAsia="zh-CN"/>
        </w:rPr>
        <w:t>，</w:t>
      </w:r>
      <w:r>
        <w:t>取压由软管连接至取样架</w:t>
      </w:r>
      <w:r>
        <w:rPr>
          <w:rFonts w:hint="eastAsia"/>
          <w:lang w:eastAsia="zh-CN"/>
        </w:rPr>
        <w:t>，</w:t>
      </w:r>
      <w:r>
        <w:t>取样排水至取样槽</w:t>
      </w:r>
      <w:r>
        <w:rPr>
          <w:rFonts w:hint="eastAsia"/>
          <w:lang w:eastAsia="zh-CN"/>
        </w:rPr>
        <w:t>，</w:t>
      </w:r>
      <w:r>
        <w:t>通过取样槽由一根排水管接至排水沟</w:t>
      </w:r>
      <w:r>
        <w:rPr>
          <w:rFonts w:hint="eastAsia"/>
          <w:lang w:eastAsia="zh-CN"/>
        </w:rPr>
        <w:t>，</w:t>
      </w:r>
      <w:r>
        <w:t>取样槽为不锈钢材质。每段膜进、出口均设有清洗隔离阀</w:t>
      </w:r>
      <w:r>
        <w:rPr>
          <w:rFonts w:hint="eastAsia"/>
          <w:lang w:eastAsia="zh-CN"/>
        </w:rPr>
        <w:t>，</w:t>
      </w:r>
      <w:r>
        <w:t>与清洗系统用管线联接</w:t>
      </w:r>
      <w:r>
        <w:rPr>
          <w:rFonts w:hint="eastAsia"/>
          <w:lang w:eastAsia="zh-CN"/>
        </w:rPr>
        <w:t>，</w:t>
      </w:r>
      <w:r>
        <w:t>每段膜进水、浓水及产水设防震压力表</w:t>
      </w:r>
      <w:r>
        <w:rPr>
          <w:rFonts w:hint="eastAsia"/>
          <w:lang w:eastAsia="zh-CN"/>
        </w:rPr>
        <w:t>，</w:t>
      </w:r>
      <w:r>
        <w:t>用于监视各段膜的运行压力及浓水压力</w:t>
      </w:r>
      <w:r>
        <w:rPr>
          <w:rFonts w:hint="eastAsia"/>
          <w:lang w:eastAsia="zh-CN"/>
        </w:rPr>
        <w:t>，</w:t>
      </w:r>
      <w:r>
        <w:t>产水压力。反渗透装置的内部管道均为不锈钢管道</w:t>
      </w:r>
      <w:r>
        <w:rPr>
          <w:rFonts w:hint="eastAsia"/>
          <w:lang w:eastAsia="zh-CN"/>
        </w:rPr>
        <w:t>，</w:t>
      </w:r>
      <w:r>
        <w:t>进水管道采用大管径配水方式</w:t>
      </w:r>
      <w:r>
        <w:rPr>
          <w:rFonts w:hint="eastAsia"/>
          <w:lang w:eastAsia="zh-CN"/>
        </w:rPr>
        <w:t>，</w:t>
      </w:r>
      <w:r>
        <w:t>静压平衡原理。现场仪表柜为不锈钢材料制作</w:t>
      </w:r>
      <w:r>
        <w:rPr>
          <w:rFonts w:hint="eastAsia"/>
          <w:lang w:eastAsia="zh-CN"/>
        </w:rPr>
        <w:t>，</w:t>
      </w:r>
      <w:r>
        <w:t>设在反渗透支架上</w:t>
      </w:r>
      <w:r>
        <w:rPr>
          <w:rFonts w:hint="eastAsia"/>
          <w:lang w:eastAsia="zh-CN"/>
        </w:rPr>
        <w:t>，</w:t>
      </w:r>
      <w:r>
        <w:t>反渗透装置的所有工作仪表设在反渗透支架上仪表柜内。反渗透装置的内部件在工厂安装定位</w:t>
      </w:r>
      <w:r>
        <w:rPr>
          <w:rFonts w:hint="eastAsia"/>
          <w:lang w:eastAsia="zh-CN"/>
        </w:rPr>
        <w:t>，</w:t>
      </w:r>
      <w:r>
        <w:t>并提供正确、牢固的安全支撑</w:t>
      </w:r>
      <w:r>
        <w:rPr>
          <w:rFonts w:hint="eastAsia"/>
          <w:lang w:eastAsia="zh-CN"/>
        </w:rPr>
        <w:t>，</w:t>
      </w:r>
      <w:r>
        <w:t>以防止运输及搬运时的偏位、松动及损坏。反渗透装置高压泵的启动为软启动</w:t>
      </w:r>
      <w:r>
        <w:rPr>
          <w:rFonts w:hint="eastAsia"/>
          <w:lang w:eastAsia="zh-CN"/>
        </w:rPr>
        <w:t>，</w:t>
      </w:r>
      <w:r>
        <w:t>有利于保护高压泵及反渗透系统管道</w:t>
      </w:r>
      <w:r>
        <w:rPr>
          <w:rFonts w:hint="eastAsia"/>
          <w:lang w:eastAsia="zh-CN"/>
        </w:rPr>
        <w:t>，</w:t>
      </w:r>
      <w:r>
        <w:t>防止反渗透系统受高压泵启动压力的冲击。</w:t>
      </w:r>
    </w:p>
    <w:p w14:paraId="5DF12208">
      <w:pPr>
        <w:pStyle w:val="22"/>
        <w:bidi w:val="0"/>
      </w:pPr>
      <w:r>
        <w:t>反渗透控制系统及主要仪表功能：本系统主由控室PLC微机控制</w:t>
      </w:r>
      <w:r>
        <w:rPr>
          <w:rFonts w:hint="eastAsia"/>
          <w:lang w:eastAsia="zh-CN"/>
        </w:rPr>
        <w:t>，</w:t>
      </w:r>
      <w:r>
        <w:t>设备运行、监视等功能有清晰的工艺流程画面</w:t>
      </w:r>
      <w:r>
        <w:rPr>
          <w:rFonts w:hint="eastAsia"/>
          <w:lang w:eastAsia="zh-CN"/>
        </w:rPr>
        <w:t>，</w:t>
      </w:r>
      <w:r>
        <w:t>显示系统的运行常数及进、出水质、水量、水温、高压泵的开关、流量、压力等参数等情况；单台反渗透配制工作仪表及监视仪表；反渗透设置高压泵进口设低压保护器</w:t>
      </w:r>
      <w:r>
        <w:rPr>
          <w:rFonts w:hint="eastAsia"/>
          <w:lang w:eastAsia="zh-CN"/>
        </w:rPr>
        <w:t>，</w:t>
      </w:r>
      <w:r>
        <w:t>当高压泵进水压力＜0.1Mpa时</w:t>
      </w:r>
      <w:r>
        <w:rPr>
          <w:rFonts w:hint="eastAsia"/>
          <w:lang w:eastAsia="zh-CN"/>
        </w:rPr>
        <w:t>，</w:t>
      </w:r>
      <w:r>
        <w:t>高压泵自动停止工作。反渗透高压泵出口设高压传感器</w:t>
      </w:r>
      <w:r>
        <w:rPr>
          <w:rFonts w:hint="eastAsia"/>
          <w:lang w:eastAsia="zh-CN"/>
        </w:rPr>
        <w:t>，</w:t>
      </w:r>
      <w:r>
        <w:t>当工作压力大于某一设定值</w:t>
      </w:r>
      <w:r>
        <w:rPr>
          <w:rFonts w:hint="eastAsia"/>
          <w:lang w:eastAsia="zh-CN"/>
        </w:rPr>
        <w:t>，</w:t>
      </w:r>
      <w:r>
        <w:t>高压泵停止运行</w:t>
      </w:r>
      <w:r>
        <w:rPr>
          <w:rFonts w:hint="eastAsia"/>
          <w:lang w:eastAsia="zh-CN"/>
        </w:rPr>
        <w:t>，</w:t>
      </w:r>
      <w:r>
        <w:t>以防损坏后级管道及膜元件。高压泵采用软启动</w:t>
      </w:r>
      <w:r>
        <w:rPr>
          <w:rFonts w:hint="eastAsia"/>
          <w:lang w:eastAsia="zh-CN"/>
        </w:rPr>
        <w:t>，</w:t>
      </w:r>
      <w:r>
        <w:t>增压泵出口设有电动慢开阀</w:t>
      </w:r>
      <w:r>
        <w:rPr>
          <w:rFonts w:hint="eastAsia"/>
          <w:lang w:eastAsia="zh-CN"/>
        </w:rPr>
        <w:t>，</w:t>
      </w:r>
      <w:r>
        <w:t>在增压泵延时启动</w:t>
      </w:r>
      <w:r>
        <w:rPr>
          <w:rFonts w:hint="eastAsia"/>
          <w:lang w:eastAsia="zh-CN"/>
        </w:rPr>
        <w:t>，</w:t>
      </w:r>
      <w:r>
        <w:t>电动慢开阀缓慢打开</w:t>
      </w:r>
      <w:r>
        <w:rPr>
          <w:rFonts w:hint="eastAsia"/>
          <w:lang w:eastAsia="zh-CN"/>
        </w:rPr>
        <w:t>，</w:t>
      </w:r>
      <w:r>
        <w:t>以防止反渗透装置的管道及膜元件受高压的瞬时冲击</w:t>
      </w:r>
      <w:r>
        <w:rPr>
          <w:rFonts w:hint="eastAsia"/>
          <w:lang w:eastAsia="zh-CN"/>
        </w:rPr>
        <w:t>，</w:t>
      </w:r>
      <w:r>
        <w:t>而受损。进水、浓水、淡水阀：调节RO进水量、产水量、进水压力、浓水压力及回收率。产水气动阀</w:t>
      </w:r>
      <w:r>
        <w:rPr>
          <w:rFonts w:hint="eastAsia"/>
          <w:lang w:eastAsia="zh-CN"/>
        </w:rPr>
        <w:t>：</w:t>
      </w:r>
      <w:r>
        <w:t>当反渗透停机后产水气动阀迅速打开</w:t>
      </w:r>
      <w:r>
        <w:rPr>
          <w:rFonts w:hint="eastAsia"/>
          <w:lang w:eastAsia="zh-CN"/>
        </w:rPr>
        <w:t>，</w:t>
      </w:r>
      <w:r>
        <w:t>以防止反渗透出水回压</w:t>
      </w:r>
      <w:r>
        <w:rPr>
          <w:rFonts w:hint="eastAsia"/>
          <w:lang w:eastAsia="zh-CN"/>
        </w:rPr>
        <w:t>，</w:t>
      </w:r>
      <w:r>
        <w:t>损坏膜元件</w:t>
      </w:r>
      <w:r>
        <w:rPr>
          <w:rFonts w:hint="eastAsia"/>
          <w:lang w:eastAsia="zh-CN"/>
        </w:rPr>
        <w:t>，</w:t>
      </w:r>
      <w:r>
        <w:t>同时在反渗透进行冲洗时排除产水侧的透过液。电导仪及温度表：电导仪用于监测RO进出水电导率的变化情况</w:t>
      </w:r>
      <w:r>
        <w:rPr>
          <w:rFonts w:hint="eastAsia"/>
          <w:lang w:eastAsia="zh-CN"/>
        </w:rPr>
        <w:t>，</w:t>
      </w:r>
      <w:r>
        <w:t>温度表显示RO膜在不同温度下产水量的变化。增压泵：增压满足RO膜元件进水压力要求。止回阀：用于停机后</w:t>
      </w:r>
      <w:r>
        <w:rPr>
          <w:rFonts w:hint="eastAsia"/>
          <w:lang w:eastAsia="zh-CN"/>
        </w:rPr>
        <w:t>，</w:t>
      </w:r>
      <w:r>
        <w:t>防止RO压力管中的回压而损坏高压泵及泵前低压管道件。产品水防爆膜：有利于保护膜元件</w:t>
      </w:r>
      <w:r>
        <w:rPr>
          <w:rFonts w:hint="eastAsia"/>
          <w:lang w:eastAsia="zh-CN"/>
        </w:rPr>
        <w:t>，</w:t>
      </w:r>
      <w:r>
        <w:t>防止系统管道及膜元件的损坏。液位自控：主要用于防止停水情况下</w:t>
      </w:r>
      <w:r>
        <w:rPr>
          <w:rFonts w:hint="eastAsia"/>
          <w:lang w:eastAsia="zh-CN"/>
        </w:rPr>
        <w:t>，</w:t>
      </w:r>
      <w:r>
        <w:t>高压泵继续运行而使高压泵损坏</w:t>
      </w:r>
      <w:r>
        <w:rPr>
          <w:rFonts w:hint="eastAsia"/>
          <w:lang w:eastAsia="zh-CN"/>
        </w:rPr>
        <w:t>，</w:t>
      </w:r>
      <w:r>
        <w:t>另一作用是如中间水箱高位时</w:t>
      </w:r>
      <w:r>
        <w:rPr>
          <w:rFonts w:hint="eastAsia"/>
          <w:lang w:eastAsia="zh-CN"/>
        </w:rPr>
        <w:t>，</w:t>
      </w:r>
      <w:r>
        <w:t>可使RO停止运行</w:t>
      </w:r>
      <w:r>
        <w:rPr>
          <w:rFonts w:hint="eastAsia"/>
          <w:lang w:eastAsia="zh-CN"/>
        </w:rPr>
        <w:t>，</w:t>
      </w:r>
      <w:r>
        <w:t>防止中间水箱溢流。</w:t>
      </w:r>
    </w:p>
    <w:p w14:paraId="5E2F1E4F">
      <w:pPr>
        <w:pStyle w:val="22"/>
        <w:bidi w:val="0"/>
        <w:rPr>
          <w:rFonts w:hint="eastAsia" w:eastAsia="宋体"/>
          <w:lang w:eastAsia="zh-CN"/>
        </w:rPr>
      </w:pPr>
      <w:r>
        <w:t>配套提供</w:t>
      </w:r>
      <w:r>
        <w:rPr>
          <w:rFonts w:hint="eastAsia"/>
          <w:lang w:eastAsia="zh-CN"/>
        </w:rPr>
        <w:t>：</w:t>
      </w:r>
    </w:p>
    <w:p w14:paraId="1CF110D8">
      <w:pPr>
        <w:pStyle w:val="22"/>
        <w:bidi w:val="0"/>
      </w:pPr>
      <w:r>
        <w:rPr>
          <w:rFonts w:hint="eastAsia"/>
          <w:lang w:val="en-US" w:eastAsia="zh-CN"/>
        </w:rPr>
        <w:t xml:space="preserve">① </w:t>
      </w:r>
      <w:r>
        <w:rPr>
          <w:rFonts w:hint="eastAsia"/>
        </w:rPr>
        <w:t>RO</w:t>
      </w:r>
      <w:r>
        <w:t>进水泵</w:t>
      </w:r>
    </w:p>
    <w:p w14:paraId="240D9213">
      <w:pPr>
        <w:pStyle w:val="22"/>
        <w:bidi w:val="0"/>
      </w:pPr>
      <w:r>
        <w:rPr>
          <w:rFonts w:hint="eastAsia"/>
        </w:rPr>
        <w:t>RO</w:t>
      </w:r>
      <w:r>
        <w:t>进水泵用于</w:t>
      </w:r>
      <w:r>
        <w:rPr>
          <w:rFonts w:hint="eastAsia"/>
        </w:rPr>
        <w:t>高效沉淀池清水区</w:t>
      </w:r>
      <w:r>
        <w:t>内水的提升</w:t>
      </w:r>
      <w:r>
        <w:rPr>
          <w:rFonts w:hint="eastAsia"/>
          <w:lang w:eastAsia="zh-CN"/>
        </w:rPr>
        <w:t>，</w:t>
      </w:r>
      <w:r>
        <w:t>经提升后进入后级保安过滤器。</w:t>
      </w:r>
    </w:p>
    <w:p w14:paraId="452DBCA8">
      <w:pPr>
        <w:pStyle w:val="22"/>
        <w:bidi w:val="0"/>
        <w:rPr>
          <w:rFonts w:hint="eastAsia" w:eastAsia="宋体"/>
          <w:lang w:eastAsia="zh-CN"/>
        </w:rPr>
      </w:pPr>
      <w:r>
        <w:t>设备规范</w:t>
      </w:r>
      <w:r>
        <w:rPr>
          <w:rFonts w:hint="eastAsia"/>
          <w:lang w:eastAsia="zh-CN"/>
        </w:rPr>
        <w:t>：</w:t>
      </w:r>
    </w:p>
    <w:p w14:paraId="2BC72C63">
      <w:pPr>
        <w:pStyle w:val="22"/>
        <w:bidi w:val="0"/>
      </w:pPr>
      <w:r>
        <w:t>数量：2台</w:t>
      </w:r>
    </w:p>
    <w:p w14:paraId="627ACAF8">
      <w:pPr>
        <w:pStyle w:val="22"/>
        <w:bidi w:val="0"/>
      </w:pPr>
      <w:r>
        <w:t>电源</w:t>
      </w:r>
      <w:r>
        <w:rPr>
          <w:rFonts w:hint="eastAsia"/>
          <w:lang w:eastAsia="zh-CN"/>
        </w:rPr>
        <w:t>：</w:t>
      </w:r>
      <w:r>
        <w:t>380V/50HZ</w:t>
      </w:r>
    </w:p>
    <w:p w14:paraId="07B3106B">
      <w:pPr>
        <w:pStyle w:val="22"/>
        <w:bidi w:val="0"/>
        <w:rPr>
          <w:rFonts w:hint="eastAsia" w:eastAsia="宋体"/>
          <w:lang w:eastAsia="zh-CN"/>
        </w:rPr>
      </w:pPr>
      <w:r>
        <w:rPr>
          <w:rFonts w:hint="eastAsia"/>
          <w:lang w:val="en-US" w:eastAsia="zh-CN"/>
        </w:rPr>
        <w:t xml:space="preserve">② </w:t>
      </w:r>
      <w:r>
        <w:rPr>
          <w:rFonts w:hint="eastAsia"/>
        </w:rPr>
        <w:t>RO</w:t>
      </w:r>
      <w:r>
        <w:t>阻垢剂加药装置</w:t>
      </w:r>
    </w:p>
    <w:p w14:paraId="7A5AFCC0">
      <w:pPr>
        <w:pStyle w:val="22"/>
        <w:bidi w:val="0"/>
      </w:pPr>
      <w:r>
        <w:t>阻垢剂加药装置用来向</w:t>
      </w:r>
      <w:r>
        <w:rPr>
          <w:rFonts w:hint="eastAsia"/>
        </w:rPr>
        <w:t>反渗透</w:t>
      </w:r>
      <w:r>
        <w:t>系统进水中投加阻垢剂</w:t>
      </w:r>
      <w:r>
        <w:rPr>
          <w:rFonts w:hint="eastAsia"/>
          <w:lang w:eastAsia="zh-CN"/>
        </w:rPr>
        <w:t>，</w:t>
      </w:r>
      <w:r>
        <w:t>通过管道混合器混合</w:t>
      </w:r>
      <w:r>
        <w:rPr>
          <w:rFonts w:hint="eastAsia"/>
          <w:lang w:eastAsia="zh-CN"/>
        </w:rPr>
        <w:t>，</w:t>
      </w:r>
      <w:r>
        <w:t>与前级水进行充分混合</w:t>
      </w:r>
      <w:r>
        <w:rPr>
          <w:rFonts w:hint="eastAsia"/>
          <w:lang w:eastAsia="zh-CN"/>
        </w:rPr>
        <w:t>，</w:t>
      </w:r>
      <w:r>
        <w:t>以防止</w:t>
      </w:r>
      <w:r>
        <w:rPr>
          <w:rFonts w:hint="eastAsia"/>
        </w:rPr>
        <w:t>反渗透</w:t>
      </w:r>
      <w:r>
        <w:t>膜元件浓水侧发生结垢现象。</w:t>
      </w:r>
    </w:p>
    <w:p w14:paraId="374F142A">
      <w:pPr>
        <w:pStyle w:val="22"/>
        <w:bidi w:val="0"/>
        <w:rPr>
          <w:rFonts w:hint="eastAsia" w:eastAsia="宋体"/>
          <w:lang w:eastAsia="zh-CN"/>
        </w:rPr>
      </w:pPr>
      <w:r>
        <w:t>设备规范</w:t>
      </w:r>
      <w:r>
        <w:rPr>
          <w:rFonts w:hint="eastAsia"/>
          <w:lang w:eastAsia="zh-CN"/>
        </w:rPr>
        <w:t>：</w:t>
      </w:r>
    </w:p>
    <w:p w14:paraId="67DF7FB5">
      <w:pPr>
        <w:pStyle w:val="22"/>
        <w:bidi w:val="0"/>
      </w:pPr>
      <w:r>
        <w:t>型号：JPY1/1-1.6/0.76</w:t>
      </w:r>
    </w:p>
    <w:p w14:paraId="2CF5E878">
      <w:pPr>
        <w:pStyle w:val="22"/>
        <w:bidi w:val="0"/>
      </w:pPr>
      <w:r>
        <w:t>数量：1套</w:t>
      </w:r>
    </w:p>
    <w:p w14:paraId="24E07D65">
      <w:pPr>
        <w:pStyle w:val="22"/>
        <w:bidi w:val="0"/>
      </w:pPr>
      <w:r>
        <w:t>技术标准</w:t>
      </w:r>
      <w:r>
        <w:rPr>
          <w:rFonts w:hint="eastAsia"/>
          <w:lang w:eastAsia="zh-CN"/>
        </w:rPr>
        <w:t>：</w:t>
      </w:r>
      <w:r>
        <w:t>本加药装置设有溶液箱</w:t>
      </w:r>
      <w:r>
        <w:rPr>
          <w:rFonts w:hint="eastAsia"/>
          <w:lang w:eastAsia="zh-CN"/>
        </w:rPr>
        <w:t>（</w:t>
      </w:r>
      <w:r>
        <w:t>溶液箱配套液位计</w:t>
      </w:r>
      <w:r>
        <w:rPr>
          <w:rFonts w:hint="eastAsia"/>
          <w:lang w:eastAsia="zh-CN"/>
        </w:rPr>
        <w:t>）</w:t>
      </w:r>
      <w:r>
        <w:t>、管式过滤器、计量泵、压力表、内连管道、手动阀门、底座等全套附件。所有组件均布置在加药箱上</w:t>
      </w:r>
      <w:r>
        <w:rPr>
          <w:rFonts w:hint="eastAsia"/>
          <w:lang w:eastAsia="zh-CN"/>
        </w:rPr>
        <w:t>，</w:t>
      </w:r>
      <w:r>
        <w:t>单元供货。溶液箱为直立圆筒形结构</w:t>
      </w:r>
      <w:r>
        <w:rPr>
          <w:rFonts w:hint="eastAsia"/>
          <w:lang w:eastAsia="zh-CN"/>
        </w:rPr>
        <w:t>，</w:t>
      </w:r>
      <w:r>
        <w:t>上部带园盖。溶液箱配有出液口、排污口、液位开关接口、稀释水进口、进药口。计量泵为正排量形式</w:t>
      </w:r>
      <w:r>
        <w:rPr>
          <w:rFonts w:hint="eastAsia"/>
          <w:lang w:eastAsia="zh-CN"/>
        </w:rPr>
        <w:t>，</w:t>
      </w:r>
      <w:r>
        <w:t>可调节冲程。进口设有管式过滤器、出口装设多功能阀</w:t>
      </w:r>
      <w:r>
        <w:rPr>
          <w:rFonts w:hint="eastAsia"/>
          <w:lang w:eastAsia="zh-CN"/>
        </w:rPr>
        <w:t>，</w:t>
      </w:r>
      <w:r>
        <w:t>多功能阀具有防虹吸/背压、管路泄压、初始化及管路排污的功能。计量泵为电磁隔膜</w:t>
      </w:r>
      <w:r>
        <w:rPr>
          <w:rFonts w:hint="eastAsia"/>
          <w:lang w:eastAsia="zh-CN"/>
        </w:rPr>
        <w:t>，</w:t>
      </w:r>
      <w:r>
        <w:t>带液晶显示和四个触膜键</w:t>
      </w:r>
      <w:r>
        <w:rPr>
          <w:rFonts w:hint="eastAsia"/>
          <w:lang w:eastAsia="zh-CN"/>
        </w:rPr>
        <w:t>，</w:t>
      </w:r>
      <w:r>
        <w:t>流量可调节范围在10～100%。计量泵能对加药点的最高压力时输出全流量</w:t>
      </w:r>
      <w:r>
        <w:rPr>
          <w:rFonts w:hint="eastAsia"/>
          <w:lang w:eastAsia="zh-CN"/>
        </w:rPr>
        <w:t>，</w:t>
      </w:r>
      <w:r>
        <w:t>泵输出流量精度在总变化流量的1%以内</w:t>
      </w:r>
      <w:r>
        <w:rPr>
          <w:rFonts w:hint="eastAsia"/>
          <w:lang w:eastAsia="zh-CN"/>
        </w:rPr>
        <w:t>，</w:t>
      </w:r>
      <w:r>
        <w:t>滞后小于0.1秒。管式过滤器为PVC结构</w:t>
      </w:r>
      <w:r>
        <w:rPr>
          <w:rFonts w:hint="eastAsia"/>
          <w:lang w:eastAsia="zh-CN"/>
        </w:rPr>
        <w:t>，</w:t>
      </w:r>
      <w:r>
        <w:t>内部装有尼龙滤元</w:t>
      </w:r>
      <w:r>
        <w:rPr>
          <w:rFonts w:hint="eastAsia"/>
          <w:lang w:eastAsia="zh-CN"/>
        </w:rPr>
        <w:t>，</w:t>
      </w:r>
      <w:r>
        <w:t>缝隙0.3</w:t>
      </w:r>
      <w:r>
        <w:rPr>
          <w:rFonts w:hint="eastAsia"/>
          <w:lang w:eastAsia="zh-CN"/>
        </w:rPr>
        <w:t>（</w:t>
      </w:r>
      <w:r>
        <w:t>0.05mm。所有管道出口设有1套压力表</w:t>
      </w:r>
      <w:r>
        <w:rPr>
          <w:rFonts w:hint="eastAsia"/>
          <w:lang w:eastAsia="zh-CN"/>
        </w:rPr>
        <w:t>，</w:t>
      </w:r>
      <w:r>
        <w:t>可以显示加药点的压力。所有排放点通过漏斗接至一根总排水管上</w:t>
      </w:r>
      <w:r>
        <w:rPr>
          <w:rFonts w:hint="eastAsia"/>
          <w:lang w:eastAsia="zh-CN"/>
        </w:rPr>
        <w:t>，</w:t>
      </w:r>
      <w:r>
        <w:t>整个装置有一个总排水点。溶液箱设有液位开关</w:t>
      </w:r>
      <w:r>
        <w:rPr>
          <w:rFonts w:hint="eastAsia"/>
          <w:lang w:eastAsia="zh-CN"/>
        </w:rPr>
        <w:t>，</w:t>
      </w:r>
      <w:r>
        <w:t>具有开关量信号输出的功能。</w:t>
      </w:r>
    </w:p>
    <w:p w14:paraId="2BCD989F">
      <w:pPr>
        <w:pStyle w:val="22"/>
        <w:bidi w:val="0"/>
        <w:rPr>
          <w:rFonts w:hint="eastAsia" w:eastAsia="宋体"/>
          <w:lang w:eastAsia="zh-CN"/>
        </w:rPr>
      </w:pPr>
      <w:r>
        <w:rPr>
          <w:rFonts w:hint="eastAsia"/>
          <w:lang w:val="en-US" w:eastAsia="zh-CN"/>
        </w:rPr>
        <w:t xml:space="preserve">③ </w:t>
      </w:r>
      <w:r>
        <w:t>保安过滤器</w:t>
      </w:r>
      <w:r>
        <w:rPr>
          <w:rFonts w:hint="eastAsia"/>
          <w:lang w:eastAsia="zh-CN"/>
        </w:rPr>
        <w:t>：</w:t>
      </w:r>
    </w:p>
    <w:p w14:paraId="318978BF">
      <w:pPr>
        <w:pStyle w:val="22"/>
        <w:bidi w:val="0"/>
      </w:pPr>
      <w:r>
        <w:t>保安过滤器在工艺中用来去除前级系统出水泄漏的机械杂质</w:t>
      </w:r>
      <w:r>
        <w:rPr>
          <w:rFonts w:hint="eastAsia"/>
          <w:lang w:eastAsia="zh-CN"/>
        </w:rPr>
        <w:t>，</w:t>
      </w:r>
      <w:r>
        <w:t>以保证</w:t>
      </w:r>
      <w:r>
        <w:rPr>
          <w:rFonts w:hint="eastAsia"/>
        </w:rPr>
        <w:t>反渗透</w:t>
      </w:r>
      <w:r>
        <w:t>进水的清洁度，防止后级</w:t>
      </w:r>
      <w:r>
        <w:rPr>
          <w:rFonts w:hint="eastAsia"/>
        </w:rPr>
        <w:t>反渗透</w:t>
      </w:r>
      <w:r>
        <w:t>膜元件及</w:t>
      </w:r>
      <w:r>
        <w:rPr>
          <w:rFonts w:hint="eastAsia"/>
        </w:rPr>
        <w:t>RO</w:t>
      </w:r>
      <w:r>
        <w:t>增压泵受损。</w:t>
      </w:r>
    </w:p>
    <w:p w14:paraId="0552A12C">
      <w:pPr>
        <w:pStyle w:val="22"/>
        <w:bidi w:val="0"/>
        <w:rPr>
          <w:rFonts w:hint="eastAsia" w:eastAsia="宋体"/>
          <w:lang w:eastAsia="zh-CN"/>
        </w:rPr>
      </w:pPr>
      <w:r>
        <w:t>设备规范</w:t>
      </w:r>
      <w:r>
        <w:rPr>
          <w:rFonts w:hint="eastAsia"/>
          <w:lang w:eastAsia="zh-CN"/>
        </w:rPr>
        <w:t>：</w:t>
      </w:r>
    </w:p>
    <w:p w14:paraId="655D9ED3">
      <w:pPr>
        <w:pStyle w:val="22"/>
        <w:bidi w:val="0"/>
      </w:pPr>
      <w:r>
        <w:t>型号：RHB1</w:t>
      </w:r>
    </w:p>
    <w:p w14:paraId="4BF439D5">
      <w:pPr>
        <w:pStyle w:val="22"/>
        <w:bidi w:val="0"/>
      </w:pPr>
      <w:r>
        <w:t>设备台数</w:t>
      </w:r>
      <w:r>
        <w:rPr>
          <w:rFonts w:hint="eastAsia"/>
          <w:lang w:eastAsia="zh-CN"/>
        </w:rPr>
        <w:t>：</w:t>
      </w:r>
      <w:r>
        <w:t>1台</w:t>
      </w:r>
    </w:p>
    <w:p w14:paraId="2CFA61BB">
      <w:pPr>
        <w:pStyle w:val="22"/>
        <w:bidi w:val="0"/>
      </w:pPr>
      <w:r>
        <w:t>设计压力</w:t>
      </w:r>
      <w:r>
        <w:rPr>
          <w:rFonts w:hint="eastAsia"/>
          <w:lang w:eastAsia="zh-CN"/>
        </w:rPr>
        <w:t>：</w:t>
      </w:r>
      <w:r>
        <w:tab/>
      </w:r>
      <w:r>
        <w:t>0.3MPa</w:t>
      </w:r>
    </w:p>
    <w:p w14:paraId="4ED9B1E5">
      <w:pPr>
        <w:pStyle w:val="22"/>
        <w:bidi w:val="0"/>
      </w:pPr>
      <w:r>
        <w:t>试验压力</w:t>
      </w:r>
      <w:r>
        <w:rPr>
          <w:rFonts w:hint="eastAsia"/>
          <w:lang w:eastAsia="zh-CN"/>
        </w:rPr>
        <w:t>：</w:t>
      </w:r>
      <w:r>
        <w:tab/>
      </w:r>
      <w:r>
        <w:t>0.4MPa</w:t>
      </w:r>
    </w:p>
    <w:p w14:paraId="5A9936F0">
      <w:pPr>
        <w:pStyle w:val="22"/>
        <w:bidi w:val="0"/>
      </w:pPr>
      <w:r>
        <w:t>工作温度</w:t>
      </w:r>
      <w:r>
        <w:rPr>
          <w:rFonts w:hint="eastAsia"/>
          <w:lang w:eastAsia="zh-CN"/>
        </w:rPr>
        <w:t>：</w:t>
      </w:r>
      <w:r>
        <w:tab/>
      </w:r>
      <w:r>
        <w:t>4-50</w:t>
      </w:r>
      <w:r>
        <w:rPr>
          <w:rFonts w:hint="eastAsia"/>
          <w:lang w:eastAsia="zh-CN"/>
        </w:rPr>
        <w:t>（</w:t>
      </w:r>
      <w:r>
        <w:t>C</w:t>
      </w:r>
    </w:p>
    <w:p w14:paraId="61ACF2F1">
      <w:pPr>
        <w:pStyle w:val="22"/>
        <w:bidi w:val="0"/>
      </w:pPr>
      <w:r>
        <w:t>技术标准</w:t>
      </w:r>
      <w:r>
        <w:rPr>
          <w:rFonts w:hint="eastAsia"/>
          <w:lang w:eastAsia="zh-CN"/>
        </w:rPr>
        <w:t>：</w:t>
      </w:r>
      <w:r>
        <w:t>保安过滤器</w:t>
      </w:r>
      <w:r>
        <w:rPr>
          <w:rFonts w:hint="eastAsia"/>
          <w:lang w:eastAsia="zh-CN"/>
        </w:rPr>
        <w:t>（</w:t>
      </w:r>
      <w:r>
        <w:t>以下简称过滤器</w:t>
      </w:r>
      <w:r>
        <w:rPr>
          <w:rFonts w:hint="eastAsia"/>
          <w:lang w:eastAsia="zh-CN"/>
        </w:rPr>
        <w:t>）</w:t>
      </w:r>
      <w:r>
        <w:t>为焊接不锈钢结构的圆柱形立式容器</w:t>
      </w:r>
      <w:r>
        <w:rPr>
          <w:rFonts w:hint="eastAsia"/>
          <w:lang w:eastAsia="zh-CN"/>
        </w:rPr>
        <w:t>，</w:t>
      </w:r>
      <w:r>
        <w:t>顶部和底部为椭圆型封头</w:t>
      </w:r>
      <w:r>
        <w:rPr>
          <w:rFonts w:hint="eastAsia"/>
          <w:lang w:eastAsia="zh-CN"/>
        </w:rPr>
        <w:t>，</w:t>
      </w:r>
      <w:r>
        <w:t>设备按标准、进行设计</w:t>
      </w:r>
      <w:r>
        <w:rPr>
          <w:rFonts w:hint="eastAsia"/>
          <w:lang w:eastAsia="zh-CN"/>
        </w:rPr>
        <w:t>，</w:t>
      </w:r>
      <w:r>
        <w:t>制造和试验</w:t>
      </w:r>
      <w:r>
        <w:rPr>
          <w:rFonts w:hint="eastAsia"/>
          <w:lang w:eastAsia="zh-CN"/>
        </w:rPr>
        <w:t>，</w:t>
      </w:r>
      <w:r>
        <w:t>所涉及的标准详见技术标准表。过滤器制作完毕后</w:t>
      </w:r>
      <w:r>
        <w:rPr>
          <w:rFonts w:hint="eastAsia"/>
          <w:lang w:eastAsia="zh-CN"/>
        </w:rPr>
        <w:t>，</w:t>
      </w:r>
      <w:r>
        <w:t>设备内外进行抛光处理。过滤器内装滤元</w:t>
      </w:r>
      <w:r>
        <w:rPr>
          <w:rFonts w:hint="eastAsia"/>
          <w:lang w:eastAsia="zh-CN"/>
        </w:rPr>
        <w:t>，</w:t>
      </w:r>
      <w:r>
        <w:t>滤元为熔喷槽式滤元</w:t>
      </w:r>
      <w:r>
        <w:rPr>
          <w:rFonts w:hint="eastAsia"/>
          <w:lang w:eastAsia="zh-CN"/>
        </w:rPr>
        <w:t>，</w:t>
      </w:r>
      <w:r>
        <w:t>卡式结构</w:t>
      </w:r>
      <w:r>
        <w:rPr>
          <w:rFonts w:hint="eastAsia"/>
          <w:lang w:eastAsia="zh-CN"/>
        </w:rPr>
        <w:t>，</w:t>
      </w:r>
      <w:r>
        <w:t>滤元通过多孔板及卡式固定架固定在底部多孔板上</w:t>
      </w:r>
      <w:r>
        <w:rPr>
          <w:rFonts w:hint="eastAsia"/>
          <w:lang w:eastAsia="zh-CN"/>
        </w:rPr>
        <w:t>，</w:t>
      </w:r>
      <w:r>
        <w:t>滤元顶部设有压板及固定螺栓。过滤器装设配水装置、集水装置及其附件。配水装置进水管加设进水挡板结构</w:t>
      </w:r>
      <w:r>
        <w:rPr>
          <w:rFonts w:hint="eastAsia"/>
          <w:lang w:eastAsia="zh-CN"/>
        </w:rPr>
        <w:t>，</w:t>
      </w:r>
      <w:r>
        <w:t>出水装置采用多孔板及滤元固定架结构</w:t>
      </w:r>
      <w:r>
        <w:rPr>
          <w:rFonts w:hint="eastAsia"/>
          <w:lang w:eastAsia="zh-CN"/>
        </w:rPr>
        <w:t>，</w:t>
      </w:r>
      <w:r>
        <w:t>过滤器内部件除滤元外均为不锈钢材质。过滤器配套本体管道</w:t>
      </w:r>
      <w:r>
        <w:rPr>
          <w:rFonts w:hint="eastAsia"/>
          <w:lang w:eastAsia="zh-CN"/>
        </w:rPr>
        <w:t>（</w:t>
      </w:r>
      <w:r>
        <w:t>一次阀门前</w:t>
      </w:r>
      <w:r>
        <w:rPr>
          <w:rFonts w:hint="eastAsia"/>
          <w:lang w:eastAsia="zh-CN"/>
        </w:rPr>
        <w:t>）</w:t>
      </w:r>
      <w:r>
        <w:t>及一次阀门内管道</w:t>
      </w:r>
      <w:r>
        <w:rPr>
          <w:rFonts w:hint="eastAsia"/>
          <w:lang w:eastAsia="zh-CN"/>
        </w:rPr>
        <w:t>，</w:t>
      </w:r>
      <w:r>
        <w:t>进出水管道与过滤器间设有不锈钢固定支架。过滤器筒体分上下两部分</w:t>
      </w:r>
      <w:r>
        <w:rPr>
          <w:rFonts w:hint="eastAsia"/>
          <w:lang w:eastAsia="zh-CN"/>
        </w:rPr>
        <w:t>，</w:t>
      </w:r>
      <w:r>
        <w:t>由快开式连接</w:t>
      </w:r>
      <w:r>
        <w:rPr>
          <w:rFonts w:hint="eastAsia"/>
          <w:lang w:eastAsia="zh-CN"/>
        </w:rPr>
        <w:t>，</w:t>
      </w:r>
      <w:r>
        <w:t>上下筒体间设有旋转起吊杆及其附件</w:t>
      </w:r>
      <w:r>
        <w:rPr>
          <w:rFonts w:hint="eastAsia"/>
          <w:lang w:eastAsia="zh-CN"/>
        </w:rPr>
        <w:t>，</w:t>
      </w:r>
      <w:r>
        <w:t>更换滤芯时可通过起吊杆的上、下、左、右移动分开上、下筒体</w:t>
      </w:r>
      <w:r>
        <w:rPr>
          <w:rFonts w:hint="eastAsia"/>
          <w:lang w:eastAsia="zh-CN"/>
        </w:rPr>
        <w:t>，</w:t>
      </w:r>
      <w:r>
        <w:t>便于检修及滤元的更换。每台过滤器配有进出水压力仪表</w:t>
      </w:r>
      <w:r>
        <w:rPr>
          <w:rFonts w:hint="eastAsia"/>
          <w:lang w:eastAsia="zh-CN"/>
        </w:rPr>
        <w:t>，</w:t>
      </w:r>
      <w:r>
        <w:t>人工取样阀、排气阀及排污阀等全套附件。其它附件及材质</w:t>
      </w:r>
      <w:r>
        <w:rPr>
          <w:rFonts w:hint="eastAsia"/>
          <w:lang w:eastAsia="zh-CN"/>
        </w:rPr>
        <w:t>：</w:t>
      </w:r>
      <w:r>
        <w:t>进水取样管</w:t>
      </w:r>
      <w:r>
        <w:rPr>
          <w:rFonts w:hint="eastAsia"/>
          <w:lang w:eastAsia="zh-CN"/>
        </w:rPr>
        <w:t>：</w:t>
      </w:r>
      <w:r>
        <w:t>材质</w:t>
      </w:r>
      <w:r>
        <w:rPr>
          <w:rFonts w:hint="eastAsia"/>
          <w:lang w:eastAsia="zh-CN"/>
        </w:rPr>
        <w:t>：</w:t>
      </w:r>
      <w:r>
        <w:t>不锈钢</w:t>
      </w:r>
      <w:r>
        <w:rPr>
          <w:rFonts w:hint="eastAsia"/>
          <w:lang w:eastAsia="zh-CN"/>
        </w:rPr>
        <w:t>；</w:t>
      </w:r>
      <w:r>
        <w:t>进水取样阀</w:t>
      </w:r>
      <w:r>
        <w:rPr>
          <w:rFonts w:hint="eastAsia"/>
          <w:lang w:eastAsia="zh-CN"/>
        </w:rPr>
        <w:t>：</w:t>
      </w:r>
      <w:r>
        <w:t>材质</w:t>
      </w:r>
      <w:r>
        <w:rPr>
          <w:rFonts w:hint="eastAsia"/>
          <w:lang w:eastAsia="zh-CN"/>
        </w:rPr>
        <w:t>：</w:t>
      </w:r>
      <w:r>
        <w:t>不锈钢</w:t>
      </w:r>
      <w:r>
        <w:rPr>
          <w:rFonts w:hint="eastAsia"/>
          <w:lang w:eastAsia="zh-CN"/>
        </w:rPr>
        <w:t>；</w:t>
      </w:r>
      <w:r>
        <w:t>出水取样管</w:t>
      </w:r>
      <w:r>
        <w:rPr>
          <w:rFonts w:hint="eastAsia"/>
          <w:lang w:eastAsia="zh-CN"/>
        </w:rPr>
        <w:t>：</w:t>
      </w:r>
      <w:r>
        <w:t>材质</w:t>
      </w:r>
      <w:r>
        <w:rPr>
          <w:rFonts w:hint="eastAsia"/>
          <w:lang w:eastAsia="zh-CN"/>
        </w:rPr>
        <w:t>：</w:t>
      </w:r>
      <w:r>
        <w:t>不锈钢</w:t>
      </w:r>
      <w:r>
        <w:rPr>
          <w:rFonts w:hint="eastAsia"/>
          <w:lang w:eastAsia="zh-CN"/>
        </w:rPr>
        <w:t>；</w:t>
      </w:r>
      <w:r>
        <w:t>出水取样阀</w:t>
      </w:r>
      <w:r>
        <w:rPr>
          <w:rFonts w:hint="eastAsia"/>
          <w:lang w:eastAsia="zh-CN"/>
        </w:rPr>
        <w:t>：</w:t>
      </w:r>
      <w:r>
        <w:t>材质</w:t>
      </w:r>
      <w:r>
        <w:rPr>
          <w:rFonts w:hint="eastAsia"/>
          <w:lang w:eastAsia="zh-CN"/>
        </w:rPr>
        <w:t>：</w:t>
      </w:r>
      <w:r>
        <w:t>不锈钢</w:t>
      </w:r>
      <w:r>
        <w:rPr>
          <w:rFonts w:hint="eastAsia"/>
          <w:lang w:eastAsia="zh-CN"/>
        </w:rPr>
        <w:t>；</w:t>
      </w:r>
      <w:r>
        <w:t>进水压力表</w:t>
      </w:r>
      <w:r>
        <w:rPr>
          <w:rFonts w:hint="eastAsia"/>
          <w:lang w:eastAsia="zh-CN"/>
        </w:rPr>
        <w:t>：</w:t>
      </w:r>
      <w:r>
        <w:t>耐腐蚀</w:t>
      </w:r>
      <w:r>
        <w:rPr>
          <w:rFonts w:hint="eastAsia"/>
          <w:lang w:eastAsia="zh-CN"/>
        </w:rPr>
        <w:t>；</w:t>
      </w:r>
      <w:r>
        <w:t>出水压力表</w:t>
      </w:r>
      <w:r>
        <w:rPr>
          <w:rFonts w:hint="eastAsia"/>
          <w:lang w:eastAsia="zh-CN"/>
        </w:rPr>
        <w:t>：</w:t>
      </w:r>
      <w:r>
        <w:t>耐腐蚀</w:t>
      </w:r>
      <w:r>
        <w:rPr>
          <w:rFonts w:hint="eastAsia"/>
          <w:lang w:eastAsia="zh-CN"/>
        </w:rPr>
        <w:t>；</w:t>
      </w:r>
      <w:r>
        <w:t>排气阀</w:t>
      </w:r>
      <w:r>
        <w:rPr>
          <w:rFonts w:hint="eastAsia"/>
          <w:lang w:eastAsia="zh-CN"/>
        </w:rPr>
        <w:t>：</w:t>
      </w:r>
      <w:r>
        <w:t>不锈钢</w:t>
      </w:r>
      <w:r>
        <w:rPr>
          <w:rFonts w:hint="eastAsia"/>
          <w:lang w:eastAsia="zh-CN"/>
        </w:rPr>
        <w:t>；</w:t>
      </w:r>
      <w:r>
        <w:t>并配有支腿等。过滤器内部件在工厂安装定位</w:t>
      </w:r>
      <w:r>
        <w:rPr>
          <w:rFonts w:hint="eastAsia"/>
          <w:lang w:eastAsia="zh-CN"/>
        </w:rPr>
        <w:t>，</w:t>
      </w:r>
      <w:r>
        <w:t>并提供正确、牢固的安全支撑</w:t>
      </w:r>
      <w:r>
        <w:rPr>
          <w:rFonts w:hint="eastAsia"/>
          <w:lang w:eastAsia="zh-CN"/>
        </w:rPr>
        <w:t>，</w:t>
      </w:r>
      <w:r>
        <w:t>以防止运输及搬运时的偏位、松动及损坏。</w:t>
      </w:r>
    </w:p>
    <w:p w14:paraId="1539A5AB">
      <w:pPr>
        <w:pStyle w:val="22"/>
        <w:bidi w:val="0"/>
        <w:rPr>
          <w:rFonts w:hint="eastAsia" w:eastAsia="宋体"/>
          <w:lang w:eastAsia="zh-CN"/>
        </w:rPr>
      </w:pPr>
      <w:r>
        <w:rPr>
          <w:rFonts w:hint="eastAsia"/>
          <w:lang w:val="en-US" w:eastAsia="zh-CN"/>
        </w:rPr>
        <w:t xml:space="preserve">④ </w:t>
      </w:r>
      <w:r>
        <w:rPr>
          <w:rFonts w:hint="eastAsia"/>
        </w:rPr>
        <w:t>RO</w:t>
      </w:r>
      <w:r>
        <w:t>增压泵</w:t>
      </w:r>
    </w:p>
    <w:p w14:paraId="7EB2F9D1">
      <w:pPr>
        <w:pStyle w:val="22"/>
        <w:bidi w:val="0"/>
      </w:pPr>
      <w:r>
        <w:rPr>
          <w:rFonts w:hint="eastAsia"/>
        </w:rPr>
        <w:t>RO</w:t>
      </w:r>
      <w:r>
        <w:t>增压泵用来向</w:t>
      </w:r>
      <w:r>
        <w:rPr>
          <w:rFonts w:hint="eastAsia"/>
        </w:rPr>
        <w:t>反渗透</w:t>
      </w:r>
      <w:r>
        <w:t>装置提供渗透压的动力</w:t>
      </w:r>
      <w:r>
        <w:rPr>
          <w:rFonts w:hint="eastAsia"/>
          <w:lang w:eastAsia="zh-CN"/>
        </w:rPr>
        <w:t>，</w:t>
      </w:r>
      <w:r>
        <w:t>以满足</w:t>
      </w:r>
      <w:r>
        <w:rPr>
          <w:rFonts w:hint="eastAsia"/>
        </w:rPr>
        <w:t>反渗透</w:t>
      </w:r>
      <w:r>
        <w:t>系统膜元件在设计年限内正常的工作压力及流量。</w:t>
      </w:r>
    </w:p>
    <w:p w14:paraId="4AC827E4">
      <w:pPr>
        <w:pStyle w:val="22"/>
        <w:bidi w:val="0"/>
        <w:rPr>
          <w:rFonts w:hint="eastAsia" w:eastAsia="宋体"/>
          <w:lang w:eastAsia="zh-CN"/>
        </w:rPr>
      </w:pPr>
      <w:r>
        <w:t>设备规范</w:t>
      </w:r>
      <w:r>
        <w:rPr>
          <w:rFonts w:hint="eastAsia"/>
          <w:lang w:eastAsia="zh-CN"/>
        </w:rPr>
        <w:t>：</w:t>
      </w:r>
    </w:p>
    <w:p w14:paraId="797029CF">
      <w:pPr>
        <w:pStyle w:val="22"/>
        <w:bidi w:val="0"/>
      </w:pPr>
      <w:r>
        <w:t>数量</w:t>
      </w:r>
      <w:r>
        <w:rPr>
          <w:rFonts w:hint="eastAsia"/>
          <w:lang w:eastAsia="zh-CN"/>
        </w:rPr>
        <w:t>：</w:t>
      </w:r>
      <w:r>
        <w:tab/>
      </w:r>
      <w:r>
        <w:tab/>
      </w:r>
      <w:r>
        <w:tab/>
      </w:r>
      <w:r>
        <w:t>1台</w:t>
      </w:r>
    </w:p>
    <w:p w14:paraId="5242C3B1">
      <w:pPr>
        <w:pStyle w:val="22"/>
        <w:bidi w:val="0"/>
      </w:pPr>
      <w:r>
        <w:t>适用温度</w:t>
      </w:r>
      <w:r>
        <w:rPr>
          <w:rFonts w:hint="eastAsia"/>
          <w:lang w:eastAsia="zh-CN"/>
        </w:rPr>
        <w:t>：</w:t>
      </w:r>
      <w:r>
        <w:t>-30-110°</w:t>
      </w:r>
    </w:p>
    <w:p w14:paraId="3636F37B">
      <w:pPr>
        <w:pStyle w:val="22"/>
        <w:bidi w:val="0"/>
      </w:pPr>
      <w:r>
        <w:t>进出口接口型式</w:t>
      </w:r>
      <w:r>
        <w:rPr>
          <w:rFonts w:hint="eastAsia"/>
          <w:lang w:eastAsia="zh-CN"/>
        </w:rPr>
        <w:t>：</w:t>
      </w:r>
      <w:r>
        <w:t>法兰连接</w:t>
      </w:r>
    </w:p>
    <w:p w14:paraId="05DE5F47">
      <w:pPr>
        <w:pStyle w:val="22"/>
        <w:bidi w:val="0"/>
      </w:pPr>
      <w:r>
        <w:t>环境温度</w:t>
      </w:r>
      <w:r>
        <w:rPr>
          <w:rFonts w:hint="eastAsia"/>
          <w:lang w:eastAsia="zh-CN"/>
        </w:rPr>
        <w:t>：</w:t>
      </w:r>
      <w:r>
        <w:t>&lt;+40°</w:t>
      </w:r>
    </w:p>
    <w:p w14:paraId="4D816AEA">
      <w:pPr>
        <w:pStyle w:val="22"/>
        <w:bidi w:val="0"/>
      </w:pPr>
      <w:r>
        <w:t>技术标准</w:t>
      </w:r>
      <w:r>
        <w:rPr>
          <w:rFonts w:hint="eastAsia"/>
          <w:lang w:eastAsia="zh-CN"/>
        </w:rPr>
        <w:t>：</w:t>
      </w:r>
      <w:r>
        <w:t>多级离心泵参照</w:t>
      </w:r>
      <w:r>
        <w:rPr>
          <w:rFonts w:hint="eastAsia"/>
          <w:lang w:eastAsia="zh-CN"/>
        </w:rPr>
        <w:t>：</w:t>
      </w:r>
      <w:r>
        <w:t>EN/IEC和DIN44082标准</w:t>
      </w:r>
      <w:r>
        <w:rPr>
          <w:rFonts w:hint="eastAsia"/>
          <w:lang w:eastAsia="zh-CN"/>
        </w:rPr>
        <w:t>，</w:t>
      </w:r>
      <w:r>
        <w:t>离心泵技术条件（Ⅱ）类</w:t>
      </w:r>
    </w:p>
    <w:p w14:paraId="43C1DE35">
      <w:pPr>
        <w:pStyle w:val="22"/>
        <w:bidi w:val="0"/>
        <w:rPr>
          <w:rFonts w:hint="eastAsia" w:eastAsia="宋体"/>
          <w:lang w:eastAsia="zh-CN"/>
        </w:rPr>
      </w:pPr>
      <w:r>
        <w:rPr>
          <w:rFonts w:hint="eastAsia"/>
          <w:lang w:val="en-US" w:eastAsia="zh-CN"/>
        </w:rPr>
        <w:t xml:space="preserve">⑤ </w:t>
      </w:r>
      <w:r>
        <w:rPr>
          <w:rFonts w:hint="eastAsia"/>
        </w:rPr>
        <w:t>RO</w:t>
      </w:r>
      <w:r>
        <w:t>清液槽</w:t>
      </w:r>
    </w:p>
    <w:p w14:paraId="6D2909FB">
      <w:pPr>
        <w:pStyle w:val="22"/>
        <w:bidi w:val="0"/>
      </w:pPr>
      <w:r>
        <w:rPr>
          <w:rFonts w:hint="eastAsia"/>
        </w:rPr>
        <w:t>RO</w:t>
      </w:r>
      <w:r>
        <w:t>清洗槽在工艺中用于</w:t>
      </w:r>
      <w:r>
        <w:rPr>
          <w:rFonts w:hint="eastAsia"/>
        </w:rPr>
        <w:t>一级反渗透及D</w:t>
      </w:r>
      <w:r>
        <w:t>TRO产水的储存。</w:t>
      </w:r>
    </w:p>
    <w:p w14:paraId="3D8AF7F5">
      <w:pPr>
        <w:pStyle w:val="22"/>
        <w:bidi w:val="0"/>
      </w:pPr>
      <w:r>
        <w:t>设备规范：</w:t>
      </w:r>
    </w:p>
    <w:p w14:paraId="428F1CDF">
      <w:pPr>
        <w:pStyle w:val="22"/>
        <w:bidi w:val="0"/>
      </w:pPr>
      <w:r>
        <w:t>设备台数：</w:t>
      </w:r>
      <w:r>
        <w:tab/>
      </w:r>
      <w:r>
        <w:tab/>
      </w:r>
      <w:r>
        <w:tab/>
      </w:r>
      <w:r>
        <w:tab/>
      </w:r>
      <w:r>
        <w:t>1台</w:t>
      </w:r>
    </w:p>
    <w:p w14:paraId="420B7184">
      <w:pPr>
        <w:pStyle w:val="22"/>
        <w:bidi w:val="0"/>
      </w:pPr>
      <w:r>
        <w:t>设计压力：</w:t>
      </w:r>
      <w:r>
        <w:tab/>
      </w:r>
      <w:r>
        <w:tab/>
      </w:r>
      <w:r>
        <w:tab/>
      </w:r>
      <w:r>
        <w:tab/>
      </w:r>
      <w:r>
        <w:t>常压</w:t>
      </w:r>
    </w:p>
    <w:p w14:paraId="18D3E6B7">
      <w:pPr>
        <w:pStyle w:val="22"/>
        <w:bidi w:val="0"/>
      </w:pPr>
      <w:r>
        <w:t>试验压力：</w:t>
      </w:r>
      <w:r>
        <w:tab/>
      </w:r>
      <w:r>
        <w:tab/>
      </w:r>
      <w:r>
        <w:tab/>
      </w:r>
      <w:r>
        <w:tab/>
      </w:r>
      <w:r>
        <w:t>24小时满水盛水试验</w:t>
      </w:r>
    </w:p>
    <w:p w14:paraId="37BC1896">
      <w:pPr>
        <w:pStyle w:val="22"/>
        <w:bidi w:val="0"/>
      </w:pPr>
      <w:r>
        <w:t>工作温度：</w:t>
      </w:r>
      <w:r>
        <w:tab/>
      </w:r>
      <w:r>
        <w:tab/>
      </w:r>
      <w:r>
        <w:tab/>
      </w:r>
      <w:r>
        <w:tab/>
      </w:r>
      <w:r>
        <w:t>4-50°C</w:t>
      </w:r>
    </w:p>
    <w:p w14:paraId="1ED2ED1F">
      <w:pPr>
        <w:pStyle w:val="22"/>
        <w:bidi w:val="0"/>
      </w:pPr>
      <w:bookmarkStart w:id="78" w:name="_Toc185150589"/>
      <w:bookmarkStart w:id="79" w:name="_Toc493099946"/>
      <w:r>
        <w:rPr>
          <w:rFonts w:hint="eastAsia"/>
          <w:lang w:eastAsia="zh-CN"/>
        </w:rPr>
        <w:t>（</w:t>
      </w:r>
      <w:r>
        <w:rPr>
          <w:rFonts w:hint="eastAsia"/>
          <w:lang w:val="en-US" w:eastAsia="zh-CN"/>
        </w:rPr>
        <w:t>13</w:t>
      </w:r>
      <w:r>
        <w:rPr>
          <w:rFonts w:hint="eastAsia"/>
          <w:lang w:eastAsia="zh-CN"/>
        </w:rPr>
        <w:t>）</w:t>
      </w:r>
      <w:r>
        <w:rPr>
          <w:rFonts w:hint="eastAsia"/>
        </w:rPr>
        <w:t>二级R</w:t>
      </w:r>
      <w:r>
        <w:t>O</w:t>
      </w:r>
      <w:r>
        <w:rPr>
          <w:rFonts w:hint="eastAsia"/>
        </w:rPr>
        <w:t>系统</w:t>
      </w:r>
      <w:bookmarkEnd w:id="78"/>
    </w:p>
    <w:p w14:paraId="33A03898">
      <w:pPr>
        <w:pStyle w:val="22"/>
        <w:bidi w:val="0"/>
      </w:pPr>
      <w:r>
        <w:t>型号：RHR25/2</w:t>
      </w:r>
    </w:p>
    <w:p w14:paraId="3D3D8F06">
      <w:pPr>
        <w:pStyle w:val="22"/>
        <w:bidi w:val="0"/>
      </w:pPr>
      <w:r>
        <w:t>进水NH3-N去除率：≈</w:t>
      </w:r>
      <w:r>
        <w:rPr>
          <w:rFonts w:hint="eastAsia"/>
        </w:rPr>
        <w:t>1</w:t>
      </w:r>
      <w:r>
        <w:t>0%</w:t>
      </w:r>
    </w:p>
    <w:p w14:paraId="4E85F331">
      <w:pPr>
        <w:pStyle w:val="22"/>
        <w:bidi w:val="0"/>
      </w:pPr>
      <w:r>
        <w:t>进水水温</w:t>
      </w:r>
      <w:r>
        <w:rPr>
          <w:rFonts w:hint="eastAsia"/>
          <w:lang w:eastAsia="zh-CN"/>
        </w:rPr>
        <w:t>：</w:t>
      </w:r>
      <w:r>
        <w:tab/>
      </w:r>
      <w:r>
        <w:tab/>
      </w:r>
      <w:r>
        <w:t>25℃</w:t>
      </w:r>
    </w:p>
    <w:p w14:paraId="30AA0CA6">
      <w:pPr>
        <w:pStyle w:val="22"/>
        <w:bidi w:val="0"/>
      </w:pPr>
      <w:r>
        <w:t>适用pH</w:t>
      </w:r>
      <w:r>
        <w:rPr>
          <w:rFonts w:hint="eastAsia"/>
          <w:lang w:eastAsia="zh-CN"/>
        </w:rPr>
        <w:t>：</w:t>
      </w:r>
      <w:r>
        <w:tab/>
      </w:r>
      <w:r>
        <w:tab/>
      </w:r>
      <w:r>
        <w:t>2-11</w:t>
      </w:r>
      <w:r>
        <w:tab/>
      </w:r>
    </w:p>
    <w:p w14:paraId="4C7E4EDC">
      <w:pPr>
        <w:pStyle w:val="22"/>
        <w:bidi w:val="0"/>
      </w:pPr>
      <w:r>
        <w:t>数量：1套</w:t>
      </w:r>
    </w:p>
    <w:p w14:paraId="0757D6A9">
      <w:pPr>
        <w:pStyle w:val="22"/>
        <w:bidi w:val="0"/>
        <w:rPr>
          <w:rFonts w:hint="eastAsia" w:eastAsia="宋体"/>
          <w:lang w:eastAsia="zh-CN"/>
        </w:rPr>
      </w:pPr>
      <w:r>
        <w:t>配套提供</w:t>
      </w:r>
      <w:r>
        <w:rPr>
          <w:rFonts w:hint="eastAsia"/>
          <w:lang w:eastAsia="zh-CN"/>
        </w:rPr>
        <w:t>：</w:t>
      </w:r>
    </w:p>
    <w:p w14:paraId="06190D6E">
      <w:pPr>
        <w:pStyle w:val="22"/>
        <w:bidi w:val="0"/>
      </w:pPr>
      <w:r>
        <w:rPr>
          <w:rFonts w:hint="eastAsia"/>
          <w:lang w:val="en-US" w:eastAsia="zh-CN"/>
        </w:rPr>
        <w:t xml:space="preserve">① </w:t>
      </w:r>
      <w:r>
        <w:rPr>
          <w:rFonts w:hint="eastAsia"/>
        </w:rPr>
        <w:t>RO</w:t>
      </w:r>
      <w:r>
        <w:t>进水泵</w:t>
      </w:r>
    </w:p>
    <w:p w14:paraId="3E2F53D5">
      <w:pPr>
        <w:pStyle w:val="22"/>
        <w:bidi w:val="0"/>
      </w:pPr>
      <w:r>
        <w:rPr>
          <w:rFonts w:hint="eastAsia"/>
        </w:rPr>
        <w:t>RO</w:t>
      </w:r>
      <w:r>
        <w:t>进水泵用于</w:t>
      </w:r>
      <w:r>
        <w:rPr>
          <w:rFonts w:hint="eastAsia"/>
        </w:rPr>
        <w:t>R</w:t>
      </w:r>
      <w:r>
        <w:t>O</w:t>
      </w:r>
      <w:r>
        <w:rPr>
          <w:rFonts w:hint="eastAsia"/>
        </w:rPr>
        <w:t>清液槽</w:t>
      </w:r>
      <w:r>
        <w:t>内水的提升</w:t>
      </w:r>
      <w:r>
        <w:rPr>
          <w:rFonts w:hint="eastAsia"/>
          <w:lang w:eastAsia="zh-CN"/>
        </w:rPr>
        <w:t>，</w:t>
      </w:r>
      <w:r>
        <w:t>经提升后进入后级保安过滤器。</w:t>
      </w:r>
    </w:p>
    <w:p w14:paraId="00B3B322">
      <w:pPr>
        <w:pStyle w:val="22"/>
        <w:bidi w:val="0"/>
        <w:rPr>
          <w:rFonts w:hint="eastAsia" w:eastAsia="宋体"/>
          <w:lang w:eastAsia="zh-CN"/>
        </w:rPr>
      </w:pPr>
      <w:r>
        <w:t>设备规范</w:t>
      </w:r>
      <w:r>
        <w:rPr>
          <w:rFonts w:hint="eastAsia"/>
          <w:lang w:eastAsia="zh-CN"/>
        </w:rPr>
        <w:t>：</w:t>
      </w:r>
    </w:p>
    <w:p w14:paraId="1F47C76E">
      <w:pPr>
        <w:pStyle w:val="22"/>
        <w:bidi w:val="0"/>
      </w:pPr>
      <w:r>
        <w:t>数量：2台</w:t>
      </w:r>
    </w:p>
    <w:p w14:paraId="65EB5DB9">
      <w:pPr>
        <w:pStyle w:val="22"/>
        <w:bidi w:val="0"/>
      </w:pPr>
      <w:r>
        <w:t>电源</w:t>
      </w:r>
      <w:r>
        <w:rPr>
          <w:rFonts w:hint="eastAsia"/>
          <w:lang w:eastAsia="zh-CN"/>
        </w:rPr>
        <w:t>：</w:t>
      </w:r>
      <w:r>
        <w:t>380V/50HZ</w:t>
      </w:r>
    </w:p>
    <w:p w14:paraId="138FC00E">
      <w:pPr>
        <w:pStyle w:val="22"/>
        <w:bidi w:val="0"/>
        <w:rPr>
          <w:rFonts w:hint="eastAsia" w:eastAsia="宋体"/>
          <w:lang w:eastAsia="zh-CN"/>
        </w:rPr>
      </w:pPr>
      <w:r>
        <w:rPr>
          <w:rFonts w:hint="eastAsia"/>
          <w:lang w:val="en-US" w:eastAsia="zh-CN"/>
        </w:rPr>
        <w:t xml:space="preserve">② </w:t>
      </w:r>
      <w:r>
        <w:t>保安过滤器</w:t>
      </w:r>
    </w:p>
    <w:p w14:paraId="48C48C2D">
      <w:pPr>
        <w:pStyle w:val="22"/>
        <w:bidi w:val="0"/>
      </w:pPr>
      <w:r>
        <w:t>保安过滤器在工艺中用来保证</w:t>
      </w:r>
      <w:r>
        <w:rPr>
          <w:rFonts w:hint="eastAsia"/>
        </w:rPr>
        <w:t>反渗透</w:t>
      </w:r>
      <w:r>
        <w:t>进水的清洁度，防止后级</w:t>
      </w:r>
      <w:r>
        <w:rPr>
          <w:rFonts w:hint="eastAsia"/>
        </w:rPr>
        <w:t>反渗透</w:t>
      </w:r>
      <w:r>
        <w:t>膜元件及</w:t>
      </w:r>
      <w:r>
        <w:rPr>
          <w:rFonts w:hint="eastAsia"/>
        </w:rPr>
        <w:t>RO</w:t>
      </w:r>
      <w:r>
        <w:t>增压泵受损。</w:t>
      </w:r>
    </w:p>
    <w:p w14:paraId="34912DC0">
      <w:pPr>
        <w:pStyle w:val="22"/>
        <w:bidi w:val="0"/>
        <w:rPr>
          <w:rFonts w:hint="eastAsia" w:eastAsia="宋体"/>
          <w:lang w:eastAsia="zh-CN"/>
        </w:rPr>
      </w:pPr>
      <w:r>
        <w:t>设备规范</w:t>
      </w:r>
      <w:r>
        <w:rPr>
          <w:rFonts w:hint="eastAsia"/>
          <w:lang w:eastAsia="zh-CN"/>
        </w:rPr>
        <w:t>：</w:t>
      </w:r>
    </w:p>
    <w:p w14:paraId="40A005AF">
      <w:pPr>
        <w:pStyle w:val="22"/>
        <w:bidi w:val="0"/>
      </w:pPr>
      <w:r>
        <w:t>型号：RHB1</w:t>
      </w:r>
    </w:p>
    <w:p w14:paraId="580B5AB5">
      <w:pPr>
        <w:pStyle w:val="22"/>
        <w:bidi w:val="0"/>
      </w:pPr>
      <w:r>
        <w:t>设备台数</w:t>
      </w:r>
      <w:r>
        <w:rPr>
          <w:rFonts w:hint="eastAsia"/>
          <w:lang w:eastAsia="zh-CN"/>
        </w:rPr>
        <w:t>：</w:t>
      </w:r>
      <w:r>
        <w:t>1台</w:t>
      </w:r>
    </w:p>
    <w:p w14:paraId="45441703">
      <w:pPr>
        <w:pStyle w:val="22"/>
        <w:bidi w:val="0"/>
      </w:pPr>
      <w:r>
        <w:t>设计压力</w:t>
      </w:r>
      <w:r>
        <w:rPr>
          <w:rFonts w:hint="eastAsia"/>
          <w:lang w:eastAsia="zh-CN"/>
        </w:rPr>
        <w:t>：</w:t>
      </w:r>
      <w:r>
        <w:tab/>
      </w:r>
      <w:r>
        <w:t>0.3MPa</w:t>
      </w:r>
    </w:p>
    <w:p w14:paraId="18570009">
      <w:pPr>
        <w:pStyle w:val="22"/>
        <w:bidi w:val="0"/>
      </w:pPr>
      <w:r>
        <w:t>试验压力</w:t>
      </w:r>
      <w:r>
        <w:rPr>
          <w:rFonts w:hint="eastAsia"/>
          <w:lang w:eastAsia="zh-CN"/>
        </w:rPr>
        <w:t>：</w:t>
      </w:r>
      <w:r>
        <w:tab/>
      </w:r>
      <w:r>
        <w:t>0.4MPa</w:t>
      </w:r>
    </w:p>
    <w:p w14:paraId="43C891F9">
      <w:pPr>
        <w:pStyle w:val="22"/>
        <w:bidi w:val="0"/>
      </w:pPr>
      <w:r>
        <w:t>工作温度</w:t>
      </w:r>
      <w:r>
        <w:rPr>
          <w:rFonts w:hint="eastAsia"/>
          <w:lang w:eastAsia="zh-CN"/>
        </w:rPr>
        <w:t>：</w:t>
      </w:r>
      <w:r>
        <w:tab/>
      </w:r>
      <w:r>
        <w:t>4-50°C</w:t>
      </w:r>
    </w:p>
    <w:p w14:paraId="358CBEFA">
      <w:pPr>
        <w:pStyle w:val="22"/>
        <w:bidi w:val="0"/>
        <w:rPr>
          <w:rFonts w:hint="eastAsia" w:eastAsia="宋体"/>
          <w:lang w:eastAsia="zh-CN"/>
        </w:rPr>
      </w:pPr>
      <w:r>
        <w:rPr>
          <w:rFonts w:hint="eastAsia"/>
          <w:lang w:val="en-US" w:eastAsia="zh-CN"/>
        </w:rPr>
        <w:t xml:space="preserve">③ </w:t>
      </w:r>
      <w:r>
        <w:rPr>
          <w:rFonts w:hint="eastAsia"/>
        </w:rPr>
        <w:t>RO</w:t>
      </w:r>
      <w:r>
        <w:t>增压泵</w:t>
      </w:r>
    </w:p>
    <w:p w14:paraId="4B30E73A">
      <w:pPr>
        <w:pStyle w:val="22"/>
        <w:bidi w:val="0"/>
      </w:pPr>
      <w:r>
        <w:rPr>
          <w:rFonts w:hint="eastAsia"/>
        </w:rPr>
        <w:t>RO</w:t>
      </w:r>
      <w:r>
        <w:t>增压泵用来向</w:t>
      </w:r>
      <w:r>
        <w:rPr>
          <w:rFonts w:hint="eastAsia"/>
        </w:rPr>
        <w:t>反渗透</w:t>
      </w:r>
      <w:r>
        <w:t>装置提供渗透压的动力</w:t>
      </w:r>
      <w:r>
        <w:rPr>
          <w:rFonts w:hint="eastAsia"/>
          <w:lang w:eastAsia="zh-CN"/>
        </w:rPr>
        <w:t>，</w:t>
      </w:r>
      <w:r>
        <w:t>以满足</w:t>
      </w:r>
      <w:r>
        <w:rPr>
          <w:rFonts w:hint="eastAsia"/>
        </w:rPr>
        <w:t>反渗透</w:t>
      </w:r>
      <w:r>
        <w:t>系统膜元件在设计年限内正常的工作压力及流量。</w:t>
      </w:r>
    </w:p>
    <w:p w14:paraId="62B2FBCD">
      <w:pPr>
        <w:pStyle w:val="22"/>
        <w:bidi w:val="0"/>
        <w:rPr>
          <w:rFonts w:hint="eastAsia" w:eastAsia="宋体"/>
          <w:lang w:eastAsia="zh-CN"/>
        </w:rPr>
      </w:pPr>
      <w:r>
        <w:t>设备规范</w:t>
      </w:r>
      <w:r>
        <w:rPr>
          <w:rFonts w:hint="eastAsia"/>
          <w:lang w:eastAsia="zh-CN"/>
        </w:rPr>
        <w:t>：</w:t>
      </w:r>
    </w:p>
    <w:p w14:paraId="3A8F47B0">
      <w:pPr>
        <w:pStyle w:val="22"/>
        <w:bidi w:val="0"/>
      </w:pPr>
      <w:r>
        <w:t>数量</w:t>
      </w:r>
      <w:r>
        <w:rPr>
          <w:rFonts w:hint="eastAsia"/>
          <w:lang w:eastAsia="zh-CN"/>
        </w:rPr>
        <w:t>：</w:t>
      </w:r>
      <w:r>
        <w:tab/>
      </w:r>
      <w:r>
        <w:tab/>
      </w:r>
      <w:r>
        <w:tab/>
      </w:r>
      <w:r>
        <w:t>1台</w:t>
      </w:r>
    </w:p>
    <w:p w14:paraId="3A852C99">
      <w:pPr>
        <w:pStyle w:val="22"/>
        <w:bidi w:val="0"/>
      </w:pPr>
      <w:r>
        <w:t>适用温度</w:t>
      </w:r>
      <w:r>
        <w:rPr>
          <w:rFonts w:hint="eastAsia"/>
          <w:lang w:eastAsia="zh-CN"/>
        </w:rPr>
        <w:t>：</w:t>
      </w:r>
      <w:r>
        <w:t>-30-110°C</w:t>
      </w:r>
    </w:p>
    <w:p w14:paraId="685D3873">
      <w:pPr>
        <w:pStyle w:val="22"/>
        <w:bidi w:val="0"/>
      </w:pPr>
      <w:r>
        <w:t>进出口接口型式</w:t>
      </w:r>
      <w:r>
        <w:rPr>
          <w:rFonts w:hint="eastAsia"/>
          <w:lang w:eastAsia="zh-CN"/>
        </w:rPr>
        <w:t>：</w:t>
      </w:r>
      <w:r>
        <w:t>法兰连接</w:t>
      </w:r>
    </w:p>
    <w:p w14:paraId="7562A5C9">
      <w:pPr>
        <w:pStyle w:val="22"/>
        <w:bidi w:val="0"/>
      </w:pPr>
      <w:r>
        <w:t>环境温度</w:t>
      </w:r>
      <w:r>
        <w:rPr>
          <w:rFonts w:hint="eastAsia"/>
          <w:lang w:eastAsia="zh-CN"/>
        </w:rPr>
        <w:t>：</w:t>
      </w:r>
      <w:r>
        <w:t>&lt;+40°C</w:t>
      </w:r>
    </w:p>
    <w:p w14:paraId="7EE27CD5">
      <w:pPr>
        <w:pStyle w:val="22"/>
        <w:bidi w:val="0"/>
        <w:rPr>
          <w:rFonts w:hint="eastAsia" w:eastAsia="宋体"/>
          <w:lang w:eastAsia="zh-CN"/>
        </w:rPr>
      </w:pPr>
      <w:r>
        <w:t>配套仪表</w:t>
      </w:r>
      <w:r>
        <w:rPr>
          <w:rFonts w:hint="eastAsia"/>
          <w:lang w:eastAsia="zh-CN"/>
        </w:rPr>
        <w:t>：</w:t>
      </w:r>
      <w:r>
        <w:t>高压保护开关数量：1只</w:t>
      </w:r>
      <w:r>
        <w:rPr>
          <w:rFonts w:hint="eastAsia"/>
          <w:lang w:eastAsia="zh-CN"/>
        </w:rPr>
        <w:t>；</w:t>
      </w:r>
      <w:r>
        <w:t>低压保护开关数量：1只</w:t>
      </w:r>
      <w:r>
        <w:rPr>
          <w:rFonts w:hint="eastAsia"/>
          <w:lang w:eastAsia="zh-CN"/>
        </w:rPr>
        <w:t>；</w:t>
      </w:r>
      <w:r>
        <w:t>电导仪数量：2套</w:t>
      </w:r>
      <w:r>
        <w:rPr>
          <w:rFonts w:hint="eastAsia"/>
          <w:lang w:eastAsia="zh-CN"/>
        </w:rPr>
        <w:t>；</w:t>
      </w:r>
      <w:r>
        <w:t>流量计数量：2套</w:t>
      </w:r>
      <w:r>
        <w:rPr>
          <w:rFonts w:hint="eastAsia"/>
          <w:lang w:eastAsia="zh-CN"/>
        </w:rPr>
        <w:t>。</w:t>
      </w:r>
    </w:p>
    <w:p w14:paraId="6B948CB9">
      <w:pPr>
        <w:pStyle w:val="22"/>
        <w:bidi w:val="0"/>
      </w:pPr>
      <w:bookmarkStart w:id="80" w:name="_Toc185150590"/>
      <w:r>
        <w:rPr>
          <w:rFonts w:hint="eastAsia"/>
          <w:lang w:eastAsia="zh-CN"/>
        </w:rPr>
        <w:t>（</w:t>
      </w:r>
      <w:r>
        <w:rPr>
          <w:rFonts w:hint="eastAsia"/>
          <w:lang w:val="en-US" w:eastAsia="zh-CN"/>
        </w:rPr>
        <w:t>14</w:t>
      </w:r>
      <w:r>
        <w:rPr>
          <w:rFonts w:hint="eastAsia"/>
          <w:lang w:eastAsia="zh-CN"/>
        </w:rPr>
        <w:t>）</w:t>
      </w:r>
      <w:r>
        <w:rPr>
          <w:rFonts w:hint="eastAsia"/>
        </w:rPr>
        <w:t>D</w:t>
      </w:r>
      <w:r>
        <w:t>T</w:t>
      </w:r>
      <w:r>
        <w:rPr>
          <w:rFonts w:hint="eastAsia"/>
        </w:rPr>
        <w:t>R</w:t>
      </w:r>
      <w:r>
        <w:t>O</w:t>
      </w:r>
      <w:r>
        <w:rPr>
          <w:rFonts w:hint="eastAsia"/>
        </w:rPr>
        <w:t>系统</w:t>
      </w:r>
      <w:bookmarkEnd w:id="80"/>
    </w:p>
    <w:p w14:paraId="5ECC2C41">
      <w:pPr>
        <w:pStyle w:val="22"/>
        <w:bidi w:val="0"/>
      </w:pPr>
      <w:r>
        <w:rPr>
          <w:rFonts w:hint="eastAsia"/>
        </w:rPr>
        <w:t>D</w:t>
      </w:r>
      <w:r>
        <w:t>TRO</w:t>
      </w:r>
      <w:r>
        <w:rPr>
          <w:rFonts w:hint="eastAsia"/>
        </w:rPr>
        <w:t>系统用于对系统产生的浓水进行进一步的浓缩，减少浓水的排放量。</w:t>
      </w:r>
    </w:p>
    <w:p w14:paraId="57426ECE">
      <w:pPr>
        <w:pStyle w:val="22"/>
        <w:bidi w:val="0"/>
        <w:rPr>
          <w:rFonts w:hint="eastAsia" w:eastAsia="宋体"/>
          <w:lang w:eastAsia="zh-CN"/>
        </w:rPr>
      </w:pPr>
      <w:r>
        <w:rPr>
          <w:rFonts w:hint="eastAsia"/>
        </w:rPr>
        <w:t>技术参数</w:t>
      </w:r>
      <w:r>
        <w:rPr>
          <w:rFonts w:hint="eastAsia"/>
          <w:lang w:eastAsia="zh-CN"/>
        </w:rPr>
        <w:t>：</w:t>
      </w:r>
    </w:p>
    <w:p w14:paraId="5B4D1331">
      <w:pPr>
        <w:pStyle w:val="22"/>
        <w:bidi w:val="0"/>
      </w:pPr>
      <w:r>
        <w:t>型号：RHDT25</w:t>
      </w:r>
    </w:p>
    <w:p w14:paraId="2E68A690">
      <w:pPr>
        <w:pStyle w:val="22"/>
        <w:bidi w:val="0"/>
      </w:pPr>
      <w:r>
        <w:t>进水NH3-N去除率：≈</w:t>
      </w:r>
      <w:r>
        <w:rPr>
          <w:rFonts w:hint="eastAsia"/>
        </w:rPr>
        <w:t>8</w:t>
      </w:r>
      <w:r>
        <w:t>0%</w:t>
      </w:r>
    </w:p>
    <w:p w14:paraId="48684054">
      <w:pPr>
        <w:pStyle w:val="22"/>
        <w:bidi w:val="0"/>
      </w:pPr>
      <w:r>
        <w:t>进水水温</w:t>
      </w:r>
      <w:r>
        <w:rPr>
          <w:rFonts w:hint="eastAsia"/>
          <w:lang w:eastAsia="zh-CN"/>
        </w:rPr>
        <w:t>：</w:t>
      </w:r>
      <w:r>
        <w:tab/>
      </w:r>
      <w:r>
        <w:tab/>
      </w:r>
      <w:r>
        <w:t>25℃</w:t>
      </w:r>
    </w:p>
    <w:p w14:paraId="36AA12E4">
      <w:pPr>
        <w:pStyle w:val="22"/>
        <w:bidi w:val="0"/>
      </w:pPr>
      <w:r>
        <w:t>适用pH</w:t>
      </w:r>
      <w:r>
        <w:rPr>
          <w:rFonts w:hint="eastAsia"/>
          <w:lang w:eastAsia="zh-CN"/>
        </w:rPr>
        <w:t>：</w:t>
      </w:r>
      <w:r>
        <w:tab/>
      </w:r>
      <w:r>
        <w:tab/>
      </w:r>
      <w:r>
        <w:t>2-11</w:t>
      </w:r>
      <w:r>
        <w:tab/>
      </w:r>
    </w:p>
    <w:p w14:paraId="5BF72140">
      <w:pPr>
        <w:pStyle w:val="22"/>
        <w:bidi w:val="0"/>
      </w:pPr>
      <w:r>
        <w:t>数量：1套</w:t>
      </w:r>
    </w:p>
    <w:p w14:paraId="0D8603B3">
      <w:pPr>
        <w:pStyle w:val="22"/>
        <w:bidi w:val="0"/>
        <w:rPr>
          <w:rFonts w:hint="eastAsia" w:eastAsia="宋体"/>
          <w:lang w:eastAsia="zh-CN"/>
        </w:rPr>
      </w:pPr>
      <w:r>
        <w:t>工艺描述</w:t>
      </w:r>
      <w:r>
        <w:rPr>
          <w:rFonts w:hint="eastAsia"/>
          <w:lang w:eastAsia="zh-CN"/>
        </w:rPr>
        <w:t>：</w:t>
      </w:r>
    </w:p>
    <w:p w14:paraId="335229E9">
      <w:pPr>
        <w:pStyle w:val="22"/>
        <w:bidi w:val="0"/>
      </w:pPr>
      <w:r>
        <w:rPr>
          <w:rFonts w:hint="eastAsia"/>
          <w:lang w:val="en-US" w:eastAsia="zh-CN"/>
        </w:rPr>
        <w:t xml:space="preserve">① </w:t>
      </w:r>
      <w:r>
        <w:t>单级DTRO处理部分</w:t>
      </w:r>
    </w:p>
    <w:p w14:paraId="7FEFA899">
      <w:pPr>
        <w:pStyle w:val="22"/>
        <w:bidi w:val="0"/>
      </w:pPr>
      <w:r>
        <w:t>经</w:t>
      </w:r>
      <w:r>
        <w:rPr>
          <w:rFonts w:hint="eastAsia"/>
        </w:rPr>
        <w:t>过</w:t>
      </w:r>
      <w:r>
        <w:t>前级RO预浓缩及脱硬度处理</w:t>
      </w:r>
      <w:r>
        <w:rPr>
          <w:rFonts w:hint="eastAsia"/>
        </w:rPr>
        <w:t>后的浓盐水</w:t>
      </w:r>
      <w:r>
        <w:t>在进入单级DTRO系统前，先经过保安过滤器去除悬浮固体物。同时根据水质状况添加阻垢剂。</w:t>
      </w:r>
    </w:p>
    <w:p w14:paraId="6F2FBAE6">
      <w:pPr>
        <w:pStyle w:val="22"/>
        <w:bidi w:val="0"/>
      </w:pPr>
      <w:r>
        <w:t>所有的悬浮固体物都去除后，废水通过高压泵打入单级DTRO系统。</w:t>
      </w:r>
    </w:p>
    <w:p w14:paraId="5647A317">
      <w:pPr>
        <w:pStyle w:val="22"/>
        <w:bidi w:val="0"/>
      </w:pPr>
      <w:r>
        <w:t>单级DTRO采用连续式设计，即连续进料，连续排出指定浓缩倍数的浓缩液，连续排出清水。单级DTRO系统设置</w:t>
      </w:r>
      <w:r>
        <w:rPr>
          <w:rFonts w:hint="eastAsia"/>
        </w:rPr>
        <w:t>1</w:t>
      </w:r>
      <w:r>
        <w:t>套，每套</w:t>
      </w:r>
      <w:r>
        <w:rPr>
          <w:rFonts w:hint="eastAsia"/>
        </w:rPr>
        <w:t>1</w:t>
      </w:r>
      <w:r>
        <w:t>段，通过在线泵将膜柱出口一部份浓缩液回流至在线泵入口以保证膜表面足够的流量和错流流速，避免膜污染。在线泵流出的高压力及高流量水直接进入膜柱。通过这种合理化串并联合成设计，使膜组件发挥最高生产效率，可延长膜使用寿命。保证膜组件通量高、截留率稳定、耐污染。</w:t>
      </w:r>
    </w:p>
    <w:p w14:paraId="160BCB4B">
      <w:pPr>
        <w:pStyle w:val="22"/>
        <w:bidi w:val="0"/>
      </w:pPr>
      <w:r>
        <w:rPr>
          <w:rFonts w:hint="eastAsia"/>
          <w:lang w:val="en-US" w:eastAsia="zh-CN"/>
        </w:rPr>
        <w:t xml:space="preserve">② </w:t>
      </w:r>
      <w:r>
        <w:t>单级DTRO清洗部分</w:t>
      </w:r>
    </w:p>
    <w:p w14:paraId="01A7179B">
      <w:pPr>
        <w:pStyle w:val="22"/>
        <w:bidi w:val="0"/>
      </w:pPr>
      <w:r>
        <w:t>膜组的冲洗在每次系统关闭时进行，在正常开机运行状态下需要停机时，一般都采取先冲洗后再停机模式。系统故障时自动停机，也执行冲洗程序。冲洗的主要目的是防止废水中的污染物在膜片表面沉积。</w:t>
      </w:r>
    </w:p>
    <w:p w14:paraId="4985F0CF">
      <w:pPr>
        <w:pStyle w:val="22"/>
        <w:bidi w:val="0"/>
      </w:pPr>
      <w:r>
        <w:t>当膜系统的产水量下降或运行压力上升时，为保持膜片的性能，膜组应该定期进行CIP化学清洗。清洗剂分酸性清洗剂和碱性清洗剂两种，碱性清洗剂的主要作用是清除有机物的污染，酸性清洗剂的主要作用是清除无机物污染。</w:t>
      </w:r>
    </w:p>
    <w:p w14:paraId="1FC30C6D">
      <w:pPr>
        <w:pStyle w:val="22"/>
        <w:bidi w:val="0"/>
      </w:pPr>
      <w:r>
        <w:t>DTRO成套设备设置独立的CIP清洗系统。</w:t>
      </w:r>
    </w:p>
    <w:p w14:paraId="3CC4CB47">
      <w:pPr>
        <w:pStyle w:val="22"/>
        <w:bidi w:val="0"/>
      </w:pPr>
      <w:r>
        <w:t>清洗方式：采用便捷的在线清洗方式，膜组件无需拆卸下来。</w:t>
      </w:r>
    </w:p>
    <w:p w14:paraId="29232936">
      <w:pPr>
        <w:pStyle w:val="22"/>
        <w:bidi w:val="0"/>
      </w:pPr>
      <w:r>
        <w:t>为保持膜的性能，膜组件应该定期进行化学清洗。清洗剂分酸性清洗剂、碱性清洗剂：</w:t>
      </w:r>
    </w:p>
    <w:tbl>
      <w:tblPr>
        <w:tblStyle w:val="11"/>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70" w:type="dxa"/>
          <w:bottom w:w="0" w:type="dxa"/>
          <w:right w:w="70" w:type="dxa"/>
        </w:tblCellMar>
      </w:tblPr>
      <w:tblGrid>
        <w:gridCol w:w="2382"/>
        <w:gridCol w:w="6942"/>
      </w:tblGrid>
      <w:tr w14:paraId="424781E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trHeight w:val="454" w:hRule="atLeast"/>
          <w:jc w:val="center"/>
        </w:trPr>
        <w:tc>
          <w:tcPr>
            <w:tcW w:w="1277" w:type="pct"/>
            <w:shd w:val="pct10" w:color="auto" w:fill="auto"/>
            <w:noWrap w:val="0"/>
            <w:vAlign w:val="center"/>
          </w:tcPr>
          <w:p w14:paraId="069C912D">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kern w:val="0"/>
                <w:sz w:val="20"/>
                <w:szCs w:val="20"/>
                <w:u w:val="none"/>
                <w:lang w:val="en-US" w:eastAsia="zh-CN" w:bidi="ar"/>
              </w:rPr>
            </w:pPr>
            <w:r>
              <w:rPr>
                <w:rFonts w:hint="default" w:ascii="Times New Roman" w:hAnsi="Times New Roman" w:eastAsia="宋体" w:cs="Times New Roman"/>
                <w:i w:val="0"/>
                <w:iCs w:val="0"/>
                <w:color w:val="000000"/>
                <w:kern w:val="0"/>
                <w:sz w:val="20"/>
                <w:szCs w:val="20"/>
                <w:u w:val="none"/>
                <w:lang w:val="en-US" w:eastAsia="zh-CN" w:bidi="ar"/>
              </w:rPr>
              <w:t>清洗剂</w:t>
            </w:r>
          </w:p>
        </w:tc>
        <w:tc>
          <w:tcPr>
            <w:tcW w:w="3722" w:type="pct"/>
            <w:shd w:val="pct10" w:color="auto" w:fill="auto"/>
            <w:noWrap w:val="0"/>
            <w:vAlign w:val="center"/>
          </w:tcPr>
          <w:p w14:paraId="3AA3887D">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kern w:val="0"/>
                <w:sz w:val="20"/>
                <w:szCs w:val="20"/>
                <w:u w:val="none"/>
                <w:lang w:val="en-US" w:eastAsia="zh-CN" w:bidi="ar"/>
              </w:rPr>
            </w:pPr>
            <w:r>
              <w:rPr>
                <w:rFonts w:hint="default" w:ascii="Times New Roman" w:hAnsi="Times New Roman" w:eastAsia="宋体" w:cs="Times New Roman"/>
                <w:i w:val="0"/>
                <w:iCs w:val="0"/>
                <w:color w:val="000000"/>
                <w:kern w:val="0"/>
                <w:sz w:val="20"/>
                <w:szCs w:val="20"/>
                <w:u w:val="none"/>
                <w:lang w:val="en-US" w:eastAsia="zh-CN" w:bidi="ar"/>
              </w:rPr>
              <w:t>污染物类型</w:t>
            </w:r>
          </w:p>
        </w:tc>
      </w:tr>
      <w:tr w14:paraId="730258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trHeight w:val="454" w:hRule="atLeast"/>
          <w:jc w:val="center"/>
        </w:trPr>
        <w:tc>
          <w:tcPr>
            <w:tcW w:w="1277" w:type="pct"/>
            <w:noWrap w:val="0"/>
            <w:vAlign w:val="center"/>
          </w:tcPr>
          <w:p w14:paraId="51B2CC7E">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kern w:val="0"/>
                <w:sz w:val="20"/>
                <w:szCs w:val="20"/>
                <w:u w:val="none"/>
                <w:lang w:val="en-US" w:eastAsia="zh-CN" w:bidi="ar"/>
              </w:rPr>
            </w:pPr>
            <w:r>
              <w:rPr>
                <w:rFonts w:hint="default" w:ascii="Times New Roman" w:hAnsi="Times New Roman" w:eastAsia="宋体" w:cs="Times New Roman"/>
                <w:i w:val="0"/>
                <w:iCs w:val="0"/>
                <w:color w:val="000000"/>
                <w:kern w:val="0"/>
                <w:sz w:val="20"/>
                <w:szCs w:val="20"/>
                <w:u w:val="none"/>
                <w:lang w:val="en-US" w:eastAsia="zh-CN" w:bidi="ar"/>
              </w:rPr>
              <w:t>清洗剂AP（酸性）</w:t>
            </w:r>
          </w:p>
        </w:tc>
        <w:tc>
          <w:tcPr>
            <w:tcW w:w="3722" w:type="pct"/>
            <w:noWrap w:val="0"/>
            <w:vAlign w:val="center"/>
          </w:tcPr>
          <w:p w14:paraId="3B183BB5">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kern w:val="0"/>
                <w:sz w:val="20"/>
                <w:szCs w:val="20"/>
                <w:u w:val="none"/>
                <w:lang w:val="en-US" w:eastAsia="zh-CN" w:bidi="ar"/>
              </w:rPr>
            </w:pPr>
            <w:r>
              <w:rPr>
                <w:rFonts w:hint="default" w:ascii="Times New Roman" w:hAnsi="Times New Roman" w:eastAsia="宋体" w:cs="Times New Roman"/>
                <w:i w:val="0"/>
                <w:iCs w:val="0"/>
                <w:color w:val="000000"/>
                <w:kern w:val="0"/>
                <w:sz w:val="20"/>
                <w:szCs w:val="20"/>
                <w:u w:val="none"/>
                <w:lang w:val="en-US" w:eastAsia="zh-CN" w:bidi="ar"/>
              </w:rPr>
              <w:t>酸性清洗剂，用于碳酸钙、铁盐、无机胶体，以及硫酸盐等难溶性无机盐</w:t>
            </w:r>
          </w:p>
        </w:tc>
      </w:tr>
      <w:tr w14:paraId="1864B0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trHeight w:val="454" w:hRule="atLeast"/>
          <w:jc w:val="center"/>
        </w:trPr>
        <w:tc>
          <w:tcPr>
            <w:tcW w:w="1277" w:type="pct"/>
            <w:noWrap w:val="0"/>
            <w:vAlign w:val="center"/>
          </w:tcPr>
          <w:p w14:paraId="4522E029">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kern w:val="0"/>
                <w:sz w:val="20"/>
                <w:szCs w:val="20"/>
                <w:u w:val="none"/>
                <w:lang w:val="en-US" w:eastAsia="zh-CN" w:bidi="ar"/>
              </w:rPr>
            </w:pPr>
            <w:r>
              <w:rPr>
                <w:rFonts w:hint="default" w:ascii="Times New Roman" w:hAnsi="Times New Roman" w:eastAsia="宋体" w:cs="Times New Roman"/>
                <w:i w:val="0"/>
                <w:iCs w:val="0"/>
                <w:color w:val="000000"/>
                <w:kern w:val="0"/>
                <w:sz w:val="20"/>
                <w:szCs w:val="20"/>
                <w:u w:val="none"/>
                <w:lang w:val="en-US" w:eastAsia="zh-CN" w:bidi="ar"/>
              </w:rPr>
              <w:t>清洗剂CP（碱性）</w:t>
            </w:r>
          </w:p>
        </w:tc>
        <w:tc>
          <w:tcPr>
            <w:tcW w:w="3722" w:type="pct"/>
            <w:noWrap w:val="0"/>
            <w:vAlign w:val="center"/>
          </w:tcPr>
          <w:p w14:paraId="10D3CAA8">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kern w:val="0"/>
                <w:sz w:val="20"/>
                <w:szCs w:val="20"/>
                <w:u w:val="none"/>
                <w:lang w:val="en-US" w:eastAsia="zh-CN" w:bidi="ar"/>
              </w:rPr>
            </w:pPr>
            <w:r>
              <w:rPr>
                <w:rFonts w:hint="default" w:ascii="Times New Roman" w:hAnsi="Times New Roman" w:eastAsia="宋体" w:cs="Times New Roman"/>
                <w:i w:val="0"/>
                <w:iCs w:val="0"/>
                <w:color w:val="000000"/>
                <w:kern w:val="0"/>
                <w:sz w:val="20"/>
                <w:szCs w:val="20"/>
                <w:u w:val="none"/>
                <w:lang w:val="en-US" w:eastAsia="zh-CN" w:bidi="ar"/>
              </w:rPr>
              <w:t>碱性清洗剂，用于脂肪、腐殖酸、有机物、胶体等</w:t>
            </w:r>
          </w:p>
        </w:tc>
      </w:tr>
    </w:tbl>
    <w:p w14:paraId="42D57489">
      <w:pPr>
        <w:pStyle w:val="22"/>
        <w:bidi w:val="0"/>
      </w:pPr>
      <w:r>
        <w:t>当DTRO膜通量下降时需进行化学清洗，化学清洗前需执行顶洗程序，以充分发挥化学清洗剂的清洗效果。清洗时阀门会自动切换将清洗液返回清洗罐中进行循环，直到充分清洗，清洗结束后，清洗液顶回调节池。清洗时间可以在操作界面上设定，一般为60~120分钟。</w:t>
      </w:r>
    </w:p>
    <w:p w14:paraId="518FB05E">
      <w:pPr>
        <w:pStyle w:val="22"/>
        <w:bidi w:val="0"/>
      </w:pPr>
      <w:r>
        <w:t>当膜系统透过液流量减少10%~15%或膜组件进出口压差超过允许的设定值时需进行清洗。</w:t>
      </w:r>
    </w:p>
    <w:p w14:paraId="7A35B932">
      <w:pPr>
        <w:pStyle w:val="22"/>
        <w:bidi w:val="0"/>
      </w:pPr>
      <w:r>
        <w:t>清洗周期</w:t>
      </w:r>
      <w:r>
        <w:rPr>
          <w:rFonts w:hint="eastAsia"/>
          <w:lang w:eastAsia="zh-CN"/>
        </w:rPr>
        <w:t>：</w:t>
      </w:r>
      <w:r>
        <w:t>当膜系统透过液流量减少到一定程度或膜组件进出口压差超过允许的设定值时需进行清洗，正常情况下清洗周期如下：</w:t>
      </w:r>
    </w:p>
    <w:p w14:paraId="5A9754D4">
      <w:pPr>
        <w:pStyle w:val="22"/>
        <w:bidi w:val="0"/>
      </w:pPr>
      <w:r>
        <w:t>碱洗：7-30天，pH=11~12，温度38℃</w:t>
      </w:r>
    </w:p>
    <w:p w14:paraId="6BF317CF">
      <w:pPr>
        <w:pStyle w:val="22"/>
        <w:bidi w:val="0"/>
      </w:pPr>
      <w:r>
        <w:t>酸洗：7-30天，pH=2~4，温度38℃</w:t>
      </w:r>
    </w:p>
    <w:p w14:paraId="6E243EA6">
      <w:pPr>
        <w:pStyle w:val="22"/>
        <w:bidi w:val="0"/>
      </w:pPr>
      <w:bookmarkStart w:id="81" w:name="_Toc185150591"/>
      <w:r>
        <w:rPr>
          <w:rFonts w:hint="eastAsia"/>
          <w:lang w:eastAsia="zh-CN"/>
        </w:rPr>
        <w:t>（</w:t>
      </w:r>
      <w:r>
        <w:rPr>
          <w:rFonts w:hint="eastAsia"/>
        </w:rPr>
        <w:t>1</w:t>
      </w:r>
      <w:r>
        <w:t>5）</w:t>
      </w:r>
      <w:r>
        <w:rPr>
          <w:rFonts w:hint="eastAsia"/>
        </w:rPr>
        <w:t>M</w:t>
      </w:r>
      <w:r>
        <w:t>VR</w:t>
      </w:r>
      <w:bookmarkStart w:id="82" w:name="OLE_LINK13"/>
      <w:r>
        <w:rPr>
          <w:rFonts w:hint="eastAsia"/>
        </w:rPr>
        <w:t>蒸发系统</w:t>
      </w:r>
      <w:bookmarkEnd w:id="81"/>
      <w:bookmarkEnd w:id="82"/>
    </w:p>
    <w:p w14:paraId="6E90B972">
      <w:pPr>
        <w:pStyle w:val="22"/>
        <w:bidi w:val="0"/>
      </w:pPr>
      <w:r>
        <w:t>MVR设备工作稳定、高效运行和经济适用的理念，经过能量、热量和功耗的计算，经过多次反复认真的研究，结合实际物料理化性质、进料量、沸点升高手和浓缩结晶等因素，确定了工艺系统采用强制循环+冷却结晶的形式。</w:t>
      </w:r>
    </w:p>
    <w:p w14:paraId="1613F4A7">
      <w:pPr>
        <w:pStyle w:val="22"/>
        <w:bidi w:val="0"/>
      </w:pPr>
      <w:r>
        <w:rPr>
          <w:rFonts w:hint="eastAsia"/>
          <w:lang w:val="en-US" w:eastAsia="zh-CN"/>
        </w:rPr>
        <w:t>项目</w:t>
      </w:r>
      <w:r>
        <w:t>采用的MVR蒸发技术己在国内外成熟应用，实践证明它是一种高效节能蒸发器，而且具有运行成本低，节能高效的显著特点。</w:t>
      </w:r>
    </w:p>
    <w:p w14:paraId="275B344E">
      <w:pPr>
        <w:pStyle w:val="25"/>
        <w:bidi w:val="0"/>
      </w:pPr>
      <w:r>
        <w:rPr>
          <w:rFonts w:hint="eastAsia"/>
        </w:rPr>
        <w:t>MVR系统技术规范</w:t>
      </w:r>
    </w:p>
    <w:tbl>
      <w:tblPr>
        <w:tblStyle w:val="11"/>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435"/>
        <w:gridCol w:w="5965"/>
      </w:tblGrid>
      <w:tr w14:paraId="19BF9CF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1827" w:type="pct"/>
            <w:noWrap w:val="0"/>
            <w:vAlign w:val="center"/>
          </w:tcPr>
          <w:p w14:paraId="4E73B081">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kern w:val="0"/>
                <w:sz w:val="20"/>
                <w:szCs w:val="20"/>
                <w:u w:val="none"/>
                <w:lang w:val="en-US" w:eastAsia="zh-CN" w:bidi="ar"/>
              </w:rPr>
            </w:pPr>
            <w:r>
              <w:rPr>
                <w:rFonts w:hint="eastAsia" w:ascii="Times New Roman" w:hAnsi="Times New Roman" w:eastAsia="宋体" w:cs="Times New Roman"/>
                <w:i w:val="0"/>
                <w:iCs w:val="0"/>
                <w:color w:val="000000"/>
                <w:kern w:val="0"/>
                <w:sz w:val="20"/>
                <w:szCs w:val="20"/>
                <w:u w:val="none"/>
                <w:lang w:val="en-US" w:eastAsia="zh-CN" w:bidi="ar"/>
              </w:rPr>
              <w:t>型号</w:t>
            </w:r>
          </w:p>
        </w:tc>
        <w:tc>
          <w:tcPr>
            <w:tcW w:w="3172" w:type="pct"/>
            <w:noWrap w:val="0"/>
            <w:vAlign w:val="center"/>
          </w:tcPr>
          <w:p w14:paraId="7F33D2FA">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kern w:val="0"/>
                <w:sz w:val="20"/>
                <w:szCs w:val="20"/>
                <w:u w:val="none"/>
                <w:lang w:val="en-US" w:eastAsia="zh-CN" w:bidi="ar"/>
              </w:rPr>
            </w:pPr>
            <w:r>
              <w:rPr>
                <w:rFonts w:hint="eastAsia" w:ascii="Times New Roman" w:hAnsi="Times New Roman" w:eastAsia="宋体" w:cs="Times New Roman"/>
                <w:i w:val="0"/>
                <w:iCs w:val="0"/>
                <w:color w:val="000000"/>
                <w:kern w:val="0"/>
                <w:sz w:val="20"/>
                <w:szCs w:val="20"/>
                <w:u w:val="none"/>
                <w:lang w:val="en-US" w:eastAsia="zh-CN" w:bidi="ar"/>
              </w:rPr>
              <w:t>R</w:t>
            </w:r>
            <w:r>
              <w:rPr>
                <w:rFonts w:hint="default" w:ascii="Times New Roman" w:hAnsi="Times New Roman" w:eastAsia="宋体" w:cs="Times New Roman"/>
                <w:i w:val="0"/>
                <w:iCs w:val="0"/>
                <w:color w:val="000000"/>
                <w:kern w:val="0"/>
                <w:sz w:val="20"/>
                <w:szCs w:val="20"/>
                <w:u w:val="none"/>
                <w:lang w:val="en-US" w:eastAsia="zh-CN" w:bidi="ar"/>
              </w:rPr>
              <w:t>HV25</w:t>
            </w:r>
          </w:p>
        </w:tc>
      </w:tr>
      <w:tr w14:paraId="5D3769F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1827" w:type="pct"/>
            <w:noWrap w:val="0"/>
            <w:vAlign w:val="center"/>
          </w:tcPr>
          <w:p w14:paraId="7D6FE82C">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kern w:val="0"/>
                <w:sz w:val="20"/>
                <w:szCs w:val="20"/>
                <w:u w:val="none"/>
                <w:lang w:val="en-US" w:eastAsia="zh-CN" w:bidi="ar"/>
              </w:rPr>
            </w:pPr>
            <w:r>
              <w:rPr>
                <w:rFonts w:hint="default" w:ascii="Times New Roman" w:hAnsi="Times New Roman" w:eastAsia="宋体" w:cs="Times New Roman"/>
                <w:i w:val="0"/>
                <w:iCs w:val="0"/>
                <w:color w:val="000000"/>
                <w:kern w:val="0"/>
                <w:sz w:val="20"/>
                <w:szCs w:val="20"/>
                <w:u w:val="none"/>
                <w:lang w:val="en-US" w:eastAsia="zh-CN" w:bidi="ar"/>
              </w:rPr>
              <w:t>数量</w:t>
            </w:r>
          </w:p>
        </w:tc>
        <w:tc>
          <w:tcPr>
            <w:tcW w:w="3172" w:type="pct"/>
            <w:noWrap w:val="0"/>
            <w:vAlign w:val="center"/>
          </w:tcPr>
          <w:p w14:paraId="310B84D9">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kern w:val="0"/>
                <w:sz w:val="20"/>
                <w:szCs w:val="20"/>
                <w:u w:val="none"/>
                <w:lang w:val="en-US" w:eastAsia="zh-CN" w:bidi="ar"/>
              </w:rPr>
            </w:pPr>
            <w:r>
              <w:rPr>
                <w:rFonts w:hint="default" w:ascii="Times New Roman" w:hAnsi="Times New Roman" w:eastAsia="宋体" w:cs="Times New Roman"/>
                <w:i w:val="0"/>
                <w:iCs w:val="0"/>
                <w:color w:val="000000"/>
                <w:kern w:val="0"/>
                <w:sz w:val="20"/>
                <w:szCs w:val="20"/>
                <w:u w:val="none"/>
                <w:lang w:val="en-US" w:eastAsia="zh-CN" w:bidi="ar"/>
              </w:rPr>
              <w:t>1套</w:t>
            </w:r>
          </w:p>
        </w:tc>
      </w:tr>
      <w:tr w14:paraId="1F50BEF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1827" w:type="pct"/>
            <w:noWrap w:val="0"/>
            <w:vAlign w:val="center"/>
          </w:tcPr>
          <w:p w14:paraId="6FBCDA38">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kern w:val="0"/>
                <w:sz w:val="20"/>
                <w:szCs w:val="20"/>
                <w:u w:val="none"/>
                <w:lang w:val="en-US" w:eastAsia="zh-CN" w:bidi="ar"/>
              </w:rPr>
            </w:pPr>
            <w:r>
              <w:rPr>
                <w:rFonts w:hint="default" w:ascii="Times New Roman" w:hAnsi="Times New Roman" w:eastAsia="宋体" w:cs="Times New Roman"/>
                <w:i w:val="0"/>
                <w:iCs w:val="0"/>
                <w:color w:val="000000"/>
                <w:kern w:val="0"/>
                <w:sz w:val="20"/>
                <w:szCs w:val="20"/>
                <w:u w:val="none"/>
                <w:lang w:val="en-US" w:eastAsia="zh-CN" w:bidi="ar"/>
              </w:rPr>
              <w:t>进料温度</w:t>
            </w:r>
            <w:r>
              <w:rPr>
                <w:rFonts w:hint="eastAsia" w:ascii="Times New Roman" w:hAnsi="Times New Roman" w:eastAsia="宋体" w:cs="Times New Roman"/>
                <w:i w:val="0"/>
                <w:iCs w:val="0"/>
                <w:color w:val="000000"/>
                <w:kern w:val="0"/>
                <w:sz w:val="20"/>
                <w:szCs w:val="20"/>
                <w:u w:val="none"/>
                <w:lang w:val="en-US" w:eastAsia="zh-CN" w:bidi="ar"/>
              </w:rPr>
              <w:t>℃</w:t>
            </w:r>
          </w:p>
        </w:tc>
        <w:tc>
          <w:tcPr>
            <w:tcW w:w="3172" w:type="pct"/>
            <w:noWrap w:val="0"/>
            <w:vAlign w:val="center"/>
          </w:tcPr>
          <w:p w14:paraId="19132D45">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kern w:val="0"/>
                <w:sz w:val="20"/>
                <w:szCs w:val="20"/>
                <w:u w:val="none"/>
                <w:lang w:val="en-US" w:eastAsia="zh-CN" w:bidi="ar"/>
              </w:rPr>
            </w:pPr>
            <w:r>
              <w:rPr>
                <w:rFonts w:hint="default" w:ascii="Times New Roman" w:hAnsi="Times New Roman" w:eastAsia="宋体" w:cs="Times New Roman"/>
                <w:i w:val="0"/>
                <w:iCs w:val="0"/>
                <w:color w:val="000000"/>
                <w:kern w:val="0"/>
                <w:sz w:val="20"/>
                <w:szCs w:val="20"/>
                <w:u w:val="none"/>
                <w:lang w:val="en-US" w:eastAsia="zh-CN" w:bidi="ar"/>
              </w:rPr>
              <w:t>常温</w:t>
            </w:r>
          </w:p>
        </w:tc>
      </w:tr>
    </w:tbl>
    <w:p w14:paraId="4F882C82">
      <w:pPr>
        <w:pStyle w:val="22"/>
        <w:bidi w:val="0"/>
      </w:pPr>
      <w:bookmarkStart w:id="83" w:name="_Toc3782"/>
      <w:bookmarkStart w:id="84" w:name="_Toc28235"/>
      <w:r>
        <w:t>MVR蒸发浓缩结晶系统的特点</w:t>
      </w:r>
      <w:bookmarkEnd w:id="83"/>
      <w:bookmarkEnd w:id="84"/>
      <w:r>
        <w:rPr>
          <w:rFonts w:hint="eastAsia"/>
          <w:lang w:eastAsia="zh-CN"/>
        </w:rPr>
        <w:t>：</w:t>
      </w:r>
      <w:r>
        <w:t>热效率高，节能环保；清洁能源：MVR用工业电源，故没有C02和S02的排放；采用强制循环的蒸发技术，具有换热效率高，能耗低的优点；运行成本低：是传统多效蒸发器运行成本的40%；自控精度高：采用工控机和PLC控制系统以及变频技术，实现无人值守；操作简单，设计理念新，能量达到最佳利用；设备占用面积小，节省空间。</w:t>
      </w:r>
    </w:p>
    <w:p w14:paraId="2DAFF5CA">
      <w:pPr>
        <w:pStyle w:val="22"/>
        <w:bidi w:val="0"/>
        <w:ind w:left="0" w:leftChars="0" w:firstLine="0" w:firstLineChars="0"/>
        <w:jc w:val="center"/>
      </w:pPr>
      <w:r>
        <w:drawing>
          <wp:inline distT="0" distB="0" distL="114300" distR="114300">
            <wp:extent cx="4540250" cy="2786380"/>
            <wp:effectExtent l="0" t="0" r="6350" b="7620"/>
            <wp:docPr id="72"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图片 33"/>
                    <pic:cNvPicPr>
                      <a:picLocks noChangeAspect="1"/>
                    </pic:cNvPicPr>
                  </pic:nvPicPr>
                  <pic:blipFill>
                    <a:blip r:embed="rId18"/>
                    <a:srcRect b="3076"/>
                    <a:stretch>
                      <a:fillRect/>
                    </a:stretch>
                  </pic:blipFill>
                  <pic:spPr>
                    <a:xfrm>
                      <a:off x="0" y="0"/>
                      <a:ext cx="4540250" cy="2786380"/>
                    </a:xfrm>
                    <a:prstGeom prst="rect">
                      <a:avLst/>
                    </a:prstGeom>
                    <a:noFill/>
                    <a:ln>
                      <a:noFill/>
                    </a:ln>
                  </pic:spPr>
                </pic:pic>
              </a:graphicData>
            </a:graphic>
          </wp:inline>
        </w:drawing>
      </w:r>
    </w:p>
    <w:p w14:paraId="1781F197">
      <w:pPr>
        <w:pStyle w:val="24"/>
        <w:bidi w:val="0"/>
      </w:pPr>
      <w:bookmarkStart w:id="85" w:name="_Toc12824"/>
      <w:r>
        <w:t>蒸发结晶系统流程方框图</w:t>
      </w:r>
      <w:bookmarkEnd w:id="85"/>
    </w:p>
    <w:p w14:paraId="5DB96859">
      <w:pPr>
        <w:pStyle w:val="22"/>
        <w:bidi w:val="0"/>
      </w:pPr>
      <w:r>
        <w:t>物料经预热器回收冷凝水热量，升高温度后，再经由加热器达到沸点后，进入强制循环蒸发系统蒸发浓缩，然后经出料泵把浓缩液排出。所有蒸发过程为一次过料形式，由于原液有机物过多，蒸发到后期可能出现有机物富集的情况，需要进行定期母液排放，进行委外处理。</w:t>
      </w:r>
    </w:p>
    <w:p w14:paraId="283C4E9D">
      <w:pPr>
        <w:pStyle w:val="22"/>
        <w:bidi w:val="0"/>
      </w:pPr>
      <w:bookmarkStart w:id="86" w:name="_Toc3412"/>
      <w:r>
        <w:t>蒸汽流程</w:t>
      </w:r>
      <w:bookmarkEnd w:id="86"/>
      <w:r>
        <w:rPr>
          <w:rFonts w:hint="eastAsia"/>
          <w:lang w:eastAsia="zh-CN"/>
        </w:rPr>
        <w:t>：</w:t>
      </w:r>
      <w:r>
        <w:t>蒸汽总管的生蒸汽直接进入强制循环蒸发器作为初始蒸发用的热源，分离器产生的二次蒸汽进入蒸汽压缩机，再压缩后返回蒸发器内，作为蒸发器的加热源。生蒸汽、二次再压缩蒸汽进入蒸发器放热后冷凝成冷凝水，冷凝水利用泵引入预热器对原料液进行预加热。以上冷凝水最终汇入冷凝水罐后，由泵排除或回用。</w:t>
      </w:r>
    </w:p>
    <w:p w14:paraId="04AFF95E">
      <w:pPr>
        <w:pStyle w:val="22"/>
        <w:bidi w:val="0"/>
      </w:pPr>
      <w:bookmarkStart w:id="87" w:name="_Toc23472"/>
      <w:r>
        <w:t>真空系统</w:t>
      </w:r>
      <w:bookmarkEnd w:id="87"/>
      <w:r>
        <w:rPr>
          <w:rFonts w:hint="eastAsia"/>
          <w:lang w:eastAsia="zh-CN"/>
        </w:rPr>
        <w:t>：</w:t>
      </w:r>
      <w:r>
        <w:t>采用真空负压操作，既提高了蒸发效率又降低了液相温度，从而在达到蒸发目的的同时改善设备使用环境，延长设备使用寿命。系统真空由蒸气压缩机提供，大部分工作液可循环使用，排出的部分可与冷凝水一起利用。</w:t>
      </w:r>
    </w:p>
    <w:p w14:paraId="673227E7">
      <w:pPr>
        <w:pStyle w:val="22"/>
        <w:bidi w:val="0"/>
      </w:pPr>
      <w:bookmarkStart w:id="88" w:name="_Toc15134"/>
      <w:r>
        <w:t>排空清洗阶段</w:t>
      </w:r>
      <w:bookmarkEnd w:id="88"/>
      <w:r>
        <w:rPr>
          <w:rFonts w:hint="eastAsia"/>
          <w:lang w:eastAsia="zh-CN"/>
        </w:rPr>
        <w:t>：</w:t>
      </w:r>
      <w:r>
        <w:t>MVR系统停止工作后，打开所有排空线路上的排空阀门，通入压力为0.2MPa（空压线路上设置了减压调节阀门），排气量为2立方米／分的压缩空气对系统进行排空，确保没有料液残留在容器和管道中。之后，将清洗液罐中配置好的清洗液（酸性除垢剂等成分），通过泵进入系统，启动启车预热程序，在蒸发系统自动启动前停止，再将清洗液排回清洗液罐中。一般情况下，遵循清水一清洗液一清水的原则，确保换热器换热管内壁、外壁和所有管道无残留物，同时保证压缩机组腔体的干燥，以保证换热器的换热效率和压缩机使用寿命。</w:t>
      </w:r>
    </w:p>
    <w:p w14:paraId="7B622BBC">
      <w:pPr>
        <w:pStyle w:val="22"/>
        <w:bidi w:val="0"/>
      </w:pPr>
      <w:bookmarkStart w:id="89" w:name="_Toc32449"/>
      <w:bookmarkStart w:id="90" w:name="_Toc2502"/>
      <w:bookmarkStart w:id="91" w:name="_Toc7759"/>
      <w:r>
        <w:rPr>
          <w:rFonts w:hint="eastAsia"/>
        </w:rPr>
        <w:t>蒸汽压缩机</w:t>
      </w:r>
      <w:bookmarkEnd w:id="89"/>
      <w:bookmarkEnd w:id="90"/>
      <w:bookmarkEnd w:id="91"/>
      <w:r>
        <w:rPr>
          <w:rFonts w:hint="eastAsia"/>
          <w:lang w:eastAsia="zh-CN"/>
        </w:rPr>
        <w:t>：</w:t>
      </w:r>
      <w:r>
        <w:t>蒸汽压缩机是MVR蒸发器的核心部件，它将MVR系统内的二次蒸汽进行再压缩，提升二次蒸汽的压力和温度，然后再进入蒸发器壳程加热物料，达到循环利用二次蒸汽的目的。</w:t>
      </w:r>
    </w:p>
    <w:p w14:paraId="30587448">
      <w:pPr>
        <w:pStyle w:val="22"/>
        <w:bidi w:val="0"/>
      </w:pPr>
      <w:bookmarkStart w:id="92" w:name="_Toc185150592"/>
      <w:r>
        <w:rPr>
          <w:rFonts w:hint="eastAsia"/>
          <w:lang w:eastAsia="zh-CN"/>
        </w:rPr>
        <w:t>（</w:t>
      </w:r>
      <w:r>
        <w:t>16）</w:t>
      </w:r>
      <w:r>
        <w:rPr>
          <w:rFonts w:hint="eastAsia"/>
        </w:rPr>
        <w:t>系统配套设施</w:t>
      </w:r>
      <w:bookmarkEnd w:id="79"/>
      <w:bookmarkEnd w:id="92"/>
    </w:p>
    <w:p w14:paraId="7827AB74">
      <w:pPr>
        <w:pStyle w:val="22"/>
        <w:bidi w:val="0"/>
      </w:pPr>
      <w:r>
        <w:rPr>
          <w:rFonts w:hint="eastAsia"/>
          <w:lang w:val="en-US" w:eastAsia="zh-CN"/>
        </w:rPr>
        <w:t xml:space="preserve">① </w:t>
      </w:r>
      <w:r>
        <w:t>化学清洗装置</w:t>
      </w:r>
    </w:p>
    <w:p w14:paraId="1E27ECB7">
      <w:pPr>
        <w:pStyle w:val="22"/>
        <w:bidi w:val="0"/>
      </w:pPr>
      <w:bookmarkStart w:id="93" w:name="_Toc469954475"/>
      <w:bookmarkStart w:id="94" w:name="_Toc469002318"/>
      <w:r>
        <w:rPr>
          <w:rFonts w:hint="eastAsia"/>
        </w:rPr>
        <w:t>两级</w:t>
      </w:r>
      <w:r>
        <w:t>RO共用一套清洗装置。清洗装置由清洗水箱、清洗水泵、电加热器、温控装置、清洗过滤器等组装而成</w:t>
      </w:r>
      <w:r>
        <w:rPr>
          <w:rFonts w:hint="eastAsia"/>
          <w:lang w:eastAsia="zh-CN"/>
        </w:rPr>
        <w:t>，</w:t>
      </w:r>
      <w:r>
        <w:t>用以满足</w:t>
      </w:r>
      <w:r>
        <w:rPr>
          <w:rFonts w:hint="eastAsia"/>
        </w:rPr>
        <w:t>两级</w:t>
      </w:r>
      <w:r>
        <w:t>RO装置的循环清洗及药剂的过滤</w:t>
      </w:r>
      <w:r>
        <w:rPr>
          <w:rFonts w:hint="eastAsia"/>
          <w:lang w:eastAsia="zh-CN"/>
        </w:rPr>
        <w:t>，</w:t>
      </w:r>
      <w:r>
        <w:t>满足单套RO一次清洗用的药剂量。</w:t>
      </w:r>
      <w:bookmarkEnd w:id="93"/>
      <w:bookmarkEnd w:id="94"/>
    </w:p>
    <w:p w14:paraId="62DFDC47">
      <w:pPr>
        <w:pStyle w:val="22"/>
        <w:bidi w:val="0"/>
      </w:pPr>
      <w:bookmarkStart w:id="95" w:name="_Toc469002319"/>
      <w:bookmarkStart w:id="96" w:name="_Toc469954476"/>
      <w:r>
        <w:t>设备规范：</w:t>
      </w:r>
      <w:bookmarkEnd w:id="95"/>
      <w:bookmarkEnd w:id="96"/>
    </w:p>
    <w:p w14:paraId="37B369AA">
      <w:pPr>
        <w:pStyle w:val="22"/>
        <w:bidi w:val="0"/>
      </w:pPr>
      <w:bookmarkStart w:id="97" w:name="_Toc469954477"/>
      <w:bookmarkStart w:id="98" w:name="_Toc469002320"/>
      <w:r>
        <w:t>型号：JS-1.5</w:t>
      </w:r>
      <w:bookmarkEnd w:id="97"/>
      <w:bookmarkEnd w:id="98"/>
    </w:p>
    <w:p w14:paraId="28E7799F">
      <w:pPr>
        <w:pStyle w:val="22"/>
        <w:bidi w:val="0"/>
      </w:pPr>
      <w:bookmarkStart w:id="99" w:name="_Toc469002323"/>
      <w:bookmarkStart w:id="100" w:name="_Toc469954480"/>
      <w:r>
        <w:t>数量：1套</w:t>
      </w:r>
      <w:bookmarkEnd w:id="99"/>
      <w:bookmarkEnd w:id="100"/>
    </w:p>
    <w:p w14:paraId="24832411">
      <w:pPr>
        <w:pStyle w:val="22"/>
        <w:bidi w:val="0"/>
      </w:pPr>
      <w:r>
        <w:t>技术标准：本清洗装置由清洗溶液箱、清洗清水泵、清洗过滤器、电加热器、温控装置组合框架、本体管道、手动阀门及附件等组成</w:t>
      </w:r>
      <w:r>
        <w:rPr>
          <w:rFonts w:hint="eastAsia"/>
          <w:lang w:eastAsia="zh-CN"/>
        </w:rPr>
        <w:t>，</w:t>
      </w:r>
      <w:r>
        <w:t>设备按标准进行设计、制造和试验</w:t>
      </w:r>
      <w:r>
        <w:rPr>
          <w:rFonts w:hint="eastAsia"/>
          <w:lang w:eastAsia="zh-CN"/>
        </w:rPr>
        <w:t>，</w:t>
      </w:r>
      <w:r>
        <w:t>所涉及的标准详见技术标准汇总表。所有组件均布置在一个机架上</w:t>
      </w:r>
      <w:r>
        <w:rPr>
          <w:rFonts w:hint="eastAsia"/>
          <w:lang w:eastAsia="zh-CN"/>
        </w:rPr>
        <w:t>，</w:t>
      </w:r>
      <w:r>
        <w:t>采用集中式框架结构</w:t>
      </w:r>
      <w:r>
        <w:rPr>
          <w:rFonts w:hint="eastAsia"/>
          <w:lang w:eastAsia="zh-CN"/>
        </w:rPr>
        <w:t>，</w:t>
      </w:r>
      <w:r>
        <w:t>单元供货</w:t>
      </w:r>
      <w:r>
        <w:rPr>
          <w:rFonts w:hint="eastAsia"/>
          <w:lang w:eastAsia="zh-CN"/>
        </w:rPr>
        <w:t>，</w:t>
      </w:r>
      <w:r>
        <w:t>连接口到机架。清洗溶液箱，所涉及的标准详见执行标准汇总表。清洗溶液箱制作完毕后作严密性的水压试验</w:t>
      </w:r>
      <w:r>
        <w:rPr>
          <w:rFonts w:hint="eastAsia"/>
          <w:lang w:eastAsia="zh-CN"/>
        </w:rPr>
        <w:t>，</w:t>
      </w:r>
      <w:r>
        <w:t>盛水时间不小于24小时</w:t>
      </w:r>
      <w:r>
        <w:rPr>
          <w:rFonts w:hint="eastAsia"/>
          <w:lang w:eastAsia="zh-CN"/>
        </w:rPr>
        <w:t>，</w:t>
      </w:r>
      <w:r>
        <w:t>不得有漏水及有异常变形现象。</w:t>
      </w:r>
      <w:bookmarkStart w:id="101" w:name="_Toc469954490"/>
      <w:bookmarkStart w:id="102" w:name="_Toc469002333"/>
      <w:r>
        <w:t>清洗溶液箱配有进水口、出液口、排污口、溢流口、清水回水口等。</w:t>
      </w:r>
      <w:bookmarkEnd w:id="101"/>
      <w:bookmarkEnd w:id="102"/>
      <w:r>
        <w:t>清洗溶液箱配有顶部人孔</w:t>
      </w:r>
      <w:r>
        <w:rPr>
          <w:rFonts w:hint="eastAsia"/>
          <w:lang w:eastAsia="zh-CN"/>
        </w:rPr>
        <w:t>，</w:t>
      </w:r>
      <w:r>
        <w:t>人孔盖</w:t>
      </w:r>
      <w:r>
        <w:rPr>
          <w:rFonts w:hint="eastAsia"/>
          <w:lang w:eastAsia="zh-CN"/>
        </w:rPr>
        <w:t>，</w:t>
      </w:r>
      <w:r>
        <w:t>温度控制器、电加热器、排污阀等全套附件。</w:t>
      </w:r>
      <w:bookmarkStart w:id="103" w:name="_Toc469002334"/>
      <w:bookmarkStart w:id="104" w:name="_Toc469954491"/>
      <w:r>
        <w:t>清洗过滤器</w:t>
      </w:r>
      <w:r>
        <w:rPr>
          <w:rFonts w:hint="eastAsia"/>
          <w:lang w:eastAsia="zh-CN"/>
        </w:rPr>
        <w:t>（</w:t>
      </w:r>
      <w:r>
        <w:t>以下简称过滤器</w:t>
      </w:r>
      <w:r>
        <w:rPr>
          <w:rFonts w:hint="eastAsia"/>
          <w:lang w:eastAsia="zh-CN"/>
        </w:rPr>
        <w:t>）</w:t>
      </w:r>
      <w:r>
        <w:t>为焊接不锈钢结构的圆柱形立式容器</w:t>
      </w:r>
      <w:r>
        <w:rPr>
          <w:rFonts w:hint="eastAsia"/>
          <w:lang w:eastAsia="zh-CN"/>
        </w:rPr>
        <w:t>，</w:t>
      </w:r>
      <w:r>
        <w:t>顶部和底部为椭圆型封头。</w:t>
      </w:r>
      <w:bookmarkEnd w:id="103"/>
      <w:bookmarkEnd w:id="104"/>
      <w:r>
        <w:t>过滤器制作完毕后</w:t>
      </w:r>
      <w:r>
        <w:rPr>
          <w:rFonts w:hint="eastAsia"/>
          <w:lang w:eastAsia="zh-CN"/>
        </w:rPr>
        <w:t>，</w:t>
      </w:r>
      <w:r>
        <w:t>设备内外进行抛光处理。</w:t>
      </w:r>
      <w:bookmarkStart w:id="105" w:name="_Toc469002335"/>
      <w:bookmarkStart w:id="106" w:name="_Toc469954492"/>
      <w:r>
        <w:t>过滤器内装滤元</w:t>
      </w:r>
      <w:r>
        <w:rPr>
          <w:rFonts w:hint="eastAsia"/>
          <w:lang w:eastAsia="zh-CN"/>
        </w:rPr>
        <w:t>，</w:t>
      </w:r>
      <w:r>
        <w:t>滤元为熔喷式滤元</w:t>
      </w:r>
      <w:r>
        <w:rPr>
          <w:rFonts w:hint="eastAsia"/>
          <w:lang w:eastAsia="zh-CN"/>
        </w:rPr>
        <w:t>，</w:t>
      </w:r>
      <w:r>
        <w:t>卡式结构</w:t>
      </w:r>
      <w:r>
        <w:rPr>
          <w:rFonts w:hint="eastAsia"/>
          <w:lang w:eastAsia="zh-CN"/>
        </w:rPr>
        <w:t>，</w:t>
      </w:r>
      <w:r>
        <w:t>滤元通过多孔板及卡式固定架固定在底部多孔板上</w:t>
      </w:r>
      <w:r>
        <w:rPr>
          <w:rFonts w:hint="eastAsia"/>
          <w:lang w:eastAsia="zh-CN"/>
        </w:rPr>
        <w:t>，</w:t>
      </w:r>
      <w:r>
        <w:t>滤元顶部设有三角压板及固定螺栓。</w:t>
      </w:r>
      <w:bookmarkEnd w:id="105"/>
      <w:bookmarkEnd w:id="106"/>
      <w:bookmarkStart w:id="107" w:name="_Toc469954493"/>
      <w:bookmarkStart w:id="108" w:name="_Toc469002336"/>
      <w:r>
        <w:t>过滤器装设配水装置、集水装置及其附件。配水装置进水管加设进水挡板结构</w:t>
      </w:r>
      <w:r>
        <w:rPr>
          <w:rFonts w:hint="eastAsia"/>
          <w:lang w:eastAsia="zh-CN"/>
        </w:rPr>
        <w:t>，</w:t>
      </w:r>
      <w:r>
        <w:t>出水装置采用多孔板及滤元固定架结构</w:t>
      </w:r>
      <w:r>
        <w:rPr>
          <w:rFonts w:hint="eastAsia"/>
          <w:lang w:eastAsia="zh-CN"/>
        </w:rPr>
        <w:t>，</w:t>
      </w:r>
      <w:r>
        <w:t>过滤器内部件除滤元外均为316L不锈钢材质。</w:t>
      </w:r>
      <w:bookmarkEnd w:id="107"/>
      <w:bookmarkEnd w:id="108"/>
      <w:bookmarkStart w:id="109" w:name="_Toc469002337"/>
      <w:bookmarkStart w:id="110" w:name="_Toc469954494"/>
      <w:r>
        <w:t>过滤器配套本体管道</w:t>
      </w:r>
      <w:r>
        <w:rPr>
          <w:rFonts w:hint="eastAsia"/>
          <w:lang w:eastAsia="zh-CN"/>
        </w:rPr>
        <w:t>（</w:t>
      </w:r>
      <w:r>
        <w:t>一次阀门前</w:t>
      </w:r>
      <w:r>
        <w:rPr>
          <w:rFonts w:hint="eastAsia"/>
          <w:lang w:eastAsia="zh-CN"/>
        </w:rPr>
        <w:t>）</w:t>
      </w:r>
      <w:r>
        <w:t>及一次阀门内管道</w:t>
      </w:r>
      <w:r>
        <w:rPr>
          <w:rFonts w:hint="eastAsia"/>
          <w:lang w:eastAsia="zh-CN"/>
        </w:rPr>
        <w:t>，</w:t>
      </w:r>
      <w:r>
        <w:t>进出水管道与过滤器间设有不锈钢固定支架。</w:t>
      </w:r>
      <w:bookmarkEnd w:id="109"/>
      <w:bookmarkEnd w:id="110"/>
      <w:bookmarkStart w:id="111" w:name="_Toc469954495"/>
      <w:bookmarkStart w:id="112" w:name="_Toc469002338"/>
      <w:r>
        <w:t>过滤器的上封头与筒体间由快开式联接</w:t>
      </w:r>
      <w:r>
        <w:rPr>
          <w:rFonts w:hint="eastAsia"/>
          <w:lang w:eastAsia="zh-CN"/>
        </w:rPr>
        <w:t>，</w:t>
      </w:r>
      <w:r>
        <w:t>封头及筒体间设有旋转起吊杆及其附件</w:t>
      </w:r>
      <w:r>
        <w:rPr>
          <w:rFonts w:hint="eastAsia"/>
          <w:lang w:eastAsia="zh-CN"/>
        </w:rPr>
        <w:t>，</w:t>
      </w:r>
      <w:r>
        <w:t>更换滤芯时可通过起吊杆的上、下、左、右移动分开联接法兰</w:t>
      </w:r>
      <w:r>
        <w:rPr>
          <w:rFonts w:hint="eastAsia"/>
          <w:lang w:eastAsia="zh-CN"/>
        </w:rPr>
        <w:t>，</w:t>
      </w:r>
      <w:r>
        <w:t>便于检修及滤元的更换。</w:t>
      </w:r>
      <w:bookmarkEnd w:id="111"/>
      <w:bookmarkEnd w:id="112"/>
      <w:r>
        <w:t>过滤器配有进出水压力仪表</w:t>
      </w:r>
      <w:r>
        <w:rPr>
          <w:rFonts w:hint="eastAsia"/>
          <w:lang w:eastAsia="zh-CN"/>
        </w:rPr>
        <w:t>，</w:t>
      </w:r>
      <w:r>
        <w:t>人工取样阀、排气阀及排污阀等全套附件。清洗装置设有检修平台及扶栏</w:t>
      </w:r>
      <w:r>
        <w:rPr>
          <w:rFonts w:hint="eastAsia"/>
          <w:lang w:eastAsia="zh-CN"/>
        </w:rPr>
        <w:t>，</w:t>
      </w:r>
      <w:r>
        <w:t>所有内部管道阀门均为1.0MPa的UPVC材料。清洗装置的内部件在工厂安装定位</w:t>
      </w:r>
      <w:r>
        <w:rPr>
          <w:rFonts w:hint="eastAsia"/>
          <w:lang w:eastAsia="zh-CN"/>
        </w:rPr>
        <w:t>，</w:t>
      </w:r>
      <w:r>
        <w:t>并提供正确、牢固的安全支撑</w:t>
      </w:r>
      <w:r>
        <w:rPr>
          <w:rFonts w:hint="eastAsia"/>
          <w:lang w:eastAsia="zh-CN"/>
        </w:rPr>
        <w:t>，</w:t>
      </w:r>
      <w:r>
        <w:t>以防止运输及搬运时的偏位、松动及损坏。</w:t>
      </w:r>
    </w:p>
    <w:p w14:paraId="710A5096">
      <w:pPr>
        <w:pStyle w:val="22"/>
        <w:bidi w:val="0"/>
        <w:rPr>
          <w:rFonts w:hint="eastAsia" w:eastAsia="宋体"/>
          <w:lang w:eastAsia="zh-CN"/>
        </w:rPr>
      </w:pPr>
      <w:r>
        <w:rPr>
          <w:rFonts w:hint="eastAsia"/>
          <w:lang w:val="en-US" w:eastAsia="zh-CN"/>
        </w:rPr>
        <w:t xml:space="preserve">② </w:t>
      </w:r>
      <w:r>
        <w:t>自动加酸系统</w:t>
      </w:r>
    </w:p>
    <w:p w14:paraId="11F8F5FF">
      <w:pPr>
        <w:pStyle w:val="22"/>
        <w:bidi w:val="0"/>
      </w:pPr>
      <w:r>
        <w:t>自动加酸系统用来向</w:t>
      </w:r>
      <w:r>
        <w:rPr>
          <w:rFonts w:hint="eastAsia"/>
        </w:rPr>
        <w:t>R</w:t>
      </w:r>
      <w:r>
        <w:t>O系统进水中投加盐酸溶液</w:t>
      </w:r>
      <w:r>
        <w:rPr>
          <w:rFonts w:hint="eastAsia"/>
          <w:lang w:eastAsia="zh-CN"/>
        </w:rPr>
        <w:t>，</w:t>
      </w:r>
      <w:r>
        <w:t>通过管道混合器混合</w:t>
      </w:r>
      <w:r>
        <w:rPr>
          <w:rFonts w:hint="eastAsia"/>
          <w:lang w:eastAsia="zh-CN"/>
        </w:rPr>
        <w:t>，</w:t>
      </w:r>
      <w:r>
        <w:t>与前级水进行充分混合</w:t>
      </w:r>
      <w:r>
        <w:rPr>
          <w:rFonts w:hint="eastAsia"/>
          <w:lang w:eastAsia="zh-CN"/>
        </w:rPr>
        <w:t>，</w:t>
      </w:r>
      <w:r>
        <w:t>以降低</w:t>
      </w:r>
      <w:r>
        <w:rPr>
          <w:rFonts w:hint="eastAsia"/>
        </w:rPr>
        <w:t>R</w:t>
      </w:r>
      <w:r>
        <w:t>O进水的PH值</w:t>
      </w:r>
      <w:r>
        <w:rPr>
          <w:rFonts w:hint="eastAsia"/>
          <w:lang w:eastAsia="zh-CN"/>
        </w:rPr>
        <w:t>，</w:t>
      </w:r>
      <w:r>
        <w:t>防止盐份过高时</w:t>
      </w:r>
      <w:r>
        <w:rPr>
          <w:rFonts w:hint="eastAsia"/>
        </w:rPr>
        <w:t>R</w:t>
      </w:r>
      <w:r>
        <w:t>O</w:t>
      </w:r>
      <w:r>
        <w:rPr>
          <w:rFonts w:hint="eastAsia"/>
        </w:rPr>
        <w:t>膜</w:t>
      </w:r>
      <w:r>
        <w:t>的结垢。</w:t>
      </w:r>
    </w:p>
    <w:p w14:paraId="2164142C">
      <w:pPr>
        <w:pStyle w:val="22"/>
        <w:bidi w:val="0"/>
        <w:rPr>
          <w:rFonts w:hint="eastAsia" w:eastAsia="宋体"/>
          <w:lang w:eastAsia="zh-CN"/>
        </w:rPr>
      </w:pPr>
      <w:r>
        <w:t>设备规范</w:t>
      </w:r>
      <w:r>
        <w:rPr>
          <w:rFonts w:hint="eastAsia"/>
          <w:lang w:eastAsia="zh-CN"/>
        </w:rPr>
        <w:t>：</w:t>
      </w:r>
    </w:p>
    <w:p w14:paraId="2A25A88E">
      <w:pPr>
        <w:pStyle w:val="22"/>
        <w:bidi w:val="0"/>
      </w:pPr>
      <w:r>
        <w:t>型号：JHY1/1-17/0.35</w:t>
      </w:r>
    </w:p>
    <w:p w14:paraId="3AC97350">
      <w:pPr>
        <w:pStyle w:val="22"/>
        <w:bidi w:val="0"/>
      </w:pPr>
      <w:r>
        <w:t>数量：1套</w:t>
      </w:r>
    </w:p>
    <w:p w14:paraId="71E72BD9">
      <w:pPr>
        <w:pStyle w:val="22"/>
        <w:bidi w:val="0"/>
      </w:pPr>
      <w:r>
        <w:t>技术标准</w:t>
      </w:r>
      <w:r>
        <w:rPr>
          <w:rFonts w:hint="eastAsia"/>
          <w:lang w:eastAsia="zh-CN"/>
        </w:rPr>
        <w:t>：</w:t>
      </w:r>
      <w:r>
        <w:t>本加药装置设有溶液箱</w:t>
      </w:r>
      <w:r>
        <w:rPr>
          <w:rFonts w:hint="eastAsia"/>
          <w:lang w:eastAsia="zh-CN"/>
        </w:rPr>
        <w:t>（</w:t>
      </w:r>
      <w:r>
        <w:t>溶液箱配套液位计</w:t>
      </w:r>
      <w:r>
        <w:rPr>
          <w:rFonts w:hint="eastAsia"/>
          <w:lang w:eastAsia="zh-CN"/>
        </w:rPr>
        <w:t>）</w:t>
      </w:r>
      <w:r>
        <w:t>、管式过滤器、计量泵、压力表、内连管道、手动阀门、底座等全套附件。所有组件均布置在加药箱上</w:t>
      </w:r>
      <w:r>
        <w:rPr>
          <w:rFonts w:hint="eastAsia"/>
          <w:lang w:eastAsia="zh-CN"/>
        </w:rPr>
        <w:t>，</w:t>
      </w:r>
      <w:r>
        <w:t>单元供货。溶液箱为直立圆筒形结构，上部带园盖。溶液箱配有出液口、排污口、液位开关接口、稀释水进口、进药口。计量泵为正排量形式</w:t>
      </w:r>
      <w:r>
        <w:rPr>
          <w:rFonts w:hint="eastAsia"/>
          <w:lang w:eastAsia="zh-CN"/>
        </w:rPr>
        <w:t>，</w:t>
      </w:r>
      <w:r>
        <w:t>可调节冲程。进口设有管式过滤器、出口装设多功能阀</w:t>
      </w:r>
      <w:r>
        <w:rPr>
          <w:rFonts w:hint="eastAsia"/>
          <w:lang w:eastAsia="zh-CN"/>
        </w:rPr>
        <w:t>，</w:t>
      </w:r>
      <w:r>
        <w:t>多功能阀具有防虹吸/背压、管路泄压、初始化及管路排污的功能。计量泵为电磁隔膜</w:t>
      </w:r>
      <w:r>
        <w:rPr>
          <w:rFonts w:hint="eastAsia"/>
          <w:lang w:eastAsia="zh-CN"/>
        </w:rPr>
        <w:t>，</w:t>
      </w:r>
      <w:r>
        <w:t>带液晶显示和四个触膜键</w:t>
      </w:r>
      <w:r>
        <w:rPr>
          <w:rFonts w:hint="eastAsia"/>
          <w:lang w:eastAsia="zh-CN"/>
        </w:rPr>
        <w:t>，</w:t>
      </w:r>
      <w:r>
        <w:t>流量可调节范围在10～100%。计量泵能对加药点的最高压力时输出全流量</w:t>
      </w:r>
      <w:r>
        <w:rPr>
          <w:rFonts w:hint="eastAsia"/>
          <w:lang w:eastAsia="zh-CN"/>
        </w:rPr>
        <w:t>，</w:t>
      </w:r>
      <w:r>
        <w:t>泵输出流量精度在总变化流量的1%以内</w:t>
      </w:r>
      <w:r>
        <w:rPr>
          <w:rFonts w:hint="eastAsia"/>
          <w:lang w:eastAsia="zh-CN"/>
        </w:rPr>
        <w:t>，</w:t>
      </w:r>
      <w:r>
        <w:t>滞后小于0.1秒。管式过滤器为PVC结构</w:t>
      </w:r>
      <w:r>
        <w:rPr>
          <w:rFonts w:hint="eastAsia"/>
          <w:lang w:eastAsia="zh-CN"/>
        </w:rPr>
        <w:t>，</w:t>
      </w:r>
      <w:r>
        <w:t>内部装有尼龙滤元</w:t>
      </w:r>
      <w:r>
        <w:rPr>
          <w:rFonts w:hint="eastAsia"/>
          <w:lang w:eastAsia="zh-CN"/>
        </w:rPr>
        <w:t>，</w:t>
      </w:r>
      <w:r>
        <w:t>缝隙0.3</w:t>
      </w:r>
      <w:r>
        <w:rPr>
          <w:rFonts w:hint="eastAsia"/>
          <w:lang w:eastAsia="zh-CN"/>
        </w:rPr>
        <w:t>（</w:t>
      </w:r>
      <w:r>
        <w:t>0.05mm</w:t>
      </w:r>
      <w:r>
        <w:rPr>
          <w:rFonts w:hint="eastAsia"/>
          <w:lang w:eastAsia="zh-CN"/>
        </w:rPr>
        <w:t>）</w:t>
      </w:r>
      <w:r>
        <w:t>。所有管道出口设有1套压力表</w:t>
      </w:r>
      <w:r>
        <w:rPr>
          <w:rFonts w:hint="eastAsia"/>
          <w:lang w:eastAsia="zh-CN"/>
        </w:rPr>
        <w:t>，</w:t>
      </w:r>
      <w:r>
        <w:t>可以显示加药点的压力。所有排放点通过漏斗接至一根总排水管上</w:t>
      </w:r>
      <w:r>
        <w:rPr>
          <w:rFonts w:hint="eastAsia"/>
          <w:lang w:eastAsia="zh-CN"/>
        </w:rPr>
        <w:t>，</w:t>
      </w:r>
      <w:r>
        <w:t>整个装置有一个总排水点。溶液箱设有液位开关</w:t>
      </w:r>
      <w:r>
        <w:rPr>
          <w:rFonts w:hint="eastAsia"/>
          <w:lang w:eastAsia="zh-CN"/>
        </w:rPr>
        <w:t>，</w:t>
      </w:r>
      <w:r>
        <w:t>具有开关量信号输出的功能。</w:t>
      </w:r>
    </w:p>
    <w:p w14:paraId="470D712D">
      <w:pPr>
        <w:pStyle w:val="22"/>
        <w:bidi w:val="0"/>
        <w:rPr>
          <w:rFonts w:hint="eastAsia" w:eastAsia="宋体"/>
          <w:lang w:eastAsia="zh-CN"/>
        </w:rPr>
      </w:pPr>
      <w:r>
        <w:rPr>
          <w:rFonts w:hint="eastAsia"/>
          <w:lang w:val="en-US" w:eastAsia="zh-CN"/>
        </w:rPr>
        <w:t xml:space="preserve">③ </w:t>
      </w:r>
      <w:r>
        <w:t>自动加碱系统</w:t>
      </w:r>
    </w:p>
    <w:p w14:paraId="7FD6A6B7">
      <w:pPr>
        <w:pStyle w:val="22"/>
        <w:bidi w:val="0"/>
      </w:pPr>
      <w:r>
        <w:t>自动加碱系统用来向硝化系统中投加氢氧化钠溶液</w:t>
      </w:r>
      <w:r>
        <w:rPr>
          <w:rFonts w:hint="eastAsia"/>
          <w:lang w:eastAsia="zh-CN"/>
        </w:rPr>
        <w:t>，</w:t>
      </w:r>
      <w:r>
        <w:t>以维持系统反硝化所需的碱度。</w:t>
      </w:r>
    </w:p>
    <w:p w14:paraId="4CB23CBE">
      <w:pPr>
        <w:pStyle w:val="22"/>
        <w:bidi w:val="0"/>
        <w:rPr>
          <w:rFonts w:hint="eastAsia" w:eastAsia="宋体"/>
          <w:lang w:eastAsia="zh-CN"/>
        </w:rPr>
      </w:pPr>
      <w:r>
        <w:t>设备规范</w:t>
      </w:r>
      <w:r>
        <w:rPr>
          <w:rFonts w:hint="eastAsia"/>
          <w:lang w:eastAsia="zh-CN"/>
        </w:rPr>
        <w:t>：</w:t>
      </w:r>
    </w:p>
    <w:p w14:paraId="2F488BC7">
      <w:pPr>
        <w:pStyle w:val="22"/>
        <w:bidi w:val="0"/>
      </w:pPr>
      <w:r>
        <w:t>型号：JOHY1/1-17/0.35</w:t>
      </w:r>
    </w:p>
    <w:p w14:paraId="5D753F01">
      <w:pPr>
        <w:pStyle w:val="22"/>
        <w:bidi w:val="0"/>
      </w:pPr>
      <w:r>
        <w:t>数量：1套</w:t>
      </w:r>
    </w:p>
    <w:p w14:paraId="438C61AD">
      <w:pPr>
        <w:pStyle w:val="22"/>
        <w:bidi w:val="0"/>
      </w:pPr>
      <w:r>
        <w:t>技术标准</w:t>
      </w:r>
      <w:r>
        <w:rPr>
          <w:rFonts w:hint="eastAsia"/>
          <w:lang w:eastAsia="zh-CN"/>
        </w:rPr>
        <w:t>：</w:t>
      </w:r>
      <w:r>
        <w:t>本加药装置设有溶液箱</w:t>
      </w:r>
      <w:r>
        <w:rPr>
          <w:rFonts w:hint="eastAsia"/>
          <w:lang w:eastAsia="zh-CN"/>
        </w:rPr>
        <w:t>（</w:t>
      </w:r>
      <w:r>
        <w:t>溶液箱配套液位计</w:t>
      </w:r>
      <w:r>
        <w:rPr>
          <w:rFonts w:hint="eastAsia"/>
          <w:lang w:eastAsia="zh-CN"/>
        </w:rPr>
        <w:t>）</w:t>
      </w:r>
      <w:r>
        <w:t>、管式过滤器、计量泵、压力表、内连管道、手动阀门、底座等全套附件。所有组件均布置在加药箱上</w:t>
      </w:r>
      <w:r>
        <w:rPr>
          <w:rFonts w:hint="eastAsia"/>
          <w:lang w:eastAsia="zh-CN"/>
        </w:rPr>
        <w:t>，</w:t>
      </w:r>
      <w:r>
        <w:t>单元供货。溶液箱为直立圆筒形结构，上部带园盖。溶液箱配有出液口、排污口、液位开关接口、稀释水进口、进药口。计量泵为正排量形式</w:t>
      </w:r>
      <w:r>
        <w:rPr>
          <w:rFonts w:hint="eastAsia"/>
          <w:lang w:eastAsia="zh-CN"/>
        </w:rPr>
        <w:t>，</w:t>
      </w:r>
      <w:r>
        <w:t>可调节冲程。进口设有管式过滤器、出口装设多功能阀</w:t>
      </w:r>
      <w:r>
        <w:rPr>
          <w:rFonts w:hint="eastAsia"/>
          <w:lang w:eastAsia="zh-CN"/>
        </w:rPr>
        <w:t>，</w:t>
      </w:r>
      <w:r>
        <w:t>多功能阀具有防虹吸/背压、管路泄压、初始化及管路排污的功能。计量泵为电磁隔膜</w:t>
      </w:r>
      <w:r>
        <w:rPr>
          <w:rFonts w:hint="eastAsia"/>
          <w:lang w:eastAsia="zh-CN"/>
        </w:rPr>
        <w:t>，</w:t>
      </w:r>
      <w:r>
        <w:t>带液晶显示和四个触膜键</w:t>
      </w:r>
      <w:r>
        <w:rPr>
          <w:rFonts w:hint="eastAsia"/>
          <w:lang w:eastAsia="zh-CN"/>
        </w:rPr>
        <w:t>，</w:t>
      </w:r>
      <w:r>
        <w:t>流量可调节范围在10～100%。计量泵能对加药点的最高压力时输出全流量</w:t>
      </w:r>
      <w:r>
        <w:rPr>
          <w:rFonts w:hint="eastAsia"/>
          <w:lang w:eastAsia="zh-CN"/>
        </w:rPr>
        <w:t>，</w:t>
      </w:r>
      <w:r>
        <w:t>泵输出流量精度在总变化流量的1%以内</w:t>
      </w:r>
      <w:r>
        <w:rPr>
          <w:rFonts w:hint="eastAsia"/>
          <w:lang w:eastAsia="zh-CN"/>
        </w:rPr>
        <w:t>，</w:t>
      </w:r>
      <w:r>
        <w:t>滞后小于0.1秒。管式过滤器为PVC结构</w:t>
      </w:r>
      <w:r>
        <w:rPr>
          <w:rFonts w:hint="eastAsia"/>
          <w:lang w:eastAsia="zh-CN"/>
        </w:rPr>
        <w:t>，</w:t>
      </w:r>
      <w:r>
        <w:t>内部装有尼龙滤元</w:t>
      </w:r>
      <w:r>
        <w:rPr>
          <w:rFonts w:hint="eastAsia"/>
          <w:lang w:eastAsia="zh-CN"/>
        </w:rPr>
        <w:t>，</w:t>
      </w:r>
      <w:r>
        <w:t>缝隙0.3</w:t>
      </w:r>
      <w:r>
        <w:rPr>
          <w:rFonts w:hint="eastAsia"/>
          <w:lang w:eastAsia="zh-CN"/>
        </w:rPr>
        <w:t>（</w:t>
      </w:r>
      <w:r>
        <w:t>0.05mm</w:t>
      </w:r>
      <w:r>
        <w:rPr>
          <w:rFonts w:hint="eastAsia"/>
          <w:lang w:eastAsia="zh-CN"/>
        </w:rPr>
        <w:t>）</w:t>
      </w:r>
      <w:r>
        <w:t>。所有管道出口设有1套压力表</w:t>
      </w:r>
      <w:r>
        <w:rPr>
          <w:rFonts w:hint="eastAsia"/>
          <w:lang w:eastAsia="zh-CN"/>
        </w:rPr>
        <w:t>，</w:t>
      </w:r>
      <w:r>
        <w:t>可以显示加药点的压力。所有排放点通过漏斗接至一根总排水管上</w:t>
      </w:r>
      <w:r>
        <w:rPr>
          <w:rFonts w:hint="eastAsia"/>
          <w:lang w:eastAsia="zh-CN"/>
        </w:rPr>
        <w:t>，</w:t>
      </w:r>
      <w:r>
        <w:t>整个装置有一个总排水点。溶液箱设有液位开关</w:t>
      </w:r>
      <w:r>
        <w:rPr>
          <w:rFonts w:hint="eastAsia"/>
          <w:lang w:eastAsia="zh-CN"/>
        </w:rPr>
        <w:t>，</w:t>
      </w:r>
      <w:r>
        <w:t>具有开关量信号输出的功能。</w:t>
      </w:r>
    </w:p>
    <w:p w14:paraId="50900078">
      <w:pPr>
        <w:pStyle w:val="22"/>
        <w:bidi w:val="0"/>
      </w:pPr>
      <w:r>
        <w:rPr>
          <w:rFonts w:hint="eastAsia"/>
          <w:lang w:val="en-US" w:eastAsia="zh-CN"/>
        </w:rPr>
        <w:t xml:space="preserve">④ </w:t>
      </w:r>
      <w:r>
        <w:t>浓水箱</w:t>
      </w:r>
    </w:p>
    <w:p w14:paraId="743AA18F">
      <w:pPr>
        <w:pStyle w:val="22"/>
        <w:bidi w:val="0"/>
      </w:pPr>
      <w:bookmarkStart w:id="113" w:name="_Toc469954498"/>
      <w:r>
        <w:t>浓水箱在工艺中用于</w:t>
      </w:r>
      <w:r>
        <w:rPr>
          <w:rFonts w:hint="eastAsia"/>
        </w:rPr>
        <w:t>一级</w:t>
      </w:r>
      <w:r>
        <w:t>反渗透浓水的储存。</w:t>
      </w:r>
      <w:bookmarkEnd w:id="113"/>
    </w:p>
    <w:p w14:paraId="001A6A09">
      <w:pPr>
        <w:pStyle w:val="22"/>
        <w:bidi w:val="0"/>
      </w:pPr>
      <w:bookmarkStart w:id="114" w:name="_Toc469954499"/>
      <w:r>
        <w:t>设备规范：</w:t>
      </w:r>
      <w:bookmarkEnd w:id="114"/>
    </w:p>
    <w:p w14:paraId="6E114AEC">
      <w:pPr>
        <w:pStyle w:val="22"/>
        <w:bidi w:val="0"/>
      </w:pPr>
      <w:r>
        <w:t>设备台数：</w:t>
      </w:r>
      <w:r>
        <w:tab/>
      </w:r>
      <w:r>
        <w:tab/>
      </w:r>
      <w:r>
        <w:tab/>
      </w:r>
      <w:r>
        <w:tab/>
      </w:r>
      <w:r>
        <w:t>1台</w:t>
      </w:r>
    </w:p>
    <w:p w14:paraId="39D03007">
      <w:pPr>
        <w:pStyle w:val="22"/>
        <w:bidi w:val="0"/>
      </w:pPr>
      <w:r>
        <w:t>设计压力：</w:t>
      </w:r>
      <w:r>
        <w:tab/>
      </w:r>
      <w:r>
        <w:tab/>
      </w:r>
      <w:r>
        <w:tab/>
      </w:r>
      <w:r>
        <w:tab/>
      </w:r>
      <w:r>
        <w:t>常压</w:t>
      </w:r>
    </w:p>
    <w:p w14:paraId="57054B08">
      <w:pPr>
        <w:pStyle w:val="22"/>
        <w:bidi w:val="0"/>
      </w:pPr>
      <w:bookmarkStart w:id="115" w:name="_Toc469954500"/>
      <w:r>
        <w:t>试验压力：</w:t>
      </w:r>
      <w:r>
        <w:tab/>
      </w:r>
      <w:r>
        <w:tab/>
      </w:r>
      <w:r>
        <w:tab/>
      </w:r>
      <w:r>
        <w:tab/>
      </w:r>
      <w:r>
        <w:t>24小时满水盛水试验</w:t>
      </w:r>
      <w:bookmarkEnd w:id="115"/>
    </w:p>
    <w:p w14:paraId="32E02A48">
      <w:pPr>
        <w:pStyle w:val="22"/>
        <w:bidi w:val="0"/>
      </w:pPr>
      <w:bookmarkStart w:id="116" w:name="_Toc469954501"/>
      <w:r>
        <w:t>工作温度：</w:t>
      </w:r>
      <w:r>
        <w:tab/>
      </w:r>
      <w:r>
        <w:tab/>
      </w:r>
      <w:r>
        <w:tab/>
      </w:r>
      <w:r>
        <w:tab/>
      </w:r>
      <w:r>
        <w:t>4-50</w:t>
      </w:r>
      <w:bookmarkEnd w:id="116"/>
      <w:r>
        <w:t>℃</w:t>
      </w:r>
    </w:p>
    <w:p w14:paraId="272196FA">
      <w:pPr>
        <w:pStyle w:val="22"/>
        <w:bidi w:val="0"/>
      </w:pPr>
      <w:bookmarkStart w:id="117" w:name="_Toc185150593"/>
      <w:bookmarkStart w:id="118" w:name="_Toc493099947"/>
      <w:r>
        <w:rPr>
          <w:rFonts w:hint="eastAsia"/>
          <w:lang w:eastAsia="zh-CN"/>
        </w:rPr>
        <w:t>（</w:t>
      </w:r>
      <w:r>
        <w:t>17）污泥池</w:t>
      </w:r>
      <w:bookmarkEnd w:id="117"/>
      <w:bookmarkEnd w:id="118"/>
    </w:p>
    <w:p w14:paraId="767DEDAF">
      <w:pPr>
        <w:pStyle w:val="22"/>
        <w:bidi w:val="0"/>
      </w:pPr>
      <w:r>
        <w:t>污泥池主要用于收集生化系统的剩余污泥，生化系统所排出的污泥经污泥池收集浓缩后，经污泥脱水机脱水后污泥外运，压滤液回调节池。</w:t>
      </w:r>
    </w:p>
    <w:p w14:paraId="460AE21B">
      <w:pPr>
        <w:pStyle w:val="22"/>
        <w:bidi w:val="0"/>
      </w:pPr>
      <w:r>
        <w:t>设计材质：钢</w:t>
      </w:r>
      <w:r>
        <w:rPr>
          <w:rFonts w:hint="eastAsia"/>
        </w:rPr>
        <w:t>砼</w:t>
      </w:r>
      <w:r>
        <w:t>结构</w:t>
      </w:r>
      <w:r>
        <w:rPr>
          <w:rFonts w:hint="eastAsia"/>
        </w:rPr>
        <w:t>（埋地）</w:t>
      </w:r>
    </w:p>
    <w:p w14:paraId="450C79E4">
      <w:pPr>
        <w:pStyle w:val="22"/>
        <w:bidi w:val="0"/>
        <w:rPr>
          <w:rFonts w:hint="eastAsia" w:eastAsia="宋体"/>
          <w:lang w:eastAsia="zh-CN"/>
        </w:rPr>
      </w:pPr>
      <w:r>
        <w:t>设计有效容积：30</w:t>
      </w:r>
      <w:r>
        <w:rPr>
          <w:rFonts w:hint="eastAsia"/>
          <w:lang w:eastAsia="zh-CN"/>
        </w:rPr>
        <w:t>m³</w:t>
      </w:r>
    </w:p>
    <w:p w14:paraId="7D428ADA">
      <w:pPr>
        <w:pStyle w:val="22"/>
        <w:bidi w:val="0"/>
      </w:pPr>
      <w:r>
        <w:t>设计有效水深：</w:t>
      </w:r>
      <w:r>
        <w:rPr>
          <w:rFonts w:hint="eastAsia"/>
        </w:rPr>
        <w:t>4.0</w:t>
      </w:r>
      <w:r>
        <w:t>m</w:t>
      </w:r>
    </w:p>
    <w:p w14:paraId="3C5E96DC">
      <w:pPr>
        <w:pStyle w:val="22"/>
        <w:bidi w:val="0"/>
      </w:pPr>
      <w:r>
        <w:t>数量：1座</w:t>
      </w:r>
    </w:p>
    <w:p w14:paraId="53220FED">
      <w:pPr>
        <w:pStyle w:val="22"/>
        <w:bidi w:val="0"/>
        <w:rPr>
          <w:rFonts w:hint="eastAsia" w:eastAsia="宋体"/>
          <w:lang w:eastAsia="zh-CN"/>
        </w:rPr>
      </w:pPr>
      <w:r>
        <w:t>配套提供</w:t>
      </w:r>
      <w:r>
        <w:rPr>
          <w:rFonts w:hint="eastAsia"/>
          <w:lang w:eastAsia="zh-CN"/>
        </w:rPr>
        <w:t>：</w:t>
      </w:r>
    </w:p>
    <w:p w14:paraId="328E4154">
      <w:pPr>
        <w:pStyle w:val="22"/>
        <w:bidi w:val="0"/>
      </w:pPr>
      <w:r>
        <w:rPr>
          <w:rFonts w:hint="eastAsia"/>
          <w:lang w:val="en-US" w:eastAsia="zh-CN"/>
        </w:rPr>
        <w:t xml:space="preserve">① </w:t>
      </w:r>
      <w:r>
        <w:t>污</w:t>
      </w:r>
      <w:r>
        <w:rPr>
          <w:rFonts w:hint="eastAsia"/>
        </w:rPr>
        <w:t>泥</w:t>
      </w:r>
      <w:r>
        <w:t>提升泵</w:t>
      </w:r>
    </w:p>
    <w:p w14:paraId="39F4A624">
      <w:pPr>
        <w:pStyle w:val="22"/>
        <w:bidi w:val="0"/>
      </w:pPr>
      <w:r>
        <w:t>数量：2台</w:t>
      </w:r>
      <w:r>
        <w:rPr>
          <w:rFonts w:hint="eastAsia"/>
        </w:rPr>
        <w:t>（1用1备）</w:t>
      </w:r>
    </w:p>
    <w:p w14:paraId="35DF3D5F">
      <w:pPr>
        <w:pStyle w:val="22"/>
        <w:bidi w:val="0"/>
      </w:pPr>
      <w:r>
        <w:t>输送介质：</w:t>
      </w:r>
      <w:r>
        <w:rPr>
          <w:rFonts w:hint="eastAsia"/>
        </w:rPr>
        <w:t>污泥</w:t>
      </w:r>
    </w:p>
    <w:p w14:paraId="4A13507A">
      <w:pPr>
        <w:pStyle w:val="22"/>
        <w:bidi w:val="0"/>
      </w:pPr>
      <w:r>
        <w:rPr>
          <w:rFonts w:hint="eastAsia"/>
          <w:lang w:val="en-US" w:eastAsia="zh-CN"/>
        </w:rPr>
        <w:t xml:space="preserve">② </w:t>
      </w:r>
      <w:r>
        <w:rPr>
          <w:rFonts w:hint="eastAsia"/>
        </w:rPr>
        <w:t>污泥脱水机</w:t>
      </w:r>
    </w:p>
    <w:p w14:paraId="455EA921">
      <w:pPr>
        <w:pStyle w:val="22"/>
        <w:bidi w:val="0"/>
      </w:pPr>
      <w:r>
        <w:rPr>
          <w:rFonts w:hint="eastAsia"/>
        </w:rPr>
        <w:t>数量：</w:t>
      </w:r>
      <w:r>
        <w:t>1</w:t>
      </w:r>
      <w:r>
        <w:rPr>
          <w:rFonts w:hint="eastAsia"/>
        </w:rPr>
        <w:t>台</w:t>
      </w:r>
    </w:p>
    <w:p w14:paraId="55B9EC81">
      <w:pPr>
        <w:pStyle w:val="22"/>
        <w:bidi w:val="0"/>
      </w:pPr>
      <w:bookmarkStart w:id="119" w:name="_Toc493099949"/>
      <w:bookmarkStart w:id="120" w:name="_Toc185150594"/>
      <w:r>
        <w:rPr>
          <w:rFonts w:hint="eastAsia"/>
          <w:lang w:eastAsia="zh-CN"/>
        </w:rPr>
        <w:t>（</w:t>
      </w:r>
      <w:r>
        <w:t>18</w:t>
      </w:r>
      <w:r>
        <w:rPr>
          <w:rFonts w:hint="eastAsia"/>
          <w:lang w:eastAsia="zh-CN"/>
        </w:rPr>
        <w:t>）</w:t>
      </w:r>
      <w:r>
        <w:t>清水池</w:t>
      </w:r>
      <w:bookmarkEnd w:id="119"/>
      <w:bookmarkEnd w:id="120"/>
    </w:p>
    <w:p w14:paraId="12FC0D72">
      <w:pPr>
        <w:pStyle w:val="22"/>
        <w:bidi w:val="0"/>
      </w:pPr>
      <w:r>
        <w:t>收集经垃圾渗滤液处理系统处理达标后的清水</w:t>
      </w:r>
    </w:p>
    <w:p w14:paraId="0880E9BD">
      <w:pPr>
        <w:pStyle w:val="22"/>
        <w:bidi w:val="0"/>
      </w:pPr>
      <w:r>
        <w:t>设计材质：钢</w:t>
      </w:r>
      <w:r>
        <w:rPr>
          <w:rFonts w:hint="eastAsia"/>
        </w:rPr>
        <w:t>砼</w:t>
      </w:r>
      <w:r>
        <w:t>结构</w:t>
      </w:r>
      <w:r>
        <w:rPr>
          <w:rFonts w:hint="eastAsia"/>
        </w:rPr>
        <w:t>（埋地）</w:t>
      </w:r>
    </w:p>
    <w:p w14:paraId="04CDC6A0">
      <w:pPr>
        <w:pStyle w:val="22"/>
        <w:bidi w:val="0"/>
        <w:rPr>
          <w:rFonts w:hint="eastAsia" w:eastAsia="宋体"/>
          <w:lang w:eastAsia="zh-CN"/>
        </w:rPr>
      </w:pPr>
      <w:r>
        <w:t>设计有效容积：7.5</w:t>
      </w:r>
      <w:r>
        <w:rPr>
          <w:rFonts w:hint="eastAsia"/>
          <w:lang w:eastAsia="zh-CN"/>
        </w:rPr>
        <w:t>m³</w:t>
      </w:r>
    </w:p>
    <w:p w14:paraId="21579352">
      <w:pPr>
        <w:pStyle w:val="22"/>
        <w:bidi w:val="0"/>
      </w:pPr>
      <w:r>
        <w:t>设计有效水深：2.5m</w:t>
      </w:r>
    </w:p>
    <w:p w14:paraId="79DECE64">
      <w:pPr>
        <w:pStyle w:val="22"/>
        <w:bidi w:val="0"/>
      </w:pPr>
      <w:r>
        <w:t>数量：1座</w:t>
      </w:r>
    </w:p>
    <w:p w14:paraId="382DFB35">
      <w:pPr>
        <w:pStyle w:val="22"/>
        <w:bidi w:val="0"/>
      </w:pPr>
      <w:r>
        <w:t>配套提供：清水排放泵</w:t>
      </w:r>
      <w:r>
        <w:rPr>
          <w:rFonts w:hint="eastAsia"/>
          <w:lang w:eastAsia="zh-CN"/>
        </w:rPr>
        <w:t>，</w:t>
      </w:r>
      <w:r>
        <w:t>用于清水池内达标水的</w:t>
      </w:r>
      <w:r>
        <w:rPr>
          <w:rFonts w:hint="eastAsia"/>
        </w:rPr>
        <w:t>排放</w:t>
      </w:r>
      <w:r>
        <w:t>。</w:t>
      </w:r>
    </w:p>
    <w:p w14:paraId="1D86A2DA">
      <w:pPr>
        <w:pStyle w:val="22"/>
        <w:bidi w:val="0"/>
      </w:pPr>
      <w:r>
        <w:t>数量：</w:t>
      </w:r>
      <w:r>
        <w:tab/>
      </w:r>
      <w:r>
        <w:tab/>
      </w:r>
      <w:r>
        <w:tab/>
      </w:r>
      <w:r>
        <w:t>2台（一用一备）</w:t>
      </w:r>
    </w:p>
    <w:p w14:paraId="2A3E6992">
      <w:pPr>
        <w:pStyle w:val="22"/>
        <w:bidi w:val="0"/>
      </w:pPr>
      <w:r>
        <w:t>电源：380V/50HZ</w:t>
      </w:r>
    </w:p>
    <w:p w14:paraId="4EFDE731">
      <w:pPr>
        <w:pStyle w:val="22"/>
        <w:bidi w:val="0"/>
        <w:rPr>
          <w:rFonts w:hint="eastAsia"/>
        </w:rPr>
      </w:pPr>
      <w:bookmarkStart w:id="121" w:name="_Toc186792602"/>
      <w:r>
        <w:rPr>
          <w:rFonts w:hint="eastAsia"/>
          <w:b/>
          <w:bCs/>
          <w:lang w:val="en-US" w:eastAsia="zh-CN"/>
        </w:rPr>
        <w:t>二、</w:t>
      </w:r>
      <w:r>
        <w:rPr>
          <w:rFonts w:hint="eastAsia"/>
          <w:b/>
          <w:bCs/>
        </w:rPr>
        <w:t>大件垃圾破碎区、垃圾压缩设备区</w:t>
      </w:r>
      <w:bookmarkEnd w:id="121"/>
    </w:p>
    <w:p w14:paraId="0CB7B888">
      <w:pPr>
        <w:pStyle w:val="22"/>
        <w:bidi w:val="0"/>
        <w:rPr>
          <w:rFonts w:hint="eastAsia" w:eastAsia="宋体"/>
          <w:lang w:eastAsia="zh-CN"/>
        </w:rPr>
      </w:pPr>
      <w:r>
        <w:rPr>
          <w:rFonts w:hint="eastAsia"/>
        </w:rPr>
        <w:t>设计规模总垃圾转运量为140吨/天。项目采用水平直压式压缩工艺，新建转运主体站房、门卫室、沉淀池及其他附属配套工程。配套除臭、除尘设备，污水收集、处理设备，中央监控、称重计量，大件垃圾破碎等设施设备。其中东部新区区域内的垃圾压滤液、渗滤液收集到该站点进行整合处理达标排放。大件垃圾破碎系统处理家具、树枝</w:t>
      </w:r>
      <w:r>
        <w:rPr>
          <w:rFonts w:hint="eastAsia"/>
          <w:lang w:eastAsia="zh-CN"/>
        </w:rPr>
        <w:t>等</w:t>
      </w:r>
      <w:r>
        <w:rPr>
          <w:rFonts w:hint="eastAsia"/>
        </w:rPr>
        <w:t>大型非纯铁器具日处理能力30吨</w:t>
      </w:r>
      <w:r>
        <w:rPr>
          <w:rFonts w:hint="eastAsia"/>
          <w:lang w:eastAsia="zh-CN"/>
        </w:rPr>
        <w:t>。</w:t>
      </w:r>
    </w:p>
    <w:p w14:paraId="6F5E564B">
      <w:pPr>
        <w:pStyle w:val="22"/>
        <w:bidi w:val="0"/>
        <w:rPr>
          <w:rFonts w:hint="eastAsia"/>
        </w:rPr>
      </w:pPr>
      <w:r>
        <w:rPr>
          <w:rFonts w:hint="eastAsia"/>
        </w:rPr>
        <w:t>在技术设计上遵循国家和地方的有关标准。按照相关的质量标准、试验程序、操作规范、安装验收规范来完成。如果标准规范与本技术规范有明显冲突时，以标准规范为准。如果标准规范之间有矛盾，以标准高的为准。出版时间以国家最新出版的标准为准。执行标准及名称如下：</w:t>
      </w:r>
    </w:p>
    <w:p w14:paraId="1D7EE119">
      <w:pPr>
        <w:pStyle w:val="22"/>
        <w:bidi w:val="0"/>
        <w:rPr>
          <w:rFonts w:hint="eastAsia"/>
        </w:rPr>
      </w:pPr>
      <w:r>
        <w:rPr>
          <w:rFonts w:hint="eastAsia"/>
          <w:lang w:val="en-US" w:eastAsia="zh-CN"/>
        </w:rPr>
        <w:t>1、</w:t>
      </w:r>
      <w:r>
        <w:rPr>
          <w:rFonts w:hint="eastAsia"/>
        </w:rPr>
        <w:t>设计、制造规范标准</w:t>
      </w:r>
    </w:p>
    <w:p w14:paraId="08F4617F">
      <w:pPr>
        <w:pStyle w:val="22"/>
        <w:bidi w:val="0"/>
        <w:rPr>
          <w:rFonts w:hint="eastAsia" w:eastAsia="宋体"/>
          <w:lang w:eastAsia="zh-CN"/>
        </w:rPr>
      </w:pPr>
      <w:r>
        <w:rPr>
          <w:rFonts w:hint="eastAsia"/>
        </w:rPr>
        <w:t>《工业企业卫生设计标准》</w:t>
      </w:r>
      <w:r>
        <w:rPr>
          <w:rFonts w:hint="eastAsia"/>
          <w:lang w:eastAsia="zh-CN"/>
        </w:rPr>
        <w:t>（</w:t>
      </w:r>
      <w:r>
        <w:t>TJ36-02</w:t>
      </w:r>
      <w:r>
        <w:rPr>
          <w:rFonts w:hint="eastAsia"/>
          <w:lang w:eastAsia="zh-CN"/>
        </w:rPr>
        <w:t>）；</w:t>
      </w:r>
    </w:p>
    <w:p w14:paraId="05A88B9D">
      <w:pPr>
        <w:pStyle w:val="22"/>
        <w:bidi w:val="0"/>
      </w:pPr>
      <w:r>
        <w:rPr>
          <w:rFonts w:hint="eastAsia"/>
        </w:rPr>
        <w:t>《液压元件通用技术条件》</w:t>
      </w:r>
      <w:r>
        <w:rPr>
          <w:rFonts w:hint="eastAsia"/>
          <w:lang w:eastAsia="zh-CN"/>
        </w:rPr>
        <w:t>（</w:t>
      </w:r>
      <w:r>
        <w:t>GB7935-05</w:t>
      </w:r>
      <w:r>
        <w:rPr>
          <w:rFonts w:hint="eastAsia"/>
          <w:lang w:eastAsia="zh-CN"/>
        </w:rPr>
        <w:t>）；</w:t>
      </w:r>
    </w:p>
    <w:p w14:paraId="11E90640">
      <w:pPr>
        <w:pStyle w:val="22"/>
        <w:bidi w:val="0"/>
      </w:pPr>
      <w:r>
        <w:rPr>
          <w:rFonts w:hint="eastAsia"/>
        </w:rPr>
        <w:t>《焊接质量保证：一般原则》</w:t>
      </w:r>
      <w:r>
        <w:rPr>
          <w:rFonts w:hint="eastAsia"/>
          <w:lang w:eastAsia="zh-CN"/>
        </w:rPr>
        <w:t>（</w:t>
      </w:r>
      <w:r>
        <w:t>GB12467-90</w:t>
      </w:r>
      <w:r>
        <w:rPr>
          <w:rFonts w:hint="eastAsia"/>
          <w:lang w:eastAsia="zh-CN"/>
        </w:rPr>
        <w:t>）；</w:t>
      </w:r>
    </w:p>
    <w:p w14:paraId="4302FBFD">
      <w:pPr>
        <w:pStyle w:val="22"/>
        <w:bidi w:val="0"/>
      </w:pPr>
      <w:r>
        <w:rPr>
          <w:rFonts w:hint="eastAsia"/>
        </w:rPr>
        <w:t>《居民区大气中有害物质的最高容许浓度》</w:t>
      </w:r>
      <w:r>
        <w:rPr>
          <w:rFonts w:hint="eastAsia"/>
          <w:lang w:eastAsia="zh-CN"/>
        </w:rPr>
        <w:t>（</w:t>
      </w:r>
      <w:r>
        <w:t>GJ36-79</w:t>
      </w:r>
      <w:r>
        <w:rPr>
          <w:rFonts w:hint="eastAsia"/>
          <w:lang w:eastAsia="zh-CN"/>
        </w:rPr>
        <w:t>）；</w:t>
      </w:r>
    </w:p>
    <w:p w14:paraId="6CD7AEE6">
      <w:pPr>
        <w:pStyle w:val="22"/>
        <w:bidi w:val="0"/>
      </w:pPr>
      <w:r>
        <w:rPr>
          <w:rFonts w:hint="eastAsia"/>
        </w:rPr>
        <w:t>《液压缸气缸内径及活塞杆外径尺寸系列标准》</w:t>
      </w:r>
      <w:r>
        <w:rPr>
          <w:rFonts w:hint="eastAsia"/>
          <w:lang w:eastAsia="zh-CN"/>
        </w:rPr>
        <w:t>（</w:t>
      </w:r>
      <w:r>
        <w:t>GB2348-93</w:t>
      </w:r>
      <w:r>
        <w:rPr>
          <w:rFonts w:hint="eastAsia"/>
          <w:lang w:eastAsia="zh-CN"/>
        </w:rPr>
        <w:t>）；</w:t>
      </w:r>
    </w:p>
    <w:p w14:paraId="26F2A0FB">
      <w:pPr>
        <w:pStyle w:val="22"/>
        <w:bidi w:val="0"/>
      </w:pPr>
      <w:r>
        <w:rPr>
          <w:rFonts w:hint="eastAsia"/>
        </w:rPr>
        <w:t>《液压缸气缸行程参数系列标准》</w:t>
      </w:r>
      <w:r>
        <w:rPr>
          <w:rFonts w:hint="eastAsia"/>
          <w:lang w:eastAsia="zh-CN"/>
        </w:rPr>
        <w:t>（</w:t>
      </w:r>
      <w:r>
        <w:t>GB2349-80</w:t>
      </w:r>
      <w:r>
        <w:rPr>
          <w:rFonts w:hint="eastAsia"/>
          <w:lang w:eastAsia="zh-CN"/>
        </w:rPr>
        <w:t>）；</w:t>
      </w:r>
    </w:p>
    <w:p w14:paraId="552413E9">
      <w:pPr>
        <w:pStyle w:val="22"/>
        <w:bidi w:val="0"/>
      </w:pPr>
      <w:r>
        <w:rPr>
          <w:rFonts w:hint="eastAsia"/>
        </w:rPr>
        <w:t>《机械和设备辐射的噪声、操作者位置噪声测量的基本准则》</w:t>
      </w:r>
      <w:r>
        <w:rPr>
          <w:rFonts w:hint="eastAsia"/>
          <w:lang w:eastAsia="zh-CN"/>
        </w:rPr>
        <w:t>（</w:t>
      </w:r>
      <w:r>
        <w:t>GB/T13325-91</w:t>
      </w:r>
      <w:r>
        <w:rPr>
          <w:rFonts w:hint="eastAsia"/>
          <w:lang w:eastAsia="zh-CN"/>
        </w:rPr>
        <w:t>）；</w:t>
      </w:r>
    </w:p>
    <w:p w14:paraId="31241D25">
      <w:pPr>
        <w:pStyle w:val="22"/>
        <w:bidi w:val="0"/>
      </w:pPr>
      <w:r>
        <w:rPr>
          <w:rFonts w:hint="eastAsia"/>
        </w:rPr>
        <w:t>《机械产品环境技术要求：工业腐蚀环境用》</w:t>
      </w:r>
      <w:r>
        <w:rPr>
          <w:rFonts w:hint="eastAsia"/>
          <w:lang w:eastAsia="zh-CN"/>
        </w:rPr>
        <w:t>（</w:t>
      </w:r>
      <w:r>
        <w:t>GB/T14093.4-93</w:t>
      </w:r>
      <w:r>
        <w:rPr>
          <w:rFonts w:hint="eastAsia"/>
          <w:lang w:eastAsia="zh-CN"/>
        </w:rPr>
        <w:t>）；</w:t>
      </w:r>
    </w:p>
    <w:p w14:paraId="13B25555">
      <w:pPr>
        <w:pStyle w:val="22"/>
        <w:bidi w:val="0"/>
      </w:pPr>
      <w:r>
        <w:rPr>
          <w:rFonts w:hint="eastAsia"/>
        </w:rPr>
        <w:t>《液压系列通用技术条件》</w:t>
      </w:r>
      <w:r>
        <w:rPr>
          <w:rFonts w:hint="eastAsia"/>
          <w:lang w:eastAsia="zh-CN"/>
        </w:rPr>
        <w:t>（</w:t>
      </w:r>
      <w:r>
        <w:t>GB/T3766-01</w:t>
      </w:r>
      <w:r>
        <w:rPr>
          <w:rFonts w:hint="eastAsia"/>
          <w:lang w:eastAsia="zh-CN"/>
        </w:rPr>
        <w:t>）；</w:t>
      </w:r>
    </w:p>
    <w:p w14:paraId="4BB990CD">
      <w:pPr>
        <w:pStyle w:val="22"/>
        <w:bidi w:val="0"/>
      </w:pPr>
      <w:r>
        <w:rPr>
          <w:rFonts w:hint="eastAsia"/>
        </w:rPr>
        <w:t>《液压缸气缸公称压力系列》</w:t>
      </w:r>
      <w:r>
        <w:rPr>
          <w:rFonts w:hint="eastAsia"/>
          <w:lang w:eastAsia="zh-CN"/>
        </w:rPr>
        <w:t>（</w:t>
      </w:r>
      <w:r>
        <w:t>GB7938-87</w:t>
      </w:r>
      <w:r>
        <w:rPr>
          <w:rFonts w:hint="eastAsia"/>
          <w:lang w:eastAsia="zh-CN"/>
        </w:rPr>
        <w:t>）；</w:t>
      </w:r>
    </w:p>
    <w:p w14:paraId="37F93CE2">
      <w:pPr>
        <w:pStyle w:val="22"/>
        <w:bidi w:val="0"/>
      </w:pPr>
      <w:r>
        <w:rPr>
          <w:rFonts w:hint="eastAsia"/>
        </w:rPr>
        <w:t>《焊接接头机械性能试验取样法》</w:t>
      </w:r>
      <w:r>
        <w:rPr>
          <w:rFonts w:hint="eastAsia"/>
          <w:lang w:eastAsia="zh-CN"/>
        </w:rPr>
        <w:t>（</w:t>
      </w:r>
      <w:r>
        <w:t>GB2649-89</w:t>
      </w:r>
      <w:r>
        <w:rPr>
          <w:rFonts w:hint="eastAsia"/>
          <w:lang w:eastAsia="zh-CN"/>
        </w:rPr>
        <w:t>）；</w:t>
      </w:r>
    </w:p>
    <w:p w14:paraId="29C332B9">
      <w:pPr>
        <w:pStyle w:val="22"/>
        <w:bidi w:val="0"/>
      </w:pPr>
      <w:r>
        <w:rPr>
          <w:rFonts w:hint="eastAsia"/>
        </w:rPr>
        <w:t>《工业机械电气设备：通用技术条件》</w:t>
      </w:r>
      <w:r>
        <w:rPr>
          <w:rFonts w:hint="eastAsia"/>
          <w:lang w:eastAsia="zh-CN"/>
        </w:rPr>
        <w:t>（</w:t>
      </w:r>
      <w:r>
        <w:t>GB/T5226.1-96</w:t>
      </w:r>
      <w:r>
        <w:rPr>
          <w:rFonts w:hint="eastAsia"/>
          <w:lang w:eastAsia="zh-CN"/>
        </w:rPr>
        <w:t>）；</w:t>
      </w:r>
    </w:p>
    <w:p w14:paraId="1DE61D3A">
      <w:pPr>
        <w:pStyle w:val="22"/>
        <w:bidi w:val="0"/>
      </w:pPr>
      <w:r>
        <w:rPr>
          <w:rFonts w:hint="eastAsia"/>
        </w:rPr>
        <w:t>《电工电子产品环境试验术语》</w:t>
      </w:r>
      <w:r>
        <w:rPr>
          <w:rFonts w:hint="eastAsia"/>
          <w:lang w:eastAsia="zh-CN"/>
        </w:rPr>
        <w:t>（</w:t>
      </w:r>
      <w:r>
        <w:t>GB2422-95</w:t>
      </w:r>
      <w:r>
        <w:rPr>
          <w:rFonts w:hint="eastAsia"/>
          <w:lang w:eastAsia="zh-CN"/>
        </w:rPr>
        <w:t>）；</w:t>
      </w:r>
    </w:p>
    <w:p w14:paraId="6340A12A">
      <w:pPr>
        <w:pStyle w:val="22"/>
        <w:bidi w:val="0"/>
      </w:pPr>
      <w:r>
        <w:rPr>
          <w:rFonts w:hint="eastAsia"/>
        </w:rPr>
        <w:t>《金属焊缝应符合的国标规定》</w:t>
      </w:r>
      <w:r>
        <w:rPr>
          <w:rFonts w:hint="eastAsia"/>
          <w:lang w:eastAsia="zh-CN"/>
        </w:rPr>
        <w:t>（</w:t>
      </w:r>
      <w:r>
        <w:t>GB985</w:t>
      </w:r>
      <w:r>
        <w:rPr>
          <w:rFonts w:hint="eastAsia"/>
        </w:rPr>
        <w:t>、</w:t>
      </w:r>
      <w:r>
        <w:t>GB986</w:t>
      </w:r>
      <w:r>
        <w:rPr>
          <w:rFonts w:hint="eastAsia"/>
          <w:lang w:eastAsia="zh-CN"/>
        </w:rPr>
        <w:t>）；</w:t>
      </w:r>
    </w:p>
    <w:p w14:paraId="34AC9400">
      <w:pPr>
        <w:pStyle w:val="22"/>
        <w:bidi w:val="0"/>
      </w:pPr>
      <w:r>
        <w:rPr>
          <w:rFonts w:hint="eastAsia"/>
        </w:rPr>
        <w:t>《塑料焊缝应符合的国标规定》</w:t>
      </w:r>
      <w:r>
        <w:rPr>
          <w:rFonts w:hint="eastAsia"/>
          <w:lang w:eastAsia="zh-CN"/>
        </w:rPr>
        <w:t>（</w:t>
      </w:r>
      <w:r>
        <w:t>GB/T 25197-2010</w:t>
      </w:r>
      <w:r>
        <w:rPr>
          <w:rFonts w:hint="eastAsia"/>
          <w:lang w:eastAsia="zh-CN"/>
        </w:rPr>
        <w:t>）。</w:t>
      </w:r>
    </w:p>
    <w:p w14:paraId="0B6DE9C2">
      <w:pPr>
        <w:pStyle w:val="22"/>
        <w:bidi w:val="0"/>
        <w:rPr>
          <w:rFonts w:hint="eastAsia"/>
        </w:rPr>
      </w:pPr>
      <w:r>
        <w:rPr>
          <w:rFonts w:hint="eastAsia"/>
        </w:rPr>
        <w:t>（</w:t>
      </w:r>
      <w:r>
        <w:rPr>
          <w:rFonts w:hint="eastAsia"/>
          <w:lang w:val="en-US" w:eastAsia="zh-CN"/>
        </w:rPr>
        <w:t>2</w:t>
      </w:r>
      <w:r>
        <w:rPr>
          <w:rFonts w:hint="eastAsia"/>
        </w:rPr>
        <w:t>）垃圾转运站环境控制标准</w:t>
      </w:r>
    </w:p>
    <w:p w14:paraId="5CA12E2F">
      <w:pPr>
        <w:pStyle w:val="22"/>
        <w:bidi w:val="0"/>
      </w:pPr>
      <w:r>
        <w:rPr>
          <w:rFonts w:hint="eastAsia"/>
        </w:rPr>
        <w:t>《环境空气质量标准》</w:t>
      </w:r>
      <w:r>
        <w:rPr>
          <w:rFonts w:hint="eastAsia"/>
          <w:lang w:eastAsia="zh-CN"/>
        </w:rPr>
        <w:t>（</w:t>
      </w:r>
      <w:r>
        <w:t>GB3095-1996</w:t>
      </w:r>
      <w:r>
        <w:rPr>
          <w:rFonts w:hint="eastAsia"/>
          <w:lang w:eastAsia="zh-CN"/>
        </w:rPr>
        <w:t>）；</w:t>
      </w:r>
    </w:p>
    <w:p w14:paraId="7943B590">
      <w:pPr>
        <w:pStyle w:val="22"/>
        <w:bidi w:val="0"/>
      </w:pPr>
      <w:r>
        <w:rPr>
          <w:rFonts w:hint="eastAsia"/>
        </w:rPr>
        <w:t>《城市区域环境噪声标准》</w:t>
      </w:r>
      <w:r>
        <w:rPr>
          <w:rFonts w:hint="eastAsia"/>
          <w:lang w:eastAsia="zh-CN"/>
        </w:rPr>
        <w:t>（</w:t>
      </w:r>
      <w:r>
        <w:t>GB3086-93</w:t>
      </w:r>
      <w:r>
        <w:rPr>
          <w:rFonts w:hint="eastAsia"/>
          <w:lang w:eastAsia="zh-CN"/>
        </w:rPr>
        <w:t>）；</w:t>
      </w:r>
    </w:p>
    <w:p w14:paraId="7189BD94">
      <w:pPr>
        <w:pStyle w:val="22"/>
        <w:bidi w:val="0"/>
      </w:pPr>
      <w:r>
        <w:rPr>
          <w:rFonts w:hint="eastAsia"/>
        </w:rPr>
        <w:t>《恶臭污染物排放标准》</w:t>
      </w:r>
      <w:r>
        <w:rPr>
          <w:rFonts w:hint="eastAsia"/>
          <w:lang w:eastAsia="zh-CN"/>
        </w:rPr>
        <w:t>（</w:t>
      </w:r>
      <w:r>
        <w:t>GB14554-93</w:t>
      </w:r>
      <w:r>
        <w:rPr>
          <w:rFonts w:hint="eastAsia"/>
          <w:lang w:eastAsia="zh-CN"/>
        </w:rPr>
        <w:t>）；</w:t>
      </w:r>
    </w:p>
    <w:p w14:paraId="1B3317EE">
      <w:pPr>
        <w:pStyle w:val="22"/>
        <w:bidi w:val="0"/>
      </w:pPr>
      <w:r>
        <w:rPr>
          <w:rFonts w:hint="eastAsia"/>
        </w:rPr>
        <w:t>《工业企业厂界噪声标准》</w:t>
      </w:r>
      <w:r>
        <w:rPr>
          <w:rFonts w:hint="eastAsia"/>
          <w:lang w:eastAsia="zh-CN"/>
        </w:rPr>
        <w:t>（</w:t>
      </w:r>
      <w:r>
        <w:t>GB12348-90</w:t>
      </w:r>
      <w:r>
        <w:rPr>
          <w:rFonts w:hint="eastAsia"/>
          <w:lang w:eastAsia="zh-CN"/>
        </w:rPr>
        <w:t>）。</w:t>
      </w:r>
    </w:p>
    <w:p w14:paraId="35318768">
      <w:pPr>
        <w:pStyle w:val="22"/>
        <w:bidi w:val="0"/>
        <w:rPr>
          <w:rFonts w:hint="eastAsia"/>
        </w:rPr>
      </w:pPr>
      <w:r>
        <w:rPr>
          <w:rFonts w:hint="eastAsia"/>
          <w:lang w:val="en-US" w:eastAsia="zh-CN"/>
        </w:rPr>
        <w:t>2、</w:t>
      </w:r>
      <w:r>
        <w:rPr>
          <w:rFonts w:hint="eastAsia"/>
        </w:rPr>
        <w:t>其他参照的标准</w:t>
      </w:r>
    </w:p>
    <w:p w14:paraId="59821AA5">
      <w:pPr>
        <w:pStyle w:val="22"/>
        <w:bidi w:val="0"/>
        <w:rPr>
          <w:rFonts w:hint="eastAsia"/>
          <w:lang w:eastAsia="zh-CN"/>
        </w:rPr>
      </w:pPr>
      <w:r>
        <w:rPr>
          <w:rFonts w:hint="eastAsia"/>
        </w:rPr>
        <w:t>《工程建设标准强制性条文》</w:t>
      </w:r>
      <w:r>
        <w:rPr>
          <w:rFonts w:hint="eastAsia"/>
          <w:lang w:eastAsia="zh-CN"/>
        </w:rPr>
        <w:t>（</w:t>
      </w:r>
      <w:r>
        <w:rPr>
          <w:rFonts w:hint="eastAsia"/>
        </w:rPr>
        <w:t>城市建设部分</w:t>
      </w:r>
      <w:r>
        <w:rPr>
          <w:rFonts w:hint="eastAsia"/>
          <w:lang w:eastAsia="zh-CN"/>
        </w:rPr>
        <w:t>）（</w:t>
      </w:r>
      <w:r>
        <w:t>2002</w:t>
      </w:r>
      <w:r>
        <w:rPr>
          <w:rFonts w:hint="eastAsia"/>
        </w:rPr>
        <w:t>版</w:t>
      </w:r>
      <w:r>
        <w:rPr>
          <w:rFonts w:hint="eastAsia"/>
          <w:lang w:eastAsia="zh-CN"/>
        </w:rPr>
        <w:t>）；</w:t>
      </w:r>
    </w:p>
    <w:p w14:paraId="220EB547">
      <w:pPr>
        <w:pStyle w:val="22"/>
        <w:bidi w:val="0"/>
        <w:rPr>
          <w:rFonts w:hint="eastAsia" w:eastAsia="宋体"/>
          <w:lang w:eastAsia="zh-CN"/>
        </w:rPr>
      </w:pPr>
      <w:r>
        <w:rPr>
          <w:rFonts w:hint="eastAsia"/>
        </w:rPr>
        <w:t>《市政公用工程设计文件编制深度规定》建设部</w:t>
      </w:r>
      <w:r>
        <w:t>2004.03</w:t>
      </w:r>
      <w:r>
        <w:rPr>
          <w:rFonts w:hint="eastAsia"/>
          <w:lang w:eastAsia="zh-CN"/>
        </w:rPr>
        <w:t>；</w:t>
      </w:r>
    </w:p>
    <w:p w14:paraId="73D4293E">
      <w:pPr>
        <w:pStyle w:val="22"/>
        <w:bidi w:val="0"/>
        <w:rPr>
          <w:rFonts w:hint="eastAsia"/>
          <w:lang w:eastAsia="zh-CN"/>
        </w:rPr>
      </w:pPr>
      <w:r>
        <w:rPr>
          <w:rFonts w:hint="eastAsia"/>
        </w:rPr>
        <w:t>《城市生活垃圾分类及其评价标准》</w:t>
      </w:r>
      <w:r>
        <w:rPr>
          <w:rFonts w:hint="eastAsia"/>
          <w:lang w:eastAsia="zh-CN"/>
        </w:rPr>
        <w:t>（</w:t>
      </w:r>
      <w:r>
        <w:t>CJJ/T 102—2004</w:t>
      </w:r>
      <w:r>
        <w:rPr>
          <w:rFonts w:hint="eastAsia"/>
          <w:lang w:eastAsia="zh-CN"/>
        </w:rPr>
        <w:t>）；</w:t>
      </w:r>
    </w:p>
    <w:p w14:paraId="5774E0DC">
      <w:pPr>
        <w:pStyle w:val="22"/>
        <w:bidi w:val="0"/>
        <w:rPr>
          <w:rFonts w:hint="eastAsia"/>
          <w:lang w:eastAsia="zh-CN"/>
        </w:rPr>
      </w:pPr>
      <w:r>
        <w:rPr>
          <w:rFonts w:hint="eastAsia"/>
        </w:rPr>
        <w:t>《一般工业固体废物贮存、处置场污染控制标准》</w:t>
      </w:r>
      <w:r>
        <w:rPr>
          <w:rFonts w:hint="eastAsia"/>
          <w:lang w:eastAsia="zh-CN"/>
        </w:rPr>
        <w:t>（</w:t>
      </w:r>
      <w:r>
        <w:t>GB18599-2001</w:t>
      </w:r>
      <w:r>
        <w:rPr>
          <w:rFonts w:hint="eastAsia"/>
          <w:lang w:eastAsia="zh-CN"/>
        </w:rPr>
        <w:t>）；</w:t>
      </w:r>
    </w:p>
    <w:p w14:paraId="3E5D43E9">
      <w:pPr>
        <w:pStyle w:val="22"/>
        <w:bidi w:val="0"/>
        <w:rPr>
          <w:rFonts w:hint="eastAsia"/>
          <w:lang w:eastAsia="zh-CN"/>
        </w:rPr>
      </w:pPr>
      <w:r>
        <w:rPr>
          <w:rFonts w:hint="eastAsia"/>
        </w:rPr>
        <w:t>《城市环境卫生设施规划规范》</w:t>
      </w:r>
      <w:r>
        <w:rPr>
          <w:rFonts w:hint="eastAsia"/>
          <w:lang w:eastAsia="zh-CN"/>
        </w:rPr>
        <w:t>（</w:t>
      </w:r>
      <w:r>
        <w:t>GB50337-2003</w:t>
      </w:r>
      <w:r>
        <w:rPr>
          <w:rFonts w:hint="eastAsia"/>
          <w:lang w:eastAsia="zh-CN"/>
        </w:rPr>
        <w:t>）；</w:t>
      </w:r>
    </w:p>
    <w:p w14:paraId="7CB91FB6">
      <w:pPr>
        <w:pStyle w:val="22"/>
        <w:bidi w:val="0"/>
        <w:rPr>
          <w:rFonts w:hint="eastAsia"/>
          <w:lang w:eastAsia="zh-CN"/>
        </w:rPr>
      </w:pPr>
      <w:r>
        <w:rPr>
          <w:rFonts w:hint="eastAsia"/>
        </w:rPr>
        <w:t>《生活垃圾卫生填埋技术规范》</w:t>
      </w:r>
      <w:r>
        <w:rPr>
          <w:rFonts w:hint="eastAsia"/>
          <w:lang w:eastAsia="zh-CN"/>
        </w:rPr>
        <w:t>（</w:t>
      </w:r>
      <w:r>
        <w:t>CJJ 17-2004</w:t>
      </w:r>
      <w:r>
        <w:rPr>
          <w:rFonts w:hint="eastAsia"/>
          <w:lang w:eastAsia="zh-CN"/>
        </w:rPr>
        <w:t>）；</w:t>
      </w:r>
    </w:p>
    <w:p w14:paraId="093EA183">
      <w:pPr>
        <w:pStyle w:val="22"/>
        <w:bidi w:val="0"/>
        <w:rPr>
          <w:rFonts w:hint="eastAsia"/>
          <w:lang w:eastAsia="zh-CN"/>
        </w:rPr>
      </w:pPr>
      <w:r>
        <w:rPr>
          <w:rFonts w:hint="eastAsia"/>
        </w:rPr>
        <w:t>《生活垃圾转运站技术规范》</w:t>
      </w:r>
      <w:r>
        <w:rPr>
          <w:rFonts w:hint="eastAsia"/>
          <w:lang w:eastAsia="zh-CN"/>
        </w:rPr>
        <w:t>（</w:t>
      </w:r>
      <w:r>
        <w:t>CJJ47-2006</w:t>
      </w:r>
      <w:r>
        <w:rPr>
          <w:rFonts w:hint="eastAsia"/>
          <w:lang w:eastAsia="zh-CN"/>
        </w:rPr>
        <w:t>）；</w:t>
      </w:r>
    </w:p>
    <w:p w14:paraId="62E41BF6">
      <w:pPr>
        <w:pStyle w:val="22"/>
        <w:bidi w:val="0"/>
        <w:rPr>
          <w:rFonts w:hint="eastAsia"/>
          <w:lang w:eastAsia="zh-CN"/>
        </w:rPr>
      </w:pPr>
      <w:r>
        <w:rPr>
          <w:rFonts w:hint="eastAsia"/>
        </w:rPr>
        <w:t>《生活垃圾转运站运行维护技术规程》</w:t>
      </w:r>
      <w:r>
        <w:rPr>
          <w:rFonts w:hint="eastAsia"/>
          <w:lang w:eastAsia="zh-CN"/>
        </w:rPr>
        <w:t>（</w:t>
      </w:r>
      <w:r>
        <w:t>CJJ109-2006</w:t>
      </w:r>
      <w:r>
        <w:rPr>
          <w:rFonts w:hint="eastAsia"/>
          <w:lang w:eastAsia="zh-CN"/>
        </w:rPr>
        <w:t>）；</w:t>
      </w:r>
    </w:p>
    <w:p w14:paraId="561C9D0D">
      <w:pPr>
        <w:pStyle w:val="22"/>
        <w:bidi w:val="0"/>
        <w:rPr>
          <w:rFonts w:hint="eastAsia"/>
          <w:lang w:eastAsia="zh-CN"/>
        </w:rPr>
      </w:pPr>
      <w:r>
        <w:rPr>
          <w:rFonts w:hint="eastAsia"/>
        </w:rPr>
        <w:t>《建筑给水排水设计规范》</w:t>
      </w:r>
      <w:r>
        <w:rPr>
          <w:rFonts w:hint="eastAsia"/>
          <w:lang w:eastAsia="zh-CN"/>
        </w:rPr>
        <w:t>（</w:t>
      </w:r>
      <w:r>
        <w:t>GB 50015-2003</w:t>
      </w:r>
      <w:r>
        <w:rPr>
          <w:rFonts w:hint="eastAsia"/>
          <w:lang w:eastAsia="zh-CN"/>
        </w:rPr>
        <w:t>）（</w:t>
      </w:r>
      <w:r>
        <w:t>2009</w:t>
      </w:r>
      <w:r>
        <w:rPr>
          <w:rFonts w:hint="eastAsia"/>
        </w:rPr>
        <w:t>年版</w:t>
      </w:r>
      <w:r>
        <w:rPr>
          <w:rFonts w:hint="eastAsia"/>
          <w:lang w:eastAsia="zh-CN"/>
        </w:rPr>
        <w:t>）；</w:t>
      </w:r>
    </w:p>
    <w:p w14:paraId="161F46FA">
      <w:pPr>
        <w:pStyle w:val="22"/>
        <w:bidi w:val="0"/>
        <w:rPr>
          <w:rFonts w:hint="eastAsia"/>
          <w:lang w:eastAsia="zh-CN"/>
        </w:rPr>
      </w:pPr>
      <w:r>
        <w:rPr>
          <w:rFonts w:hint="eastAsia"/>
        </w:rPr>
        <w:t>《污水综合排放标准》</w:t>
      </w:r>
      <w:r>
        <w:rPr>
          <w:rFonts w:hint="eastAsia"/>
          <w:lang w:eastAsia="zh-CN"/>
        </w:rPr>
        <w:t>（</w:t>
      </w:r>
      <w:r>
        <w:t>GB 8978-1996</w:t>
      </w:r>
      <w:r>
        <w:rPr>
          <w:rFonts w:hint="eastAsia"/>
          <w:lang w:eastAsia="zh-CN"/>
        </w:rPr>
        <w:t>）；</w:t>
      </w:r>
    </w:p>
    <w:p w14:paraId="1F5F8C87">
      <w:pPr>
        <w:pStyle w:val="22"/>
        <w:bidi w:val="0"/>
        <w:rPr>
          <w:rFonts w:hint="eastAsia"/>
          <w:lang w:eastAsia="zh-CN"/>
        </w:rPr>
      </w:pPr>
      <w:r>
        <w:rPr>
          <w:rFonts w:hint="eastAsia"/>
        </w:rPr>
        <w:t>《恶臭污染物排放标准》</w:t>
      </w:r>
      <w:r>
        <w:rPr>
          <w:rFonts w:hint="eastAsia"/>
          <w:lang w:eastAsia="zh-CN"/>
        </w:rPr>
        <w:t>（</w:t>
      </w:r>
      <w:r>
        <w:t>GB 14554-93</w:t>
      </w:r>
      <w:r>
        <w:rPr>
          <w:rFonts w:hint="eastAsia"/>
          <w:lang w:eastAsia="zh-CN"/>
        </w:rPr>
        <w:t>）；</w:t>
      </w:r>
    </w:p>
    <w:p w14:paraId="11E7B963">
      <w:pPr>
        <w:pStyle w:val="22"/>
        <w:bidi w:val="0"/>
        <w:rPr>
          <w:rFonts w:hint="eastAsia"/>
          <w:lang w:eastAsia="zh-CN"/>
        </w:rPr>
      </w:pPr>
      <w:r>
        <w:rPr>
          <w:rFonts w:hint="eastAsia"/>
        </w:rPr>
        <w:t>《大气污染物综合排放标准》</w:t>
      </w:r>
      <w:r>
        <w:rPr>
          <w:rFonts w:hint="eastAsia"/>
          <w:lang w:eastAsia="zh-CN"/>
        </w:rPr>
        <w:t>（</w:t>
      </w:r>
      <w:r>
        <w:t>GB 16297-1996</w:t>
      </w:r>
      <w:r>
        <w:rPr>
          <w:rFonts w:hint="eastAsia"/>
          <w:lang w:eastAsia="zh-CN"/>
        </w:rPr>
        <w:t>）；</w:t>
      </w:r>
    </w:p>
    <w:p w14:paraId="27BA1827">
      <w:pPr>
        <w:pStyle w:val="22"/>
        <w:bidi w:val="0"/>
        <w:rPr>
          <w:rFonts w:hint="eastAsia"/>
          <w:lang w:eastAsia="zh-CN"/>
        </w:rPr>
      </w:pPr>
      <w:r>
        <w:rPr>
          <w:rFonts w:hint="eastAsia"/>
        </w:rPr>
        <w:t>《环境空气质量标准》</w:t>
      </w:r>
      <w:r>
        <w:rPr>
          <w:rFonts w:hint="eastAsia"/>
          <w:lang w:eastAsia="zh-CN"/>
        </w:rPr>
        <w:t>（</w:t>
      </w:r>
      <w:r>
        <w:t>GB 3095-1996</w:t>
      </w:r>
      <w:r>
        <w:rPr>
          <w:rFonts w:hint="eastAsia"/>
          <w:lang w:eastAsia="zh-CN"/>
        </w:rPr>
        <w:t>）。</w:t>
      </w:r>
    </w:p>
    <w:p w14:paraId="549E9A52">
      <w:pPr>
        <w:pStyle w:val="22"/>
        <w:bidi w:val="0"/>
        <w:rPr>
          <w:rFonts w:hint="eastAsia"/>
          <w:b/>
          <w:bCs/>
        </w:rPr>
      </w:pPr>
      <w:bookmarkStart w:id="122" w:name="_Toc186792603"/>
      <w:r>
        <w:rPr>
          <w:rFonts w:hint="eastAsia"/>
          <w:b/>
          <w:bCs/>
          <w:lang w:val="en-US" w:eastAsia="zh-CN"/>
        </w:rPr>
        <w:t>三、</w:t>
      </w:r>
      <w:r>
        <w:rPr>
          <w:rFonts w:hint="eastAsia"/>
          <w:b/>
          <w:bCs/>
        </w:rPr>
        <w:t>转运站工艺设计</w:t>
      </w:r>
      <w:bookmarkEnd w:id="122"/>
    </w:p>
    <w:p w14:paraId="58383266">
      <w:pPr>
        <w:pStyle w:val="22"/>
        <w:bidi w:val="0"/>
        <w:rPr>
          <w:rFonts w:hint="eastAsia"/>
        </w:rPr>
      </w:pPr>
      <w:r>
        <w:rPr>
          <w:rFonts w:hint="eastAsia"/>
        </w:rPr>
        <w:t>1</w:t>
      </w:r>
      <w:r>
        <w:rPr>
          <w:rFonts w:hint="eastAsia"/>
          <w:lang w:eastAsia="zh-CN"/>
        </w:rPr>
        <w:t>、</w:t>
      </w:r>
      <w:r>
        <w:rPr>
          <w:rFonts w:hint="eastAsia"/>
        </w:rPr>
        <w:t>转运站工艺</w:t>
      </w:r>
    </w:p>
    <w:p w14:paraId="6E037611">
      <w:pPr>
        <w:pStyle w:val="22"/>
        <w:bidi w:val="0"/>
        <w:rPr>
          <w:rFonts w:hint="eastAsia"/>
        </w:rPr>
      </w:pPr>
      <w:r>
        <w:rPr>
          <w:rFonts w:hint="eastAsia"/>
        </w:rPr>
        <w:t>目前国内新建生活垃圾中转站项目，主要采用国际先进的垃圾压缩中转工艺。这可以有效地减少中转的垃圾的体积，换用大吨位转运车进行垃圾中转。从而大幅度的降低中转站的运输运营成本</w:t>
      </w:r>
    </w:p>
    <w:p w14:paraId="20619D24">
      <w:pPr>
        <w:pStyle w:val="22"/>
        <w:bidi w:val="0"/>
      </w:pPr>
      <w:r>
        <w:rPr>
          <w:rFonts w:hint="eastAsia"/>
        </w:rPr>
        <w:t>水平式上投料中小型垃圾中转站工艺流程由三个互相关联的作业流程组合在一起，分别是收集车的作业流程，垃圾压缩机作业流程，钩臂车转运车的作业流程，分别对应垃圾中转站的进料，垃圾减容装箱，垃圾转运。</w:t>
      </w:r>
    </w:p>
    <w:p w14:paraId="2B786CA2">
      <w:pPr>
        <w:pStyle w:val="22"/>
        <w:bidi w:val="0"/>
        <w:ind w:left="0" w:leftChars="0" w:firstLine="0" w:firstLineChars="0"/>
        <w:jc w:val="center"/>
      </w:pPr>
      <w:r>
        <w:drawing>
          <wp:inline distT="0" distB="0" distL="114300" distR="114300">
            <wp:extent cx="4810760" cy="1668780"/>
            <wp:effectExtent l="0" t="0" r="2540" b="7620"/>
            <wp:docPr id="66" name="图片 34" descr="说明: C:\Users\Administrator\Desktop\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图片 34" descr="说明: C:\Users\Administrator\Desktop\11.jpg"/>
                    <pic:cNvPicPr>
                      <a:picLocks noChangeAspect="1"/>
                    </pic:cNvPicPr>
                  </pic:nvPicPr>
                  <pic:blipFill>
                    <a:blip r:embed="rId19"/>
                    <a:srcRect b="25000"/>
                    <a:stretch>
                      <a:fillRect/>
                    </a:stretch>
                  </pic:blipFill>
                  <pic:spPr>
                    <a:xfrm>
                      <a:off x="0" y="0"/>
                      <a:ext cx="4810760" cy="1668780"/>
                    </a:xfrm>
                    <a:prstGeom prst="rect">
                      <a:avLst/>
                    </a:prstGeom>
                    <a:noFill/>
                    <a:ln>
                      <a:noFill/>
                    </a:ln>
                  </pic:spPr>
                </pic:pic>
              </a:graphicData>
            </a:graphic>
          </wp:inline>
        </w:drawing>
      </w:r>
    </w:p>
    <w:p w14:paraId="5489EEE8">
      <w:pPr>
        <w:pStyle w:val="22"/>
        <w:bidi w:val="0"/>
        <w:ind w:left="0" w:leftChars="0" w:firstLine="0" w:firstLineChars="0"/>
        <w:jc w:val="center"/>
      </w:pPr>
      <w:r>
        <w:drawing>
          <wp:inline distT="0" distB="0" distL="114300" distR="114300">
            <wp:extent cx="4623435" cy="1833880"/>
            <wp:effectExtent l="0" t="0" r="0" b="7620"/>
            <wp:docPr id="71"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图片 35"/>
                    <pic:cNvPicPr>
                      <a:picLocks noChangeAspect="1"/>
                    </pic:cNvPicPr>
                  </pic:nvPicPr>
                  <pic:blipFill>
                    <a:blip r:embed="rId20"/>
                    <a:srcRect b="30492"/>
                    <a:stretch>
                      <a:fillRect/>
                    </a:stretch>
                  </pic:blipFill>
                  <pic:spPr>
                    <a:xfrm>
                      <a:off x="0" y="0"/>
                      <a:ext cx="4623435" cy="1833880"/>
                    </a:xfrm>
                    <a:prstGeom prst="rect">
                      <a:avLst/>
                    </a:prstGeom>
                    <a:noFill/>
                    <a:ln>
                      <a:noFill/>
                    </a:ln>
                  </pic:spPr>
                </pic:pic>
              </a:graphicData>
            </a:graphic>
          </wp:inline>
        </w:drawing>
      </w:r>
    </w:p>
    <w:p w14:paraId="74824240">
      <w:pPr>
        <w:pStyle w:val="22"/>
        <w:bidi w:val="0"/>
      </w:pPr>
      <w:r>
        <w:rPr>
          <w:rFonts w:hint="eastAsia"/>
        </w:rPr>
        <w:t>收集车的作业流程：</w:t>
      </w:r>
    </w:p>
    <w:p w14:paraId="2CE99B7B">
      <w:pPr>
        <w:pStyle w:val="22"/>
        <w:bidi w:val="0"/>
        <w:ind w:left="0" w:leftChars="0" w:firstLine="0" w:firstLineChars="0"/>
        <w:jc w:val="center"/>
      </w:pPr>
      <w:r>
        <w:drawing>
          <wp:inline distT="0" distB="0" distL="114300" distR="114300">
            <wp:extent cx="4535170" cy="775335"/>
            <wp:effectExtent l="33655" t="0" r="41275" b="37465"/>
            <wp:docPr id="61" name="图示 61"/>
            <wp:cNvGraphicFramePr>
              <a:graphicFrameLocks xmlns:a="http://schemas.openxmlformats.org/drawingml/2006/main" noChangeAspect="1"/>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21" r:lo="rId22" r:qs="rId23" r:cs="rId24"/>
              </a:graphicData>
            </a:graphic>
          </wp:inline>
        </w:drawing>
      </w:r>
    </w:p>
    <w:p w14:paraId="15A582AC">
      <w:pPr>
        <w:pStyle w:val="22"/>
        <w:bidi w:val="0"/>
      </w:pPr>
      <w:r>
        <w:rPr>
          <w:rFonts w:hint="eastAsia"/>
        </w:rPr>
        <w:t>进站：收集车完成收集作业进站</w:t>
      </w:r>
    </w:p>
    <w:p w14:paraId="22A34EC4">
      <w:pPr>
        <w:pStyle w:val="22"/>
        <w:bidi w:val="0"/>
      </w:pPr>
      <w:r>
        <w:rPr>
          <w:rFonts w:hint="eastAsia"/>
        </w:rPr>
        <w:t>根据红绿灯选择卸料泊位：收集车驶向倒料厅，在卸料厅内根据信号灯系统提示，选择合适泊位。</w:t>
      </w:r>
    </w:p>
    <w:p w14:paraId="2FFA0CAA">
      <w:pPr>
        <w:pStyle w:val="22"/>
        <w:bidi w:val="0"/>
      </w:pPr>
      <w:r>
        <w:rPr>
          <w:rFonts w:hint="eastAsia"/>
        </w:rPr>
        <w:t>卸料：电控快速卷帘门开启、收集车将生活垃圾倒入垃圾压缩机卸料槽内，负压降尘系统和雾化喷淋装置开始工作，处理卸料过程中粉尘与臭气。</w:t>
      </w:r>
    </w:p>
    <w:p w14:paraId="19FE3295">
      <w:pPr>
        <w:pStyle w:val="22"/>
        <w:bidi w:val="0"/>
      </w:pPr>
      <w:r>
        <w:rPr>
          <w:rFonts w:hint="eastAsia"/>
        </w:rPr>
        <w:t>驶离中转站：收集车卸料完成后驶离垃圾中转站。</w:t>
      </w:r>
    </w:p>
    <w:p w14:paraId="08C30360">
      <w:pPr>
        <w:pStyle w:val="22"/>
        <w:bidi w:val="0"/>
      </w:pPr>
      <w:r>
        <w:rPr>
          <w:rFonts w:hint="eastAsia"/>
        </w:rPr>
        <w:t>垃圾压缩处理设备工艺流程：</w:t>
      </w:r>
    </w:p>
    <w:p w14:paraId="3CF999B9">
      <w:pPr>
        <w:pStyle w:val="22"/>
        <w:bidi w:val="0"/>
        <w:ind w:left="0" w:leftChars="0" w:firstLine="0" w:firstLineChars="0"/>
        <w:jc w:val="center"/>
      </w:pPr>
      <w:r>
        <mc:AlternateContent>
          <mc:Choice Requires="wps">
            <w:drawing>
              <wp:anchor distT="0" distB="0" distL="114300" distR="114300" simplePos="0" relativeHeight="251660288" behindDoc="0" locked="0" layoutInCell="1" allowOverlap="1">
                <wp:simplePos x="0" y="0"/>
                <wp:positionH relativeFrom="column">
                  <wp:posOffset>1171575</wp:posOffset>
                </wp:positionH>
                <wp:positionV relativeFrom="paragraph">
                  <wp:posOffset>814070</wp:posOffset>
                </wp:positionV>
                <wp:extent cx="276225" cy="400050"/>
                <wp:effectExtent l="0" t="0" r="15875" b="6350"/>
                <wp:wrapNone/>
                <wp:docPr id="25" name="直接箭头连接符 25"/>
                <wp:cNvGraphicFramePr/>
                <a:graphic xmlns:a="http://schemas.openxmlformats.org/drawingml/2006/main">
                  <a:graphicData uri="http://schemas.microsoft.com/office/word/2010/wordprocessingShape">
                    <wps:wsp>
                      <wps:cNvCnPr>
                        <a:cxnSpLocks noChangeShapeType="1"/>
                      </wps:cNvCnPr>
                      <wps:spPr bwMode="auto">
                        <a:xfrm flipH="1" flipV="1">
                          <a:off x="0" y="0"/>
                          <a:ext cx="276225" cy="400050"/>
                        </a:xfrm>
                        <a:prstGeom prst="straightConnector1">
                          <a:avLst/>
                        </a:prstGeom>
                        <a:noFill/>
                        <a:ln w="9525">
                          <a:solidFill>
                            <a:srgbClr val="000000"/>
                          </a:solidFill>
                          <a:round/>
                          <a:tailEnd type="triangle" w="med" len="med"/>
                        </a:ln>
                        <a:effectLst/>
                      </wps:spPr>
                      <wps:bodyPr/>
                    </wps:wsp>
                  </a:graphicData>
                </a:graphic>
              </wp:anchor>
            </w:drawing>
          </mc:Choice>
          <mc:Fallback>
            <w:pict>
              <v:shape id="_x0000_s1026" o:spid="_x0000_s1026" o:spt="32" type="#_x0000_t32" style="position:absolute;left:0pt;flip:x y;margin-left:92.25pt;margin-top:64.1pt;height:31.5pt;width:21.75pt;z-index:251660288;mso-width-relative:page;mso-height-relative:page;" filled="f" stroked="t" coordsize="21600,21600" o:gfxdata="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">
                <v:fill on="f" focussize="0,0"/>
                <v:stroke color="#000000" joinstyle="round" endarrow="block"/>
                <v:imagedata o:title=""/>
                <o:lock v:ext="edit" aspectratio="f"/>
              </v:shape>
            </w:pict>
          </mc:Fallback>
        </mc:AlternateContent>
      </w:r>
      <w:r>
        <mc:AlternateContent>
          <mc:Choice Requires="wps">
            <w:drawing>
              <wp:anchor distT="0" distB="0" distL="114300" distR="114300" simplePos="0" relativeHeight="251662336" behindDoc="0" locked="0" layoutInCell="1" allowOverlap="1">
                <wp:simplePos x="0" y="0"/>
                <wp:positionH relativeFrom="column">
                  <wp:posOffset>3581400</wp:posOffset>
                </wp:positionH>
                <wp:positionV relativeFrom="paragraph">
                  <wp:posOffset>814070</wp:posOffset>
                </wp:positionV>
                <wp:extent cx="171450" cy="400050"/>
                <wp:effectExtent l="4445" t="0" r="14605" b="6350"/>
                <wp:wrapNone/>
                <wp:docPr id="30" name="直接箭头连接符 30"/>
                <wp:cNvGraphicFramePr/>
                <a:graphic xmlns:a="http://schemas.openxmlformats.org/drawingml/2006/main">
                  <a:graphicData uri="http://schemas.microsoft.com/office/word/2010/wordprocessingShape">
                    <wps:wsp>
                      <wps:cNvCnPr>
                        <a:cxnSpLocks noChangeShapeType="1"/>
                      </wps:cNvCnPr>
                      <wps:spPr bwMode="auto">
                        <a:xfrm flipV="1">
                          <a:off x="0" y="0"/>
                          <a:ext cx="171450" cy="400050"/>
                        </a:xfrm>
                        <a:prstGeom prst="straightConnector1">
                          <a:avLst/>
                        </a:prstGeom>
                        <a:noFill/>
                        <a:ln w="9525">
                          <a:solidFill>
                            <a:srgbClr val="000000"/>
                          </a:solidFill>
                          <a:round/>
                          <a:tailEnd type="triangle" w="med" len="med"/>
                        </a:ln>
                        <a:effectLst/>
                      </wps:spPr>
                      <wps:bodyPr/>
                    </wps:wsp>
                  </a:graphicData>
                </a:graphic>
              </wp:anchor>
            </w:drawing>
          </mc:Choice>
          <mc:Fallback>
            <w:pict>
              <v:shape id="_x0000_s1026" o:spid="_x0000_s1026" o:spt="32" type="#_x0000_t32" style="position:absolute;left:0pt;flip:y;margin-left:282pt;margin-top:64.1pt;height:31.5pt;width:13.5pt;z-index:251662336;mso-width-relative:page;mso-height-relative:page;" filled="f" stroked="t" coordsize="21600,21600" o:gfxdata="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">
                <v:fill on="f" focussize="0,0"/>
                <v:stroke color="#000000" joinstyle="round" endarrow="block"/>
                <v:imagedata o:title=""/>
                <o:lock v:ext="edit" aspectratio="f"/>
              </v:shape>
            </w:pict>
          </mc:Fallback>
        </mc:AlternateContent>
      </w:r>
      <w:r>
        <mc:AlternateContent>
          <mc:Choice Requires="wps">
            <w:drawing>
              <wp:anchor distT="0" distB="0" distL="114300" distR="114300" simplePos="0" relativeHeight="251661312" behindDoc="0" locked="0" layoutInCell="1" allowOverlap="1">
                <wp:simplePos x="0" y="0"/>
                <wp:positionH relativeFrom="column">
                  <wp:posOffset>2485390</wp:posOffset>
                </wp:positionH>
                <wp:positionV relativeFrom="paragraph">
                  <wp:posOffset>814070</wp:posOffset>
                </wp:positionV>
                <wp:extent cx="0" cy="400050"/>
                <wp:effectExtent l="38100" t="0" r="38100" b="6350"/>
                <wp:wrapNone/>
                <wp:docPr id="27" name="直接箭头连接符 27"/>
                <wp:cNvGraphicFramePr/>
                <a:graphic xmlns:a="http://schemas.openxmlformats.org/drawingml/2006/main">
                  <a:graphicData uri="http://schemas.microsoft.com/office/word/2010/wordprocessingShape">
                    <wps:wsp>
                      <wps:cNvCnPr>
                        <a:cxnSpLocks noChangeShapeType="1"/>
                      </wps:cNvCnPr>
                      <wps:spPr bwMode="auto">
                        <a:xfrm flipV="1">
                          <a:off x="0" y="0"/>
                          <a:ext cx="0" cy="400050"/>
                        </a:xfrm>
                        <a:prstGeom prst="straightConnector1">
                          <a:avLst/>
                        </a:prstGeom>
                        <a:noFill/>
                        <a:ln w="9525">
                          <a:solidFill>
                            <a:srgbClr val="000000"/>
                          </a:solidFill>
                          <a:round/>
                          <a:tailEnd type="triangle" w="med" len="med"/>
                        </a:ln>
                        <a:effectLst/>
                      </wps:spPr>
                      <wps:bodyPr/>
                    </wps:wsp>
                  </a:graphicData>
                </a:graphic>
              </wp:anchor>
            </w:drawing>
          </mc:Choice>
          <mc:Fallback>
            <w:pict>
              <v:shape id="_x0000_s1026" o:spid="_x0000_s1026" o:spt="32" type="#_x0000_t32" style="position:absolute;left:0pt;flip:y;margin-left:195.7pt;margin-top:64.1pt;height:31.5pt;width:0pt;z-index:251661312;mso-width-relative:page;mso-height-relative:page;" filled="f" stroked="t" coordsize="21600,21600" o:gfxdata="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">
                <v:fill on="f" focussize="0,0"/>
                <v:stroke color="#000000" joinstyle="round" endarrow="block"/>
                <v:imagedata o:title=""/>
                <o:lock v:ext="edit" aspectratio="f"/>
              </v:shape>
            </w:pict>
          </mc:Fallback>
        </mc:AlternateContent>
      </w:r>
      <w:r>
        <w:drawing>
          <wp:inline distT="0" distB="0" distL="114300" distR="114300">
            <wp:extent cx="4311015" cy="802005"/>
            <wp:effectExtent l="0" t="0" r="6985" b="10795"/>
            <wp:docPr id="68"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图片 37"/>
                    <pic:cNvPicPr>
                      <a:picLocks noChangeAspect="1"/>
                    </pic:cNvPicPr>
                  </pic:nvPicPr>
                  <pic:blipFill>
                    <a:blip r:embed="rId26"/>
                    <a:stretch>
                      <a:fillRect/>
                    </a:stretch>
                  </pic:blipFill>
                  <pic:spPr>
                    <a:xfrm>
                      <a:off x="0" y="0"/>
                      <a:ext cx="4311015" cy="802005"/>
                    </a:xfrm>
                    <a:prstGeom prst="rect">
                      <a:avLst/>
                    </a:prstGeom>
                    <a:noFill/>
                    <a:ln>
                      <a:noFill/>
                    </a:ln>
                  </pic:spPr>
                </pic:pic>
              </a:graphicData>
            </a:graphic>
          </wp:inline>
        </w:drawing>
      </w:r>
    </w:p>
    <w:p w14:paraId="258A75C9">
      <w:pPr>
        <w:pStyle w:val="22"/>
        <w:bidi w:val="0"/>
      </w:pPr>
      <w:r>
        <mc:AlternateContent>
          <mc:Choice Requires="wps">
            <w:drawing>
              <wp:anchor distT="0" distB="0" distL="114300" distR="114300" simplePos="0" relativeHeight="251659264" behindDoc="0" locked="0" layoutInCell="1" allowOverlap="1">
                <wp:simplePos x="0" y="0"/>
                <wp:positionH relativeFrom="column">
                  <wp:posOffset>1390650</wp:posOffset>
                </wp:positionH>
                <wp:positionV relativeFrom="paragraph">
                  <wp:posOffset>191770</wp:posOffset>
                </wp:positionV>
                <wp:extent cx="2238375" cy="485775"/>
                <wp:effectExtent l="6350" t="6350" r="28575" b="41275"/>
                <wp:wrapNone/>
                <wp:docPr id="29" name="矩形 29"/>
                <wp:cNvGraphicFramePr/>
                <a:graphic xmlns:a="http://schemas.openxmlformats.org/drawingml/2006/main">
                  <a:graphicData uri="http://schemas.microsoft.com/office/word/2010/wordprocessingShape">
                    <wps:wsp>
                      <wps:cNvSpPr>
                        <a:spLocks noChangeArrowheads="1"/>
                      </wps:cNvSpPr>
                      <wps:spPr bwMode="auto">
                        <a:xfrm>
                          <a:off x="0" y="0"/>
                          <a:ext cx="2238375" cy="485775"/>
                        </a:xfrm>
                        <a:prstGeom prst="rect">
                          <a:avLst/>
                        </a:prstGeom>
                        <a:gradFill rotWithShape="0">
                          <a:gsLst>
                            <a:gs pos="0">
                              <a:srgbClr val="92CDDC"/>
                            </a:gs>
                            <a:gs pos="50000">
                              <a:srgbClr val="DAEEF3"/>
                            </a:gs>
                            <a:gs pos="100000">
                              <a:srgbClr val="92CDDC"/>
                            </a:gs>
                          </a:gsLst>
                          <a:lin ang="18900000" scaled="1"/>
                        </a:gradFill>
                        <a:ln w="12700">
                          <a:solidFill>
                            <a:srgbClr val="92CDDC"/>
                          </a:solidFill>
                          <a:miter lim="800000"/>
                        </a:ln>
                        <a:effectLst>
                          <a:outerShdw dist="28398" dir="3806097" algn="ctr" rotWithShape="0">
                            <a:srgbClr val="205867">
                              <a:alpha val="50000"/>
                            </a:srgbClr>
                          </a:outerShdw>
                        </a:effectLst>
                      </wps:spPr>
                      <wps:txbx>
                        <w:txbxContent>
                          <w:p w14:paraId="5AC6B35F">
                            <w:pPr>
                              <w:tabs>
                                <w:tab w:val="left" w:pos="0"/>
                              </w:tabs>
                              <w:rPr>
                                <w:rFonts w:ascii="仿宋" w:hAnsi="仿宋" w:eastAsia="仿宋"/>
                              </w:rPr>
                            </w:pPr>
                            <w:r>
                              <w:rPr>
                                <w:rFonts w:hint="eastAsia" w:ascii="仿宋" w:hAnsi="仿宋" w:eastAsia="仿宋"/>
                              </w:rPr>
                              <w:t>手动、半自动、中控控制</w:t>
                            </w:r>
                          </w:p>
                        </w:txbxContent>
                      </wps:txbx>
                      <wps:bodyPr rot="0" vert="horz" wrap="square" lIns="91440" tIns="45720" rIns="91440" bIns="45720" anchor="t" anchorCtr="0" upright="1">
                        <a:noAutofit/>
                      </wps:bodyPr>
                    </wps:wsp>
                  </a:graphicData>
                </a:graphic>
              </wp:anchor>
            </w:drawing>
          </mc:Choice>
          <mc:Fallback>
            <w:pict>
              <v:rect id="_x0000_s1026" o:spid="_x0000_s1026" o:spt="1" style="position:absolute;left:0pt;margin-left:109.5pt;margin-top:15.1pt;height:38.25pt;width:176.25pt;z-index:251659264;mso-width-relative:page;mso-height-relative:page;" fillcolor="#92CDDC" filled="t" stroked="t" coordsize="21600,21600" o:gfxdata="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">
                <v:fill type="gradient" on="t" color2="#DAEEF3" angle="135" focus="50%" focussize="0,0"/>
                <v:stroke weight="1pt" color="#92CDDC" miterlimit="8" joinstyle="miter"/>
                <v:imagedata o:title=""/>
                <o:lock v:ext="edit" aspectratio="f"/>
                <v:shadow on="t" color="#205867" opacity="32768f" offset="1pt,2pt" origin="0f,0f" matrix="65536f,0f,0f,65536f"/>
                <v:textbox>
                  <w:txbxContent>
                    <w:p w14:paraId="5AC6B35F">
                      <w:pPr>
                        <w:tabs>
                          <w:tab w:val="left" w:pos="0"/>
                        </w:tabs>
                        <w:rPr>
                          <w:rFonts w:ascii="仿宋" w:hAnsi="仿宋" w:eastAsia="仿宋"/>
                        </w:rPr>
                      </w:pPr>
                      <w:r>
                        <w:rPr>
                          <w:rFonts w:hint="eastAsia" w:ascii="仿宋" w:hAnsi="仿宋" w:eastAsia="仿宋"/>
                        </w:rPr>
                        <w:t>手动、半自动、中控控制</w:t>
                      </w:r>
                    </w:p>
                  </w:txbxContent>
                </v:textbox>
              </v:rect>
            </w:pict>
          </mc:Fallback>
        </mc:AlternateContent>
      </w:r>
    </w:p>
    <w:p w14:paraId="4D971A23">
      <w:pPr>
        <w:pStyle w:val="22"/>
        <w:bidi w:val="0"/>
        <w:rPr>
          <w:rFonts w:hint="eastAsia"/>
        </w:rPr>
      </w:pPr>
    </w:p>
    <w:p w14:paraId="61DFA00B">
      <w:pPr>
        <w:pStyle w:val="22"/>
        <w:bidi w:val="0"/>
        <w:rPr>
          <w:rFonts w:hint="eastAsia"/>
        </w:rPr>
      </w:pPr>
    </w:p>
    <w:p w14:paraId="2AB517AB">
      <w:pPr>
        <w:pStyle w:val="22"/>
        <w:bidi w:val="0"/>
        <w:rPr>
          <w:rFonts w:hint="eastAsia" w:eastAsia="宋体"/>
          <w:lang w:eastAsia="zh-CN"/>
        </w:rPr>
      </w:pPr>
      <w:r>
        <w:rPr>
          <w:rFonts w:hint="eastAsia"/>
        </w:rPr>
        <w:t>机箱对接：压缩机与垃圾集装箱对接</w:t>
      </w:r>
    </w:p>
    <w:p w14:paraId="490F66F6">
      <w:pPr>
        <w:pStyle w:val="22"/>
        <w:bidi w:val="0"/>
        <w:rPr>
          <w:rFonts w:hint="eastAsia" w:eastAsia="宋体"/>
          <w:lang w:eastAsia="zh-CN"/>
        </w:rPr>
      </w:pPr>
      <w:r>
        <w:rPr>
          <w:rFonts w:hint="eastAsia"/>
        </w:rPr>
        <w:t>箱体移位装置将空垃圾集装箱移到垃圾压缩机工作位</w:t>
      </w:r>
      <w:r>
        <w:rPr>
          <w:rFonts w:hint="eastAsia"/>
          <w:lang w:eastAsia="zh-CN"/>
        </w:rPr>
        <w:t>；</w:t>
      </w:r>
    </w:p>
    <w:p w14:paraId="1C2906AB">
      <w:pPr>
        <w:pStyle w:val="22"/>
        <w:bidi w:val="0"/>
      </w:pPr>
      <w:r>
        <w:rPr>
          <w:rFonts w:hint="eastAsia"/>
        </w:rPr>
        <w:t>推拉箱机构将垃圾集装箱拉回；</w:t>
      </w:r>
    </w:p>
    <w:p w14:paraId="5EF4E5BE">
      <w:pPr>
        <w:pStyle w:val="22"/>
        <w:bidi w:val="0"/>
      </w:pPr>
      <w:r>
        <w:rPr>
          <w:rFonts w:hint="eastAsia"/>
        </w:rPr>
        <w:t>锁紧机构将集装箱锁紧；</w:t>
      </w:r>
    </w:p>
    <w:p w14:paraId="4805DE8C">
      <w:pPr>
        <w:pStyle w:val="22"/>
        <w:bidi w:val="0"/>
      </w:pPr>
      <w:r>
        <w:rPr>
          <w:rFonts w:hint="eastAsia"/>
        </w:rPr>
        <w:t>提门机构将后门密闭门提起。</w:t>
      </w:r>
    </w:p>
    <w:p w14:paraId="4A243A6F">
      <w:pPr>
        <w:pStyle w:val="22"/>
        <w:bidi w:val="0"/>
        <w:rPr>
          <w:rFonts w:hint="eastAsia" w:eastAsia="宋体"/>
          <w:lang w:eastAsia="zh-CN"/>
        </w:rPr>
      </w:pPr>
      <w:r>
        <w:rPr>
          <w:rFonts w:hint="eastAsia"/>
        </w:rPr>
        <w:t>压缩垃圾：垃圾压缩机将垃圾压入集装箱内</w:t>
      </w:r>
      <w:r>
        <w:rPr>
          <w:rFonts w:hint="eastAsia"/>
          <w:lang w:eastAsia="zh-CN"/>
        </w:rPr>
        <w:t>：</w:t>
      </w:r>
    </w:p>
    <w:p w14:paraId="396F6565">
      <w:pPr>
        <w:pStyle w:val="22"/>
        <w:bidi w:val="0"/>
      </w:pPr>
      <w:r>
        <w:rPr>
          <w:rFonts w:hint="eastAsia"/>
        </w:rPr>
        <w:t>压缩头后退，垃圾进入压缩腔内；</w:t>
      </w:r>
    </w:p>
    <w:p w14:paraId="2BE37AC5">
      <w:pPr>
        <w:pStyle w:val="22"/>
        <w:bidi w:val="0"/>
      </w:pPr>
      <w:r>
        <w:rPr>
          <w:rFonts w:hint="eastAsia"/>
        </w:rPr>
        <w:t>压缩头将压缩腔内垃圾压入垃圾集装箱内；</w:t>
      </w:r>
    </w:p>
    <w:p w14:paraId="6F8CA3DA">
      <w:pPr>
        <w:pStyle w:val="22"/>
        <w:bidi w:val="0"/>
      </w:pPr>
      <w:r>
        <w:rPr>
          <w:rFonts w:hint="eastAsia"/>
        </w:rPr>
        <w:t>压缩头重复1）2）工作，直至压满垃圾集装箱。</w:t>
      </w:r>
    </w:p>
    <w:p w14:paraId="76410132">
      <w:pPr>
        <w:pStyle w:val="22"/>
        <w:bidi w:val="0"/>
        <w:rPr>
          <w:rFonts w:hint="eastAsia" w:eastAsia="宋体"/>
          <w:lang w:eastAsia="zh-CN"/>
        </w:rPr>
      </w:pPr>
      <w:r>
        <w:rPr>
          <w:rFonts w:hint="eastAsia"/>
        </w:rPr>
        <w:t>机箱分离：压缩机与垃圾集装箱分离</w:t>
      </w:r>
    </w:p>
    <w:p w14:paraId="09297AEC">
      <w:pPr>
        <w:pStyle w:val="22"/>
        <w:bidi w:val="0"/>
      </w:pPr>
      <w:r>
        <w:rPr>
          <w:rFonts w:hint="eastAsia"/>
        </w:rPr>
        <w:t>压缩头后退到对接位置；</w:t>
      </w:r>
    </w:p>
    <w:p w14:paraId="6740E303">
      <w:pPr>
        <w:pStyle w:val="22"/>
        <w:bidi w:val="0"/>
      </w:pPr>
      <w:r>
        <w:rPr>
          <w:rFonts w:hint="eastAsia"/>
        </w:rPr>
        <w:t>闸门机构下降到最低位；</w:t>
      </w:r>
    </w:p>
    <w:p w14:paraId="59C22D5E">
      <w:pPr>
        <w:pStyle w:val="22"/>
        <w:bidi w:val="0"/>
      </w:pPr>
      <w:r>
        <w:rPr>
          <w:rFonts w:hint="eastAsia"/>
        </w:rPr>
        <w:t>锁紧机构松开垃圾集装箱；</w:t>
      </w:r>
    </w:p>
    <w:p w14:paraId="5E967E42">
      <w:pPr>
        <w:pStyle w:val="22"/>
        <w:bidi w:val="0"/>
      </w:pPr>
      <w:r>
        <w:rPr>
          <w:rFonts w:hint="eastAsia"/>
        </w:rPr>
        <w:t>推拉机构推出垃圾集装箱到箱体移位装置上。</w:t>
      </w:r>
    </w:p>
    <w:p w14:paraId="625D68EE">
      <w:pPr>
        <w:pStyle w:val="22"/>
        <w:bidi w:val="0"/>
      </w:pPr>
      <w:r>
        <w:rPr>
          <w:rFonts w:hint="eastAsia"/>
        </w:rPr>
        <w:t>手动、自动、中控控制</w:t>
      </w:r>
    </w:p>
    <w:p w14:paraId="63A21BC9">
      <w:pPr>
        <w:pStyle w:val="22"/>
        <w:bidi w:val="0"/>
        <w:rPr>
          <w:rFonts w:hint="eastAsia" w:eastAsia="宋体"/>
          <w:lang w:eastAsia="zh-CN"/>
        </w:rPr>
      </w:pPr>
      <w:r>
        <w:rPr>
          <w:rFonts w:hint="eastAsia"/>
        </w:rPr>
        <w:t>在机箱对接、压缩垃圾、机箱分离过程中，均可实现手动控制、自动控制、中控控制</w:t>
      </w:r>
      <w:r>
        <w:rPr>
          <w:rFonts w:hint="eastAsia"/>
          <w:lang w:eastAsia="zh-CN"/>
        </w:rPr>
        <w:t>；</w:t>
      </w:r>
    </w:p>
    <w:p w14:paraId="0AE5D1A7">
      <w:pPr>
        <w:pStyle w:val="22"/>
        <w:bidi w:val="0"/>
      </w:pPr>
      <w:r>
        <w:rPr>
          <w:rFonts w:hint="eastAsia"/>
        </w:rPr>
        <w:t>手动控制：垃圾压缩机每个动作均需要操作对应按钮才可动作。</w:t>
      </w:r>
    </w:p>
    <w:p w14:paraId="7A62A1FC">
      <w:pPr>
        <w:pStyle w:val="22"/>
        <w:bidi w:val="0"/>
      </w:pPr>
      <w:r>
        <w:rPr>
          <w:rFonts w:hint="eastAsia"/>
        </w:rPr>
        <w:t>自动控制：垃圾压缩机根据传感器信号自动控制机箱对接、压缩垃圾、机箱分离，无需人额外操作。</w:t>
      </w:r>
    </w:p>
    <w:p w14:paraId="32BDB5F3">
      <w:pPr>
        <w:pStyle w:val="22"/>
        <w:bidi w:val="0"/>
      </w:pPr>
      <w:r>
        <w:rPr>
          <w:rFonts w:hint="eastAsia"/>
        </w:rPr>
        <w:t>中控控制：在中央控制室对垃圾压缩机系统与辅助工艺设备进行操作。</w:t>
      </w:r>
    </w:p>
    <w:p w14:paraId="017882F5">
      <w:pPr>
        <w:pStyle w:val="22"/>
        <w:bidi w:val="0"/>
      </w:pPr>
      <w:bookmarkStart w:id="123" w:name="_Toc140464850"/>
      <w:bookmarkStart w:id="124" w:name="_Toc140482696"/>
      <w:bookmarkStart w:id="125" w:name="_Toc429259423"/>
      <w:bookmarkStart w:id="126" w:name="_Toc131006235"/>
      <w:bookmarkStart w:id="127" w:name="_Toc418068908"/>
      <w:bookmarkStart w:id="128" w:name="_Toc131006152"/>
      <w:bookmarkStart w:id="129" w:name="_Toc131006481"/>
      <w:bookmarkStart w:id="130" w:name="_Toc429259512"/>
      <w:bookmarkStart w:id="131" w:name="_Toc429259724"/>
      <w:bookmarkStart w:id="132" w:name="_Toc430709193"/>
      <w:r>
        <w:rPr>
          <w:rFonts w:hint="eastAsia"/>
        </w:rPr>
        <w:t>钩臂车转运车的作业流程</w:t>
      </w:r>
      <w:bookmarkEnd w:id="123"/>
      <w:bookmarkEnd w:id="124"/>
      <w:bookmarkEnd w:id="125"/>
      <w:bookmarkEnd w:id="126"/>
      <w:bookmarkEnd w:id="127"/>
      <w:bookmarkEnd w:id="128"/>
      <w:bookmarkEnd w:id="129"/>
      <w:bookmarkEnd w:id="130"/>
      <w:bookmarkEnd w:id="131"/>
      <w:bookmarkEnd w:id="132"/>
    </w:p>
    <w:p w14:paraId="5C133100">
      <w:pPr>
        <w:pStyle w:val="22"/>
        <w:bidi w:val="0"/>
        <w:ind w:left="0" w:leftChars="0" w:firstLine="0" w:firstLineChars="0"/>
        <w:jc w:val="center"/>
      </w:pPr>
      <w:r>
        <w:drawing>
          <wp:inline distT="0" distB="0" distL="114300" distR="114300">
            <wp:extent cx="4894580" cy="468630"/>
            <wp:effectExtent l="0" t="0" r="0" b="1270"/>
            <wp:docPr id="67"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图片 38"/>
                    <pic:cNvPicPr>
                      <a:picLocks noChangeAspect="1"/>
                    </pic:cNvPicPr>
                  </pic:nvPicPr>
                  <pic:blipFill>
                    <a:blip r:embed="rId27"/>
                    <a:stretch>
                      <a:fillRect/>
                    </a:stretch>
                  </pic:blipFill>
                  <pic:spPr>
                    <a:xfrm>
                      <a:off x="0" y="0"/>
                      <a:ext cx="4894580" cy="468630"/>
                    </a:xfrm>
                    <a:prstGeom prst="rect">
                      <a:avLst/>
                    </a:prstGeom>
                    <a:noFill/>
                    <a:ln>
                      <a:noFill/>
                    </a:ln>
                  </pic:spPr>
                </pic:pic>
              </a:graphicData>
            </a:graphic>
          </wp:inline>
        </w:drawing>
      </w:r>
    </w:p>
    <w:p w14:paraId="6C21BBD6">
      <w:pPr>
        <w:pStyle w:val="22"/>
        <w:bidi w:val="0"/>
      </w:pPr>
      <w:r>
        <w:rPr>
          <w:rFonts w:hint="eastAsia"/>
        </w:rPr>
        <w:t>车辆回站：钩臂车在完成一次转运作业后从最终处理场返回垃圾中转站。</w:t>
      </w:r>
    </w:p>
    <w:p w14:paraId="4FAA53A4">
      <w:pPr>
        <w:pStyle w:val="22"/>
        <w:bidi w:val="0"/>
      </w:pPr>
      <w:r>
        <w:rPr>
          <w:rFonts w:hint="eastAsia"/>
        </w:rPr>
        <w:t>放空箱：钩臂车进站后根据压缩车间红绿灯的调度指示驶向箱体工位，放下空箱。</w:t>
      </w:r>
    </w:p>
    <w:p w14:paraId="219FB8EC">
      <w:pPr>
        <w:pStyle w:val="22"/>
        <w:bidi w:val="0"/>
      </w:pPr>
      <w:r>
        <w:rPr>
          <w:rFonts w:hint="eastAsia"/>
        </w:rPr>
        <w:t>装满箱：钩臂车再根据红绿灯指示驶向箱体移位机构的满箱工位，钩上已经压满垃圾的垃圾箱。</w:t>
      </w:r>
    </w:p>
    <w:p w14:paraId="29727C26">
      <w:pPr>
        <w:pStyle w:val="22"/>
        <w:bidi w:val="0"/>
        <w:rPr>
          <w:rFonts w:hint="eastAsia"/>
        </w:rPr>
      </w:pPr>
      <w:r>
        <w:rPr>
          <w:rFonts w:hint="eastAsia"/>
        </w:rPr>
        <w:t>驶向处理场：钩臂车称重出站，驶向最终处理场</w:t>
      </w:r>
    </w:p>
    <w:p w14:paraId="59C2C0A4">
      <w:pPr>
        <w:pStyle w:val="22"/>
        <w:bidi w:val="0"/>
      </w:pPr>
      <w:r>
        <w:rPr>
          <w:rFonts w:hint="eastAsia"/>
          <w:lang w:val="en-US" w:eastAsia="zh-CN"/>
        </w:rPr>
        <w:t>2、</w:t>
      </w:r>
      <w:r>
        <w:rPr>
          <w:rFonts w:hint="eastAsia"/>
        </w:rPr>
        <w:t>转运站操作流程全过程控制</w:t>
      </w:r>
    </w:p>
    <w:p w14:paraId="730B2A01">
      <w:pPr>
        <w:pStyle w:val="22"/>
        <w:bidi w:val="0"/>
      </w:pPr>
      <w:r>
        <w:rPr>
          <w:rFonts w:hint="eastAsia"/>
        </w:rPr>
        <w:t>（</w:t>
      </w:r>
      <w:r>
        <w:rPr>
          <w:rFonts w:hint="eastAsia"/>
          <w:lang w:val="en-US" w:eastAsia="zh-CN"/>
        </w:rPr>
        <w:t>1</w:t>
      </w:r>
      <w:r>
        <w:rPr>
          <w:rFonts w:hint="eastAsia"/>
        </w:rPr>
        <w:t>）中央集控系统构成示意图</w:t>
      </w:r>
    </w:p>
    <w:p w14:paraId="65E16F64">
      <w:pPr>
        <w:pStyle w:val="22"/>
        <w:bidi w:val="0"/>
        <w:ind w:left="0" w:leftChars="0" w:firstLine="0" w:firstLineChars="0"/>
        <w:jc w:val="center"/>
      </w:pPr>
      <w:r>
        <w:drawing>
          <wp:inline distT="0" distB="0" distL="114300" distR="114300">
            <wp:extent cx="3485515" cy="3108960"/>
            <wp:effectExtent l="0" t="0" r="6985" b="2540"/>
            <wp:docPr id="6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图片 39"/>
                    <pic:cNvPicPr>
                      <a:picLocks noChangeAspect="1"/>
                    </pic:cNvPicPr>
                  </pic:nvPicPr>
                  <pic:blipFill>
                    <a:blip r:embed="rId28"/>
                    <a:stretch>
                      <a:fillRect/>
                    </a:stretch>
                  </pic:blipFill>
                  <pic:spPr>
                    <a:xfrm>
                      <a:off x="0" y="0"/>
                      <a:ext cx="3485515" cy="3108960"/>
                    </a:xfrm>
                    <a:prstGeom prst="rect">
                      <a:avLst/>
                    </a:prstGeom>
                    <a:noFill/>
                    <a:ln>
                      <a:noFill/>
                    </a:ln>
                  </pic:spPr>
                </pic:pic>
              </a:graphicData>
            </a:graphic>
          </wp:inline>
        </w:drawing>
      </w:r>
    </w:p>
    <w:p w14:paraId="63CFB0E6">
      <w:pPr>
        <w:pStyle w:val="22"/>
        <w:bidi w:val="0"/>
      </w:pPr>
      <w:r>
        <w:rPr>
          <w:rFonts w:hint="eastAsia"/>
        </w:rPr>
        <w:t>（</w:t>
      </w:r>
      <w:r>
        <w:rPr>
          <w:rFonts w:hint="eastAsia"/>
          <w:lang w:val="en-US" w:eastAsia="zh-CN"/>
        </w:rPr>
        <w:t>2</w:t>
      </w:r>
      <w:r>
        <w:rPr>
          <w:rFonts w:hint="eastAsia"/>
        </w:rPr>
        <w:t>）功能特点</w:t>
      </w:r>
    </w:p>
    <w:p w14:paraId="24007E1A">
      <w:pPr>
        <w:pStyle w:val="22"/>
        <w:bidi w:val="0"/>
      </w:pPr>
      <w:r>
        <w:rPr>
          <w:rFonts w:hint="eastAsia"/>
        </w:rPr>
        <w:t>A.计算机操控系统界面简洁明了、布局合理、操控简单，实时显示设备运行状态，相关参数实时收集和显示，并可及时统计、处理和存储；</w:t>
      </w:r>
    </w:p>
    <w:p w14:paraId="606C7C1C">
      <w:pPr>
        <w:pStyle w:val="22"/>
        <w:bidi w:val="0"/>
        <w:rPr>
          <w:rFonts w:hint="eastAsia" w:eastAsia="宋体"/>
          <w:lang w:eastAsia="zh-CN"/>
        </w:rPr>
      </w:pPr>
      <w:r>
        <w:rPr>
          <w:rFonts w:hint="eastAsia"/>
        </w:rPr>
        <w:t>B.实现压缩机系统中央控制和车间现场控制，包括</w:t>
      </w:r>
      <w:r>
        <w:rPr>
          <w:rFonts w:hint="eastAsia"/>
          <w:lang w:eastAsia="zh-CN"/>
        </w:rPr>
        <w:t>：</w:t>
      </w:r>
    </w:p>
    <w:p w14:paraId="72CA2968">
      <w:pPr>
        <w:pStyle w:val="22"/>
        <w:bidi w:val="0"/>
      </w:pPr>
      <w:r>
        <w:rPr>
          <w:rFonts w:hint="eastAsia"/>
        </w:rPr>
        <w:t>对压缩机的压缩头前行和后退、预压闸门升和降、箱门的升和降、移箱机构的移动等压缩设备实现了自动化控制；</w:t>
      </w:r>
    </w:p>
    <w:p w14:paraId="12A73AAC">
      <w:pPr>
        <w:pStyle w:val="22"/>
        <w:bidi w:val="0"/>
      </w:pPr>
      <w:r>
        <w:rPr>
          <w:rFonts w:hint="eastAsia"/>
        </w:rPr>
        <w:t>实现快速卷帘门中央控制、抽风除臭系统中央控制、电子汽车衡系统中央控制、交通指挥系统中央控制、视频实时监控和操作系统等自动化控制。</w:t>
      </w:r>
    </w:p>
    <w:p w14:paraId="7F0010D3">
      <w:pPr>
        <w:pStyle w:val="22"/>
        <w:bidi w:val="0"/>
      </w:pPr>
      <w:r>
        <w:rPr>
          <w:rFonts w:hint="eastAsia"/>
        </w:rPr>
        <w:t>（</w:t>
      </w:r>
      <w:r>
        <w:rPr>
          <w:rFonts w:hint="eastAsia"/>
          <w:lang w:val="en-US" w:eastAsia="zh-CN"/>
        </w:rPr>
        <w:t>3</w:t>
      </w:r>
      <w:r>
        <w:rPr>
          <w:rFonts w:hint="eastAsia"/>
        </w:rPr>
        <w:t>）系统工作流程</w:t>
      </w:r>
    </w:p>
    <w:p w14:paraId="2829B41A">
      <w:pPr>
        <w:pStyle w:val="22"/>
        <w:bidi w:val="0"/>
        <w:ind w:left="0" w:leftChars="0" w:firstLine="0" w:firstLineChars="0"/>
        <w:jc w:val="center"/>
      </w:pPr>
      <w:r>
        <w:drawing>
          <wp:inline distT="0" distB="0" distL="114300" distR="114300">
            <wp:extent cx="3982720" cy="5434965"/>
            <wp:effectExtent l="0" t="0" r="5080" b="635"/>
            <wp:docPr id="54"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40"/>
                    <pic:cNvPicPr>
                      <a:picLocks noChangeAspect="1"/>
                    </pic:cNvPicPr>
                  </pic:nvPicPr>
                  <pic:blipFill>
                    <a:blip r:embed="rId29"/>
                    <a:stretch>
                      <a:fillRect/>
                    </a:stretch>
                  </pic:blipFill>
                  <pic:spPr>
                    <a:xfrm>
                      <a:off x="0" y="0"/>
                      <a:ext cx="3982720" cy="5434965"/>
                    </a:xfrm>
                    <a:prstGeom prst="rect">
                      <a:avLst/>
                    </a:prstGeom>
                    <a:noFill/>
                    <a:ln>
                      <a:noFill/>
                    </a:ln>
                  </pic:spPr>
                </pic:pic>
              </a:graphicData>
            </a:graphic>
          </wp:inline>
        </w:drawing>
      </w:r>
    </w:p>
    <w:p w14:paraId="1748219A">
      <w:pPr>
        <w:pStyle w:val="24"/>
        <w:bidi w:val="0"/>
      </w:pPr>
      <w:r>
        <w:rPr>
          <w:rFonts w:hint="eastAsia"/>
        </w:rPr>
        <w:t>总系统工作流程图</w:t>
      </w:r>
    </w:p>
    <w:p w14:paraId="340AE490">
      <w:pPr>
        <w:pStyle w:val="22"/>
        <w:bidi w:val="0"/>
        <w:rPr>
          <w:b/>
          <w:bCs/>
        </w:rPr>
      </w:pPr>
      <w:bookmarkStart w:id="133" w:name="_Toc186792604"/>
      <w:r>
        <w:rPr>
          <w:rFonts w:hint="eastAsia"/>
          <w:b/>
          <w:bCs/>
          <w:lang w:val="en-US" w:eastAsia="zh-CN"/>
        </w:rPr>
        <w:t>四、</w:t>
      </w:r>
      <w:r>
        <w:rPr>
          <w:rFonts w:hint="eastAsia"/>
          <w:b/>
          <w:bCs/>
        </w:rPr>
        <w:t>固定平台式压缩设备工艺设计</w:t>
      </w:r>
      <w:bookmarkEnd w:id="133"/>
    </w:p>
    <w:p w14:paraId="36052EFA">
      <w:pPr>
        <w:pStyle w:val="22"/>
        <w:bidi w:val="0"/>
        <w:rPr>
          <w:rFonts w:hint="eastAsia"/>
        </w:rPr>
      </w:pPr>
      <w:r>
        <w:rPr>
          <w:rFonts w:hint="eastAsia"/>
        </w:rPr>
        <w:t>垃圾压缩机</w:t>
      </w:r>
      <w:r>
        <w:rPr>
          <w:rFonts w:hint="eastAsia"/>
          <w:lang w:eastAsia="zh-CN"/>
        </w:rPr>
        <w:t>：</w:t>
      </w:r>
      <w:r>
        <w:rPr>
          <w:rFonts w:hint="eastAsia"/>
        </w:rPr>
        <w:t>压缩机主要由压缩机主体、压缩头、副压缩头、附属机构、卸料槽与密封罩、电控系统与液压系统组成。其中框架固定安装在预埋件上，压缩头靠油缸驱动并做伸缩运动从而向</w:t>
      </w:r>
      <w:r>
        <w:rPr>
          <w:rFonts w:hint="eastAsia"/>
          <w:lang w:eastAsia="zh-CN"/>
        </w:rPr>
        <w:t>垃圾</w:t>
      </w:r>
      <w:r>
        <w:rPr>
          <w:rFonts w:hint="eastAsia"/>
        </w:rPr>
        <w:t>箱内压缩装载垃圾，收集车将垃圾倒入卸料槽内，密封罩起到隔绝臭气的作用，电控系统与液压系统为设备的控制和动力单元。</w:t>
      </w:r>
    </w:p>
    <w:p w14:paraId="274323E2">
      <w:pPr>
        <w:pStyle w:val="22"/>
        <w:bidi w:val="0"/>
        <w:rPr>
          <w:rFonts w:hint="eastAsia"/>
        </w:rPr>
      </w:pPr>
      <w:r>
        <w:rPr>
          <w:rFonts w:hint="eastAsia"/>
        </w:rPr>
        <w:t>储料机构</w:t>
      </w:r>
      <w:r>
        <w:rPr>
          <w:rFonts w:hint="eastAsia"/>
          <w:lang w:eastAsia="zh-CN"/>
        </w:rPr>
        <w:t>：</w:t>
      </w:r>
      <w:r>
        <w:rPr>
          <w:rFonts w:hint="eastAsia"/>
        </w:rPr>
        <w:t>储料机构是一个自带推头的垃圾储料机构，主要部件包括：料箱体、推头，各部件机械结构设计满足工况和承载要求，各机构动作参数符合设计要求。</w:t>
      </w:r>
    </w:p>
    <w:p w14:paraId="0F1421F9">
      <w:pPr>
        <w:pStyle w:val="22"/>
        <w:bidi w:val="0"/>
        <w:rPr>
          <w:rFonts w:hint="eastAsia"/>
        </w:rPr>
      </w:pPr>
      <w:r>
        <w:rPr>
          <w:rFonts w:hint="eastAsia"/>
        </w:rPr>
        <w:t>垃圾压缩箱</w:t>
      </w:r>
      <w:r>
        <w:rPr>
          <w:rFonts w:hint="eastAsia"/>
          <w:lang w:eastAsia="zh-CN"/>
        </w:rPr>
        <w:t>：</w:t>
      </w:r>
      <w:r>
        <w:rPr>
          <w:rFonts w:hint="eastAsia"/>
        </w:rPr>
        <w:t>垃圾压缩机配套的垃圾箱采用特殊设计的垃圾集装箱。垃圾箱以优质钢材制作，侧板及整箱结构根据其实际受力情况局部加强，以保证垃圾箱耐腐蚀、抗磨损，抗变形、抗损坏。整个箱体采用圆弧形无骨架形式，箱体与箱门结合处设有密封装置，整体密封效果好，能有效避免运输途中的垃圾溢出及渗沥液外流。箱体采用四角带圆弧的锥形筒状结构形式，不仅外观简洁美观，而且方便垃圾倾卸和冬季作业。</w:t>
      </w:r>
    </w:p>
    <w:p w14:paraId="346B89CA">
      <w:pPr>
        <w:pStyle w:val="22"/>
        <w:bidi w:val="0"/>
        <w:rPr>
          <w:rFonts w:hint="eastAsia"/>
        </w:rPr>
      </w:pPr>
      <w:r>
        <w:rPr>
          <w:rFonts w:hint="eastAsia"/>
          <w:lang w:eastAsia="zh-CN"/>
        </w:rPr>
        <w:t>车厢</w:t>
      </w:r>
      <w:r>
        <w:rPr>
          <w:rFonts w:hint="eastAsia"/>
        </w:rPr>
        <w:t>可卸式垃圾车</w:t>
      </w:r>
      <w:r>
        <w:rPr>
          <w:rFonts w:hint="eastAsia"/>
          <w:lang w:eastAsia="zh-CN"/>
        </w:rPr>
        <w:t>：车厢</w:t>
      </w:r>
      <w:r>
        <w:rPr>
          <w:rFonts w:hint="eastAsia"/>
        </w:rPr>
        <w:t>可卸式垃圾车是由底盘、进口拉臂装置和钢质车本车箱（垃圾箱）组装而成的，是一种适用于垃圾的收集和运输的专用车辆。主要用于在垃圾中转站使用，在垃圾中转站中通过垃圾压缩机可以将垃圾直接压入密封的垃圾箱中，垃圾箱被压满垃圾后由本车的拉臂装置将垃圾箱拉吊到汽车上然后运走，到了垃圾填埋场可以使垃圾箱自动向后倾卸垃圾。本车结构简单、操作方便、性能可靠，垃圾在吊装和运输的过程中被密封，能有效地避免二次污染</w:t>
      </w:r>
    </w:p>
    <w:p w14:paraId="0F99A936">
      <w:pPr>
        <w:pStyle w:val="22"/>
        <w:bidi w:val="0"/>
        <w:rPr>
          <w:rFonts w:hint="eastAsia"/>
        </w:rPr>
      </w:pPr>
      <w:r>
        <w:rPr>
          <w:rFonts w:hint="eastAsia"/>
        </w:rPr>
        <w:t>箱体移动平车</w:t>
      </w:r>
      <w:r>
        <w:rPr>
          <w:rFonts w:hint="eastAsia"/>
          <w:lang w:eastAsia="zh-CN"/>
        </w:rPr>
        <w:t>：</w:t>
      </w:r>
      <w:r>
        <w:rPr>
          <w:rFonts w:hint="eastAsia"/>
        </w:rPr>
        <w:t>箱体移动平车由两个箱体托架串联而成，平台表面全封闭设计；每个平台最大承载力350kN；采用电机减速器驱动，移动速度为5m/min（可调）；两侧及导轨均设限位装置和感应器，导向轮与固定套之间通过含油连轴器连接，能够自润滑，提高了可靠性和寿命，并减少维护保养作业；控制方式并入压缩机的电控系统，实现手动、自动2种模式控制；移动平车上设置有排污结构，和箱体放置定位装置，使得站内污水不会随意排放，且箱体定位准确，提高设备使用的可靠性</w:t>
      </w:r>
    </w:p>
    <w:p w14:paraId="3C09AF50">
      <w:pPr>
        <w:pStyle w:val="22"/>
        <w:bidi w:val="0"/>
        <w:rPr>
          <w:rFonts w:hint="eastAsia"/>
        </w:rPr>
      </w:pPr>
      <w:r>
        <w:rPr>
          <w:rFonts w:hint="eastAsia"/>
        </w:rPr>
        <w:t>液压系统</w:t>
      </w:r>
      <w:r>
        <w:rPr>
          <w:rFonts w:hint="eastAsia"/>
          <w:lang w:eastAsia="zh-CN"/>
        </w:rPr>
        <w:t>：</w:t>
      </w:r>
      <w:r>
        <w:rPr>
          <w:rFonts w:hint="eastAsia"/>
        </w:rPr>
        <w:t>液压、动力单元内置模块式设计，主要液压元器件采用国际知名品牌，产品质量可靠；压缩机液压系统负责向压缩机各个油缸动作提供动力，工作压力为160bar；油缸和管路要求稳定可靠，布局合理，整齐美观，密封无泄漏，符合《GB/T 7935-2005液压元件通用技术条件》，油缸各项尺寸符合机械结构安装要求。采用独立的数显式油温冷却机回路</w:t>
      </w:r>
      <w:r>
        <w:rPr>
          <w:rFonts w:hint="eastAsia"/>
          <w:lang w:eastAsia="zh-CN"/>
        </w:rPr>
        <w:t>，</w:t>
      </w:r>
      <w:r>
        <w:rPr>
          <w:rFonts w:hint="eastAsia"/>
        </w:rPr>
        <w:t>在油箱内油温升高时</w:t>
      </w:r>
      <w:r>
        <w:rPr>
          <w:rFonts w:hint="eastAsia"/>
          <w:lang w:eastAsia="zh-CN"/>
        </w:rPr>
        <w:t>，</w:t>
      </w:r>
      <w:r>
        <w:rPr>
          <w:rFonts w:hint="eastAsia"/>
        </w:rPr>
        <w:t>数显式油温冷却机开启冷却模式冷却油温，油温温度可通过数显式仪表显示油温，油温长时间工作不会超过70℃，保证系统的正常运行。</w:t>
      </w:r>
    </w:p>
    <w:p w14:paraId="6D11C0C6">
      <w:pPr>
        <w:pStyle w:val="22"/>
        <w:bidi w:val="0"/>
        <w:rPr>
          <w:rFonts w:hint="eastAsia"/>
        </w:rPr>
      </w:pPr>
      <w:r>
        <w:rPr>
          <w:rFonts w:hint="eastAsia"/>
        </w:rPr>
        <w:t>电控系统</w:t>
      </w:r>
      <w:r>
        <w:rPr>
          <w:rFonts w:hint="eastAsia"/>
          <w:lang w:eastAsia="zh-CN"/>
        </w:rPr>
        <w:t>：</w:t>
      </w:r>
      <w:r>
        <w:rPr>
          <w:rFonts w:hint="eastAsia"/>
        </w:rPr>
        <w:t>主要元器件采用进口及国产优质元器件，以确保设备的性能及工作寿命；采用激光电传感器：推头采用激光电传感器进行实时监控推头位置，减少传感器布置及维护难度，提高推料重量精度；采用料位传感器：根据料位传感器判断料仓料位、及垃圾掉落压缩腔体的情况，实现压缩推头压缩循环控制，提高推头的工作效率；操作动作间设有互锁功能，避免误动作；电气系统具有可视化故障报警提示、动作监控以及故障报警指示灯。嵌入式一体化工控机，可以记录报警信息，实时压缩次数显示，具有压缩报满声光指示；根据实时工况自动变频，降低能耗</w:t>
      </w:r>
    </w:p>
    <w:p w14:paraId="1A78A603">
      <w:pPr>
        <w:pStyle w:val="22"/>
        <w:bidi w:val="0"/>
        <w:rPr>
          <w:rFonts w:hint="eastAsia"/>
        </w:rPr>
      </w:pPr>
      <w:r>
        <w:rPr>
          <w:rFonts w:hint="eastAsia"/>
        </w:rPr>
        <w:t>集中润滑系统</w:t>
      </w:r>
      <w:r>
        <w:rPr>
          <w:rFonts w:hint="eastAsia"/>
          <w:lang w:eastAsia="zh-CN"/>
        </w:rPr>
        <w:t>：</w:t>
      </w:r>
      <w:r>
        <w:rPr>
          <w:rFonts w:hint="eastAsia"/>
        </w:rPr>
        <w:t>采用国内著名的润滑产品品牌，该润滑设备可按设备保养规定的时间间隔，通过轻轻按动启动按钮，电动润滑泵则会将定量的润滑脂注入设备铰接点。操作方便，有效降低各铰接点的磨损，延长设备使用寿命，降低了环卫工人的劳动强度。</w:t>
      </w:r>
    </w:p>
    <w:p w14:paraId="0A0D743A">
      <w:pPr>
        <w:pStyle w:val="22"/>
        <w:bidi w:val="0"/>
        <w:rPr>
          <w:rFonts w:hint="eastAsia" w:eastAsia="宋体"/>
          <w:lang w:eastAsia="zh-CN"/>
        </w:rPr>
      </w:pPr>
      <w:r>
        <w:rPr>
          <w:rFonts w:hint="eastAsia"/>
        </w:rPr>
        <w:t>中央集控系统</w:t>
      </w:r>
      <w:r>
        <w:rPr>
          <w:rFonts w:hint="eastAsia"/>
          <w:lang w:eastAsia="zh-CN"/>
        </w:rPr>
        <w:t>：</w:t>
      </w:r>
      <w:r>
        <w:rPr>
          <w:rFonts w:hint="eastAsia"/>
        </w:rPr>
        <w:t>中央控制系统为整个垃圾中转站设备系统提供设备运行的监视、控制功能，后者为整个中转站设备系统提供实时视频画面并记录。中央集控系统对中型垃圾中转站内全站设备的监控、监视，操作人员在中控室内就能清楚知道垃圾中转站内设备运行情况，能进行站内设备的开启、运行、停止等操作，概而言之，在中控室内，操作人员将能完成下述任务。①</w:t>
      </w:r>
      <w:r>
        <w:rPr>
          <w:rFonts w:hint="eastAsia"/>
          <w:lang w:val="en-US" w:eastAsia="zh-CN"/>
        </w:rPr>
        <w:t xml:space="preserve"> </w:t>
      </w:r>
      <w:r>
        <w:rPr>
          <w:rFonts w:hint="eastAsia"/>
        </w:rPr>
        <w:t>操作人员通过电脑显示屏上设备运行画面和运行过程中的提醒文字对设备实际运行状况有全面了解。②</w:t>
      </w:r>
      <w:r>
        <w:rPr>
          <w:rFonts w:hint="eastAsia"/>
          <w:lang w:val="en-US" w:eastAsia="zh-CN"/>
        </w:rPr>
        <w:t xml:space="preserve"> </w:t>
      </w:r>
      <w:r>
        <w:rPr>
          <w:rFonts w:hint="eastAsia"/>
        </w:rPr>
        <w:t>操作人员通过简单的鼠标操作对垃圾压缩系统、抽风除臭系统、空间雾化除臭系统和快速门等设备的运行发出全部指令。③在紧急的情况下，按下操作台上的急停按钮内实现设备的紧急停止，保护人员和设备的安全。④</w:t>
      </w:r>
      <w:r>
        <w:rPr>
          <w:rFonts w:hint="eastAsia"/>
          <w:lang w:val="en-US" w:eastAsia="zh-CN"/>
        </w:rPr>
        <w:t xml:space="preserve"> </w:t>
      </w:r>
      <w:r>
        <w:rPr>
          <w:rFonts w:hint="eastAsia"/>
        </w:rPr>
        <w:t>操作人员通过简单的鼠标操作切换相应位置的红灯和绿灯，对拉臂钩驾驶人员、卸料车辆的进行指挥。⑤</w:t>
      </w:r>
      <w:r>
        <w:rPr>
          <w:rFonts w:hint="eastAsia"/>
          <w:lang w:val="en-US" w:eastAsia="zh-CN"/>
        </w:rPr>
        <w:t xml:space="preserve"> </w:t>
      </w:r>
      <w:r>
        <w:rPr>
          <w:rFonts w:hint="eastAsia"/>
        </w:rPr>
        <w:t>操作人员通过视频监视系统反馈回来的画面了解垃圾压缩设备作业过程中相关因素，如料槽垃圾量、卸料车辆、垃圾集装箱和拉臂钩车的画面直观情况。⑥</w:t>
      </w:r>
      <w:r>
        <w:rPr>
          <w:rFonts w:hint="eastAsia"/>
          <w:lang w:val="en-US" w:eastAsia="zh-CN"/>
        </w:rPr>
        <w:t xml:space="preserve"> </w:t>
      </w:r>
      <w:r>
        <w:rPr>
          <w:rFonts w:hint="eastAsia"/>
        </w:rPr>
        <w:t>操作人员能通过语言系统对垃圾中转站内人员进行调度和指挥</w:t>
      </w:r>
      <w:r>
        <w:rPr>
          <w:rFonts w:hint="eastAsia"/>
          <w:lang w:eastAsia="zh-CN"/>
        </w:rPr>
        <w:t>。</w:t>
      </w:r>
    </w:p>
    <w:p w14:paraId="6B4C196D">
      <w:pPr>
        <w:pStyle w:val="22"/>
        <w:bidi w:val="0"/>
        <w:rPr>
          <w:rFonts w:hint="eastAsia"/>
        </w:rPr>
      </w:pPr>
      <w:r>
        <w:rPr>
          <w:rFonts w:hint="eastAsia"/>
        </w:rPr>
        <w:t>负压抽风除尘除臭系统</w:t>
      </w:r>
      <w:r>
        <w:rPr>
          <w:rFonts w:hint="eastAsia"/>
          <w:lang w:eastAsia="zh-CN"/>
        </w:rPr>
        <w:t>：</w:t>
      </w:r>
      <w:r>
        <w:rPr>
          <w:rFonts w:hint="eastAsia"/>
        </w:rPr>
        <w:t>垃圾转运站在工作过程中，灰尘和臭气是一个相当严重的问题，不但造成环境污染，更损害工作人员的健康。当垃圾收集车向料槽内倾倒垃圾时，将可能产生较大的灰尘，同时垃圾根据收集前已滞留的时间，会不同程度地散发出臭气，抽风除臭系统通过管道与卸料槽连接，当除臭系统工作时，风机运转吸风，卸料槽内产生负压，臭气与灰尘通过管道进入除尘塔中处理，经抽风除臭系统处理，达标排放标准后排放。</w:t>
      </w:r>
    </w:p>
    <w:p w14:paraId="2EB58432">
      <w:pPr>
        <w:pStyle w:val="22"/>
        <w:bidi w:val="0"/>
        <w:rPr>
          <w:rFonts w:hint="eastAsia"/>
        </w:rPr>
      </w:pPr>
      <w:r>
        <w:rPr>
          <w:rFonts w:hint="eastAsia"/>
        </w:rPr>
        <w:t>喷淋雾化除臭系统</w:t>
      </w:r>
      <w:r>
        <w:rPr>
          <w:rFonts w:hint="eastAsia"/>
          <w:lang w:eastAsia="zh-CN"/>
        </w:rPr>
        <w:t>：</w:t>
      </w:r>
      <w:r>
        <w:rPr>
          <w:rFonts w:hint="eastAsia"/>
        </w:rPr>
        <w:t>本方案配备植物液空间雾化除臭系统，主要用于卸料大堂的空间异味除臭</w:t>
      </w:r>
    </w:p>
    <w:p w14:paraId="32B3067D">
      <w:pPr>
        <w:pStyle w:val="22"/>
        <w:bidi w:val="0"/>
        <w:rPr>
          <w:rFonts w:hint="eastAsia"/>
        </w:rPr>
      </w:pPr>
      <w:r>
        <w:rPr>
          <w:rFonts w:hint="eastAsia"/>
        </w:rPr>
        <w:t>自动卷帘门系统</w:t>
      </w:r>
      <w:r>
        <w:rPr>
          <w:rFonts w:hint="eastAsia"/>
          <w:lang w:eastAsia="zh-CN"/>
        </w:rPr>
        <w:t>：</w:t>
      </w:r>
      <w:r>
        <w:rPr>
          <w:rFonts w:hint="eastAsia"/>
        </w:rPr>
        <w:t>自动卷帘门主要包括卷帘门、安全装置（安全气囊）、PLC控制器、驱动装置、电控系统、地磁感应线圈等。</w:t>
      </w:r>
    </w:p>
    <w:p w14:paraId="36B652CD">
      <w:pPr>
        <w:pStyle w:val="22"/>
        <w:bidi w:val="0"/>
        <w:rPr>
          <w:rFonts w:hint="eastAsia"/>
        </w:rPr>
      </w:pPr>
      <w:r>
        <w:rPr>
          <w:rFonts w:hint="eastAsia"/>
        </w:rPr>
        <w:t>地磅称重及车辆识别系统</w:t>
      </w:r>
      <w:r>
        <w:rPr>
          <w:rFonts w:hint="eastAsia"/>
          <w:lang w:eastAsia="zh-CN"/>
        </w:rPr>
        <w:t>：</w:t>
      </w:r>
      <w:r>
        <w:rPr>
          <w:rFonts w:hint="eastAsia"/>
        </w:rPr>
        <w:t>本方案采用电子汽车衡称重系统，其优越的性能和长期的稳定性、可靠性，不仅提高了企业的进出物资贸易结算的效率，而且能深入应用到生产过程的监控和企业的综合数据系统管理中。</w:t>
      </w:r>
    </w:p>
    <w:p w14:paraId="20680FDC">
      <w:pPr>
        <w:pStyle w:val="22"/>
        <w:bidi w:val="0"/>
        <w:rPr>
          <w:rFonts w:hint="eastAsia"/>
        </w:rPr>
      </w:pPr>
      <w:r>
        <w:rPr>
          <w:rFonts w:hint="eastAsia"/>
        </w:rPr>
        <w:t>高压清洗机</w:t>
      </w:r>
      <w:r>
        <w:rPr>
          <w:rFonts w:hint="eastAsia"/>
          <w:lang w:eastAsia="zh-CN"/>
        </w:rPr>
        <w:t>：</w:t>
      </w:r>
      <w:r>
        <w:rPr>
          <w:rFonts w:hint="eastAsia"/>
        </w:rPr>
        <w:t>本方案选配采用进口的高压清洗机对转运车、垃圾集装箱、作业场地每天进行清洗。</w:t>
      </w:r>
    </w:p>
    <w:p w14:paraId="103D2FD5">
      <w:pPr>
        <w:pStyle w:val="22"/>
        <w:bidi w:val="0"/>
        <w:rPr>
          <w:rFonts w:hint="eastAsia"/>
          <w:b/>
          <w:bCs/>
        </w:rPr>
      </w:pPr>
      <w:bookmarkStart w:id="134" w:name="_Toc186792605"/>
      <w:r>
        <w:rPr>
          <w:rFonts w:hint="eastAsia"/>
          <w:b/>
          <w:bCs/>
          <w:lang w:val="en-US" w:eastAsia="zh-CN"/>
        </w:rPr>
        <w:t>五、</w:t>
      </w:r>
      <w:r>
        <w:rPr>
          <w:rFonts w:hint="eastAsia"/>
          <w:b/>
          <w:bCs/>
        </w:rPr>
        <w:t>大件垃圾处置工艺</w:t>
      </w:r>
      <w:bookmarkEnd w:id="134"/>
    </w:p>
    <w:p w14:paraId="2D1D583E">
      <w:pPr>
        <w:pStyle w:val="22"/>
        <w:bidi w:val="0"/>
        <w:rPr>
          <w:rFonts w:hint="eastAsia"/>
        </w:rPr>
      </w:pPr>
      <w:r>
        <w:rPr>
          <w:rFonts w:hint="eastAsia"/>
        </w:rPr>
        <w:t>1、基本概况</w:t>
      </w:r>
    </w:p>
    <w:p w14:paraId="7F4E99A4">
      <w:pPr>
        <w:pStyle w:val="22"/>
        <w:bidi w:val="0"/>
        <w:rPr>
          <w:rFonts w:hint="eastAsia"/>
        </w:rPr>
      </w:pPr>
      <w:r>
        <w:rPr>
          <w:rFonts w:hint="eastAsia"/>
        </w:rPr>
        <w:t>随着城市不断发展、生活水平逐渐提高，住房装修、搬迁、居民、办公场所、学校的废旧家具更新过程中，产生的大件垃圾也日渐增多。根据相关规定：居民家庭装修废弃物和废弃沙发、衣柜、床等大件家具，不得投放到垃圾收集点或者收集容器内。大部分居民贪图方便，将大件垃圾随处丢弃在马路边、小区角落、垃圾堆等，这不仅影响市民的出行，堆滞久了，成为蟑螂、老鼠的藏身地，极易产生病虫害，还影响市民居住为啥、影响城市环境。</w:t>
      </w:r>
    </w:p>
    <w:p w14:paraId="56170C70">
      <w:pPr>
        <w:pStyle w:val="22"/>
        <w:bidi w:val="0"/>
        <w:rPr>
          <w:rFonts w:hint="eastAsia" w:eastAsia="宋体"/>
          <w:lang w:eastAsia="zh-CN"/>
        </w:rPr>
      </w:pPr>
      <w:r>
        <w:rPr>
          <w:rFonts w:hint="eastAsia"/>
        </w:rPr>
        <w:t>按照《大件垃圾收集和利用技术要求》（GB/T25175-2010）“大件垃圾”是指重量超过5kg或体积超过0.2m³或者长度超过1m，且整体性强而且需要拆解后再利用或处理的废弃物</w:t>
      </w:r>
      <w:r>
        <w:rPr>
          <w:rFonts w:hint="eastAsia"/>
          <w:lang w:eastAsia="zh-CN"/>
        </w:rPr>
        <w:t>（</w:t>
      </w:r>
      <w:r>
        <w:rPr>
          <w:rFonts w:hint="eastAsia"/>
        </w:rPr>
        <w:t>如废家具</w:t>
      </w:r>
      <w:r>
        <w:rPr>
          <w:rFonts w:hint="eastAsia"/>
          <w:lang w:eastAsia="zh-CN"/>
        </w:rPr>
        <w:t>）</w:t>
      </w:r>
      <w:r>
        <w:rPr>
          <w:rFonts w:hint="eastAsia"/>
        </w:rPr>
        <w:t>及各种废家用电器、电子产品等</w:t>
      </w:r>
      <w:r>
        <w:rPr>
          <w:rFonts w:hint="eastAsia"/>
          <w:lang w:eastAsia="zh-CN"/>
        </w:rPr>
        <w:t>。</w:t>
      </w:r>
    </w:p>
    <w:p w14:paraId="74F52453">
      <w:pPr>
        <w:pStyle w:val="22"/>
        <w:bidi w:val="0"/>
        <w:rPr>
          <w:rFonts w:hint="eastAsia"/>
        </w:rPr>
      </w:pPr>
      <w:r>
        <w:rPr>
          <w:rFonts w:hint="eastAsia"/>
        </w:rPr>
        <w:t>人工拆解，拆解过程中产生大量粉尘，劳动环境恶劣，极易产生职业病，同时拆解劳动强度大、效率低。如何环保、高效地处理大件生活垃圾已经成为亟待解决的问题。</w:t>
      </w:r>
    </w:p>
    <w:p w14:paraId="2CBD3C0B">
      <w:pPr>
        <w:pStyle w:val="22"/>
        <w:bidi w:val="0"/>
        <w:rPr>
          <w:rFonts w:hint="eastAsia"/>
        </w:rPr>
      </w:pPr>
      <w:r>
        <w:rPr>
          <w:rFonts w:hint="eastAsia"/>
        </w:rPr>
        <w:t>大件垃圾处理设备具备智能化自动传送大件垃圾、自动破碎、自动传送破碎物等功能于一身。改善了大件垃圾破碎环境、降低工人劳动强度、提供破碎效率。大件垃圾处理设备可以处理家具、园林垃圾、装修垃圾等各种大件垃圾。</w:t>
      </w:r>
    </w:p>
    <w:p w14:paraId="0E7AB8C2">
      <w:pPr>
        <w:pStyle w:val="22"/>
        <w:bidi w:val="0"/>
      </w:pPr>
      <w:bookmarkStart w:id="135" w:name="_Toc23326"/>
      <w:bookmarkStart w:id="136" w:name="_Toc10093_WPSOffice_Level1"/>
      <w:r>
        <w:rPr>
          <w:rFonts w:hint="eastAsia"/>
        </w:rPr>
        <w:t>2、大件垃圾处理系统</w:t>
      </w:r>
      <w:bookmarkEnd w:id="135"/>
      <w:bookmarkEnd w:id="136"/>
    </w:p>
    <w:p w14:paraId="67EF8E50">
      <w:pPr>
        <w:pStyle w:val="22"/>
        <w:bidi w:val="0"/>
      </w:pPr>
      <w:r>
        <w:rPr>
          <w:rFonts w:hint="eastAsia"/>
        </w:rPr>
        <w:t>该大件垃圾处理系统通过链板输送机将大件垃圾输送至破碎机，破碎成较小规格物料，除铁器分选出铁丝、铁片等金属，其他物料通过皮带输送机输送归堆或直接送入垃圾清运车，整套生产线配备专业降尘系统，实现了垃圾快速中转、有效减容、合理分类处理。</w:t>
      </w:r>
    </w:p>
    <w:p w14:paraId="0FCE12C2">
      <w:pPr>
        <w:pStyle w:val="22"/>
        <w:bidi w:val="0"/>
        <w:ind w:left="0" w:leftChars="0" w:firstLine="0" w:firstLineChars="0"/>
        <w:jc w:val="center"/>
      </w:pPr>
      <w:r>
        <w:drawing>
          <wp:inline distT="0" distB="0" distL="114300" distR="114300">
            <wp:extent cx="4984115" cy="1807210"/>
            <wp:effectExtent l="0" t="0" r="6985" b="8890"/>
            <wp:docPr id="77" name="图片 41" descr="说明: 流程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图片 41" descr="说明: 流程图"/>
                    <pic:cNvPicPr>
                      <a:picLocks noChangeAspect="1"/>
                    </pic:cNvPicPr>
                  </pic:nvPicPr>
                  <pic:blipFill>
                    <a:blip r:embed="rId30"/>
                    <a:srcRect t="8089" b="8206"/>
                    <a:stretch>
                      <a:fillRect/>
                    </a:stretch>
                  </pic:blipFill>
                  <pic:spPr>
                    <a:xfrm>
                      <a:off x="0" y="0"/>
                      <a:ext cx="4984115" cy="1807210"/>
                    </a:xfrm>
                    <a:prstGeom prst="rect">
                      <a:avLst/>
                    </a:prstGeom>
                    <a:noFill/>
                    <a:ln>
                      <a:noFill/>
                    </a:ln>
                  </pic:spPr>
                </pic:pic>
              </a:graphicData>
            </a:graphic>
          </wp:inline>
        </w:drawing>
      </w:r>
    </w:p>
    <w:p w14:paraId="75E61104">
      <w:pPr>
        <w:pStyle w:val="24"/>
        <w:bidi w:val="0"/>
      </w:pPr>
      <w:bookmarkStart w:id="137" w:name="_Toc21334_WPSOffice_Level2"/>
      <w:bookmarkStart w:id="138" w:name="_Toc8788_WPSOffice_Level2"/>
      <w:bookmarkStart w:id="139" w:name="_Toc3725_WPSOffice_Level2"/>
      <w:r>
        <w:rPr>
          <w:rFonts w:hint="eastAsia"/>
        </w:rPr>
        <w:t>大件垃圾处理示意图</w:t>
      </w:r>
      <w:bookmarkEnd w:id="137"/>
      <w:bookmarkEnd w:id="138"/>
      <w:bookmarkEnd w:id="139"/>
    </w:p>
    <w:p w14:paraId="5C357911">
      <w:pPr>
        <w:pStyle w:val="22"/>
        <w:bidi w:val="0"/>
        <w:spacing w:line="240" w:lineRule="auto"/>
        <w:ind w:left="0" w:leftChars="0" w:firstLine="0" w:firstLineChars="0"/>
        <w:jc w:val="center"/>
        <w:rPr>
          <w:lang w:val="zh-CN"/>
        </w:rPr>
      </w:pPr>
      <w:r>
        <w:drawing>
          <wp:inline distT="0" distB="0" distL="114300" distR="114300">
            <wp:extent cx="5005070" cy="3053080"/>
            <wp:effectExtent l="0" t="0" r="11430" b="7620"/>
            <wp:docPr id="62"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图片 42"/>
                    <pic:cNvPicPr>
                      <a:picLocks noChangeAspect="1"/>
                    </pic:cNvPicPr>
                  </pic:nvPicPr>
                  <pic:blipFill>
                    <a:blip r:embed="rId31"/>
                    <a:stretch>
                      <a:fillRect/>
                    </a:stretch>
                  </pic:blipFill>
                  <pic:spPr>
                    <a:xfrm>
                      <a:off x="0" y="0"/>
                      <a:ext cx="5005070" cy="3053080"/>
                    </a:xfrm>
                    <a:prstGeom prst="rect">
                      <a:avLst/>
                    </a:prstGeom>
                    <a:noFill/>
                    <a:ln>
                      <a:noFill/>
                    </a:ln>
                  </pic:spPr>
                </pic:pic>
              </a:graphicData>
            </a:graphic>
          </wp:inline>
        </w:drawing>
      </w:r>
    </w:p>
    <w:p w14:paraId="6BE331CE">
      <w:pPr>
        <w:pStyle w:val="22"/>
        <w:bidi w:val="0"/>
        <w:ind w:left="0" w:leftChars="0" w:firstLine="0" w:firstLineChars="0"/>
        <w:jc w:val="center"/>
        <w:rPr>
          <w:lang w:val="zh-CN"/>
        </w:rPr>
      </w:pPr>
      <w:r>
        <w:rPr>
          <w:rFonts w:hint="eastAsia"/>
          <w:lang w:val="en-US" w:eastAsia="zh-CN"/>
        </w:rPr>
        <w:t>1-</w:t>
      </w:r>
      <w:r>
        <w:rPr>
          <w:lang w:val="zh-CN"/>
        </w:rPr>
        <w:t>除尘系统2-出料输送机3-磁选系统4-破碎主机</w:t>
      </w:r>
    </w:p>
    <w:p w14:paraId="68ECDB57">
      <w:pPr>
        <w:pStyle w:val="22"/>
        <w:bidi w:val="0"/>
        <w:ind w:left="0" w:leftChars="0" w:firstLine="0" w:firstLineChars="0"/>
        <w:jc w:val="center"/>
        <w:rPr>
          <w:lang w:val="zh-CN"/>
        </w:rPr>
      </w:pPr>
      <w:r>
        <w:rPr>
          <w:lang w:val="zh-CN"/>
        </w:rPr>
        <w:t>5-电控系统6-上料链板输送机</w:t>
      </w:r>
    </w:p>
    <w:p w14:paraId="6038C162">
      <w:pPr>
        <w:pStyle w:val="22"/>
        <w:bidi w:val="0"/>
      </w:pPr>
      <w:bookmarkStart w:id="140" w:name="_Toc6226_WPSOffice_Level1"/>
      <w:bookmarkStart w:id="141" w:name="_Toc15110"/>
      <w:r>
        <w:rPr>
          <w:rFonts w:hint="eastAsia"/>
          <w:lang w:val="en-US" w:eastAsia="zh-CN"/>
        </w:rPr>
        <w:t>3、</w:t>
      </w:r>
      <w:r>
        <w:rPr>
          <w:rFonts w:hint="eastAsia"/>
        </w:rPr>
        <w:t>设备性能描述</w:t>
      </w:r>
      <w:bookmarkEnd w:id="140"/>
      <w:bookmarkEnd w:id="141"/>
    </w:p>
    <w:p w14:paraId="06B9725A">
      <w:pPr>
        <w:pStyle w:val="25"/>
        <w:bidi w:val="0"/>
      </w:pPr>
      <w:bookmarkStart w:id="142" w:name="_Toc6826"/>
      <w:bookmarkStart w:id="143" w:name="_Toc6310_WPSOffice_Level2"/>
      <w:bookmarkStart w:id="144" w:name="_Toc30159"/>
      <w:r>
        <w:rPr>
          <w:rFonts w:hint="eastAsia"/>
        </w:rPr>
        <w:t>链板输送机</w:t>
      </w:r>
      <w:bookmarkEnd w:id="142"/>
      <w:bookmarkEnd w:id="143"/>
      <w:bookmarkEnd w:id="144"/>
    </w:p>
    <w:tbl>
      <w:tblPr>
        <w:tblStyle w:val="11"/>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542"/>
        <w:gridCol w:w="7858"/>
      </w:tblGrid>
      <w:tr w14:paraId="59E1A39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820" w:type="pct"/>
            <w:noWrap w:val="0"/>
            <w:vAlign w:val="center"/>
          </w:tcPr>
          <w:p w14:paraId="20A6BFA6">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kern w:val="0"/>
                <w:sz w:val="20"/>
                <w:szCs w:val="20"/>
                <w:u w:val="none"/>
                <w:lang w:val="en-US" w:eastAsia="zh-CN" w:bidi="ar"/>
              </w:rPr>
            </w:pPr>
            <w:r>
              <w:rPr>
                <w:rFonts w:hint="eastAsia" w:ascii="Times New Roman" w:hAnsi="Times New Roman" w:eastAsia="宋体" w:cs="Times New Roman"/>
                <w:i w:val="0"/>
                <w:iCs w:val="0"/>
                <w:color w:val="000000"/>
                <w:kern w:val="0"/>
                <w:sz w:val="20"/>
                <w:szCs w:val="20"/>
                <w:u w:val="none"/>
                <w:lang w:val="en-US" w:eastAsia="zh-CN" w:bidi="ar"/>
              </w:rPr>
              <w:t>功能介绍</w:t>
            </w:r>
          </w:p>
        </w:tc>
        <w:tc>
          <w:tcPr>
            <w:tcW w:w="4179" w:type="pct"/>
            <w:noWrap w:val="0"/>
            <w:vAlign w:val="center"/>
          </w:tcPr>
          <w:p w14:paraId="17BC2144">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kern w:val="0"/>
                <w:sz w:val="20"/>
                <w:szCs w:val="20"/>
                <w:u w:val="none"/>
                <w:lang w:val="en-US" w:eastAsia="zh-CN" w:bidi="ar"/>
              </w:rPr>
            </w:pPr>
            <w:r>
              <w:rPr>
                <w:rFonts w:hint="eastAsia" w:ascii="Times New Roman" w:hAnsi="Times New Roman" w:eastAsia="宋体" w:cs="Times New Roman"/>
                <w:i w:val="0"/>
                <w:iCs w:val="0"/>
                <w:color w:val="000000"/>
                <w:kern w:val="0"/>
                <w:sz w:val="20"/>
                <w:szCs w:val="20"/>
                <w:u w:val="none"/>
                <w:lang w:val="en-US" w:eastAsia="zh-CN" w:bidi="ar"/>
              </w:rPr>
              <w:t>物料输送作用，将大件垃圾从地面输送至双轴撕碎机进料口。</w:t>
            </w:r>
          </w:p>
        </w:tc>
      </w:tr>
      <w:tr w14:paraId="1F4F62B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820" w:type="pct"/>
            <w:noWrap w:val="0"/>
            <w:vAlign w:val="center"/>
          </w:tcPr>
          <w:p w14:paraId="0CBBCDC2">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kern w:val="0"/>
                <w:sz w:val="20"/>
                <w:szCs w:val="20"/>
                <w:u w:val="none"/>
                <w:lang w:val="en-US" w:eastAsia="zh-CN" w:bidi="ar"/>
              </w:rPr>
            </w:pPr>
            <w:r>
              <w:rPr>
                <w:rFonts w:hint="eastAsia" w:ascii="Times New Roman" w:hAnsi="Times New Roman" w:eastAsia="宋体" w:cs="Times New Roman"/>
                <w:i w:val="0"/>
                <w:iCs w:val="0"/>
                <w:color w:val="000000"/>
                <w:kern w:val="0"/>
                <w:sz w:val="20"/>
                <w:szCs w:val="20"/>
                <w:u w:val="none"/>
                <w:lang w:val="en-US" w:eastAsia="zh-CN" w:bidi="ar"/>
              </w:rPr>
              <w:t>设备组成</w:t>
            </w:r>
          </w:p>
        </w:tc>
        <w:tc>
          <w:tcPr>
            <w:tcW w:w="4179" w:type="pct"/>
            <w:noWrap w:val="0"/>
            <w:vAlign w:val="center"/>
          </w:tcPr>
          <w:p w14:paraId="7503A7C5">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kern w:val="0"/>
                <w:sz w:val="20"/>
                <w:szCs w:val="20"/>
                <w:u w:val="none"/>
                <w:lang w:val="en-US" w:eastAsia="zh-CN" w:bidi="ar"/>
              </w:rPr>
            </w:pPr>
            <w:r>
              <w:rPr>
                <w:rFonts w:hint="eastAsia" w:ascii="Times New Roman" w:hAnsi="Times New Roman" w:eastAsia="宋体" w:cs="Times New Roman"/>
                <w:i w:val="0"/>
                <w:iCs w:val="0"/>
                <w:color w:val="000000"/>
                <w:kern w:val="0"/>
                <w:sz w:val="20"/>
                <w:szCs w:val="20"/>
                <w:u w:val="none"/>
                <w:lang w:val="en-US" w:eastAsia="zh-CN" w:bidi="ar"/>
              </w:rPr>
              <w:t>驱动电机、减速机、板链、机架、张紧装置等。</w:t>
            </w:r>
          </w:p>
        </w:tc>
      </w:tr>
      <w:tr w14:paraId="0AA29B9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820" w:type="pct"/>
            <w:noWrap w:val="0"/>
            <w:vAlign w:val="center"/>
          </w:tcPr>
          <w:p w14:paraId="1C25FFFC">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kern w:val="0"/>
                <w:sz w:val="20"/>
                <w:szCs w:val="20"/>
                <w:u w:val="none"/>
                <w:lang w:val="en-US" w:eastAsia="zh-CN" w:bidi="ar"/>
              </w:rPr>
            </w:pPr>
            <w:r>
              <w:rPr>
                <w:rFonts w:hint="eastAsia" w:ascii="Times New Roman" w:hAnsi="Times New Roman" w:eastAsia="宋体" w:cs="Times New Roman"/>
                <w:i w:val="0"/>
                <w:iCs w:val="0"/>
                <w:color w:val="000000"/>
                <w:kern w:val="0"/>
                <w:sz w:val="20"/>
                <w:szCs w:val="20"/>
                <w:u w:val="none"/>
                <w:lang w:val="en-US" w:eastAsia="zh-CN" w:bidi="ar"/>
              </w:rPr>
              <w:t>特点优势</w:t>
            </w:r>
          </w:p>
        </w:tc>
        <w:tc>
          <w:tcPr>
            <w:tcW w:w="4179" w:type="pct"/>
            <w:noWrap w:val="0"/>
            <w:vAlign w:val="center"/>
          </w:tcPr>
          <w:p w14:paraId="5525AD74">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kern w:val="0"/>
                <w:sz w:val="20"/>
                <w:szCs w:val="20"/>
                <w:u w:val="none"/>
                <w:lang w:val="en-US" w:eastAsia="zh-CN" w:bidi="ar"/>
              </w:rPr>
            </w:pPr>
            <w:r>
              <w:rPr>
                <w:rFonts w:hint="eastAsia" w:ascii="Times New Roman" w:hAnsi="Times New Roman" w:eastAsia="宋体" w:cs="Times New Roman"/>
                <w:i w:val="0"/>
                <w:iCs w:val="0"/>
                <w:color w:val="000000"/>
                <w:kern w:val="0"/>
                <w:sz w:val="20"/>
                <w:szCs w:val="20"/>
                <w:u w:val="none"/>
                <w:lang w:val="en-US" w:eastAsia="zh-CN" w:bidi="ar"/>
              </w:rPr>
              <w:t>可调速电机，根据生产情况，进行相应调速，高效节能；</w:t>
            </w:r>
          </w:p>
          <w:p w14:paraId="1BDE1372">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kern w:val="0"/>
                <w:sz w:val="20"/>
                <w:szCs w:val="20"/>
                <w:u w:val="none"/>
                <w:lang w:val="en-US" w:eastAsia="zh-CN" w:bidi="ar"/>
              </w:rPr>
            </w:pPr>
            <w:r>
              <w:rPr>
                <w:rFonts w:hint="eastAsia" w:ascii="Times New Roman" w:hAnsi="Times New Roman" w:eastAsia="宋体" w:cs="Times New Roman"/>
                <w:i w:val="0"/>
                <w:iCs w:val="0"/>
                <w:color w:val="000000"/>
                <w:kern w:val="0"/>
                <w:sz w:val="20"/>
                <w:szCs w:val="20"/>
                <w:u w:val="none"/>
                <w:lang w:val="en-US" w:eastAsia="zh-CN" w:bidi="ar"/>
              </w:rPr>
              <w:t>链板上设置防滑挡料隔条，防止物料传送滑落，提高输送效率；</w:t>
            </w:r>
          </w:p>
          <w:p w14:paraId="64DA3683">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kern w:val="0"/>
                <w:sz w:val="20"/>
                <w:szCs w:val="20"/>
                <w:u w:val="none"/>
                <w:lang w:val="en-US" w:eastAsia="zh-CN" w:bidi="ar"/>
              </w:rPr>
            </w:pPr>
            <w:r>
              <w:rPr>
                <w:rFonts w:hint="eastAsia" w:ascii="Times New Roman" w:hAnsi="Times New Roman" w:eastAsia="宋体" w:cs="Times New Roman"/>
                <w:i w:val="0"/>
                <w:iCs w:val="0"/>
                <w:color w:val="000000"/>
                <w:kern w:val="0"/>
                <w:sz w:val="20"/>
                <w:szCs w:val="20"/>
                <w:u w:val="none"/>
                <w:lang w:val="en-US" w:eastAsia="zh-CN" w:bidi="ar"/>
              </w:rPr>
              <w:t>Z字形设计，输送效率高，无落料漏；</w:t>
            </w:r>
          </w:p>
          <w:p w14:paraId="750ACA81">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kern w:val="0"/>
                <w:sz w:val="20"/>
                <w:szCs w:val="20"/>
                <w:u w:val="none"/>
                <w:lang w:val="en-US" w:eastAsia="zh-CN" w:bidi="ar"/>
              </w:rPr>
            </w:pPr>
            <w:r>
              <w:rPr>
                <w:rFonts w:hint="eastAsia" w:ascii="Times New Roman" w:hAnsi="Times New Roman" w:eastAsia="宋体" w:cs="Times New Roman"/>
                <w:i w:val="0"/>
                <w:iCs w:val="0"/>
                <w:color w:val="000000"/>
                <w:kern w:val="0"/>
                <w:sz w:val="20"/>
                <w:szCs w:val="20"/>
                <w:u w:val="none"/>
                <w:lang w:val="en-US" w:eastAsia="zh-CN" w:bidi="ar"/>
              </w:rPr>
              <w:t>输送机设有安全防护楼梯、检修扶手、平台；</w:t>
            </w:r>
          </w:p>
          <w:p w14:paraId="6EFBB2A1">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kern w:val="0"/>
                <w:sz w:val="20"/>
                <w:szCs w:val="20"/>
                <w:u w:val="none"/>
                <w:lang w:val="en-US" w:eastAsia="zh-CN" w:bidi="ar"/>
              </w:rPr>
            </w:pPr>
            <w:r>
              <w:rPr>
                <w:rFonts w:hint="eastAsia" w:ascii="Times New Roman" w:hAnsi="Times New Roman" w:eastAsia="宋体" w:cs="Times New Roman"/>
                <w:i w:val="0"/>
                <w:iCs w:val="0"/>
                <w:color w:val="000000"/>
                <w:kern w:val="0"/>
                <w:sz w:val="20"/>
                <w:szCs w:val="20"/>
                <w:u w:val="none"/>
                <w:lang w:val="en-US" w:eastAsia="zh-CN" w:bidi="ar"/>
              </w:rPr>
              <w:t>输送机两侧均设有急停按钮及拉绳装置。</w:t>
            </w:r>
          </w:p>
        </w:tc>
      </w:tr>
      <w:tr w14:paraId="7AACBAE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5000" w:type="pct"/>
            <w:gridSpan w:val="2"/>
            <w:noWrap w:val="0"/>
            <w:vAlign w:val="center"/>
          </w:tcPr>
          <w:p w14:paraId="01BE2416">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kern w:val="0"/>
                <w:sz w:val="20"/>
                <w:szCs w:val="20"/>
                <w:u w:val="none"/>
                <w:lang w:val="en-US" w:eastAsia="zh-CN" w:bidi="ar"/>
              </w:rPr>
            </w:pPr>
            <w:r>
              <w:rPr>
                <w:rFonts w:hint="default" w:ascii="Times New Roman" w:hAnsi="Times New Roman" w:eastAsia="宋体" w:cs="Times New Roman"/>
                <w:i w:val="0"/>
                <w:iCs w:val="0"/>
                <w:color w:val="000000"/>
                <w:kern w:val="0"/>
                <w:sz w:val="20"/>
                <w:szCs w:val="20"/>
                <w:u w:val="none"/>
                <w:lang w:val="en-US" w:eastAsia="zh-CN" w:bidi="ar"/>
              </w:rPr>
              <w:drawing>
                <wp:inline distT="0" distB="0" distL="114300" distR="114300">
                  <wp:extent cx="3129280" cy="2077720"/>
                  <wp:effectExtent l="0" t="0" r="7620" b="5080"/>
                  <wp:docPr id="7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图片 43"/>
                          <pic:cNvPicPr>
                            <a:picLocks noChangeAspect="1"/>
                          </pic:cNvPicPr>
                        </pic:nvPicPr>
                        <pic:blipFill>
                          <a:blip r:embed="rId32"/>
                          <a:stretch>
                            <a:fillRect/>
                          </a:stretch>
                        </pic:blipFill>
                        <pic:spPr>
                          <a:xfrm>
                            <a:off x="0" y="0"/>
                            <a:ext cx="3129280" cy="2077720"/>
                          </a:xfrm>
                          <a:prstGeom prst="rect">
                            <a:avLst/>
                          </a:prstGeom>
                          <a:noFill/>
                          <a:ln>
                            <a:noFill/>
                          </a:ln>
                        </pic:spPr>
                      </pic:pic>
                    </a:graphicData>
                  </a:graphic>
                </wp:inline>
              </w:drawing>
            </w:r>
          </w:p>
          <w:p w14:paraId="44786D1C">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kern w:val="0"/>
                <w:sz w:val="20"/>
                <w:szCs w:val="20"/>
                <w:u w:val="none"/>
                <w:lang w:val="en-US" w:eastAsia="zh-CN" w:bidi="ar"/>
              </w:rPr>
            </w:pPr>
            <w:r>
              <w:rPr>
                <w:rFonts w:hint="default" w:ascii="Times New Roman" w:hAnsi="Times New Roman" w:eastAsia="宋体" w:cs="Times New Roman"/>
                <w:i w:val="0"/>
                <w:iCs w:val="0"/>
                <w:color w:val="000000"/>
                <w:kern w:val="0"/>
                <w:sz w:val="20"/>
                <w:szCs w:val="20"/>
                <w:u w:val="none"/>
                <w:lang w:val="en-US" w:eastAsia="zh-CN" w:bidi="ar"/>
              </w:rPr>
              <w:drawing>
                <wp:inline distT="0" distB="0" distL="114300" distR="114300">
                  <wp:extent cx="3127375" cy="2363470"/>
                  <wp:effectExtent l="0" t="0" r="9525" b="11430"/>
                  <wp:docPr id="74"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图片 44"/>
                          <pic:cNvPicPr>
                            <a:picLocks noChangeAspect="1"/>
                          </pic:cNvPicPr>
                        </pic:nvPicPr>
                        <pic:blipFill>
                          <a:blip r:embed="rId33"/>
                          <a:stretch>
                            <a:fillRect/>
                          </a:stretch>
                        </pic:blipFill>
                        <pic:spPr>
                          <a:xfrm>
                            <a:off x="0" y="0"/>
                            <a:ext cx="3127375" cy="2363470"/>
                          </a:xfrm>
                          <a:prstGeom prst="rect">
                            <a:avLst/>
                          </a:prstGeom>
                          <a:noFill/>
                          <a:ln>
                            <a:noFill/>
                          </a:ln>
                        </pic:spPr>
                      </pic:pic>
                    </a:graphicData>
                  </a:graphic>
                </wp:inline>
              </w:drawing>
            </w:r>
          </w:p>
        </w:tc>
      </w:tr>
    </w:tbl>
    <w:p w14:paraId="1AE8350A">
      <w:pPr>
        <w:pStyle w:val="25"/>
        <w:bidi w:val="0"/>
      </w:pPr>
      <w:bookmarkStart w:id="145" w:name="_Toc24728"/>
      <w:bookmarkStart w:id="146" w:name="_Toc25567_WPSOffice_Level2"/>
      <w:bookmarkStart w:id="147" w:name="_Toc9624"/>
      <w:r>
        <w:rPr>
          <w:rFonts w:hint="eastAsia"/>
        </w:rPr>
        <w:t>双轴撕碎机</w:t>
      </w:r>
      <w:bookmarkEnd w:id="145"/>
      <w:bookmarkEnd w:id="146"/>
      <w:bookmarkEnd w:id="147"/>
    </w:p>
    <w:tbl>
      <w:tblPr>
        <w:tblStyle w:val="11"/>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335"/>
        <w:gridCol w:w="8065"/>
      </w:tblGrid>
      <w:tr w14:paraId="12A7C5A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4" w:hRule="atLeast"/>
        </w:trPr>
        <w:tc>
          <w:tcPr>
            <w:tcW w:w="710" w:type="pct"/>
            <w:noWrap w:val="0"/>
            <w:vAlign w:val="center"/>
          </w:tcPr>
          <w:p w14:paraId="02D9819B">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kern w:val="0"/>
                <w:sz w:val="20"/>
                <w:szCs w:val="20"/>
                <w:u w:val="none"/>
                <w:lang w:val="en-US" w:eastAsia="zh-CN" w:bidi="ar"/>
              </w:rPr>
            </w:pPr>
            <w:r>
              <w:rPr>
                <w:rFonts w:hint="eastAsia" w:ascii="Times New Roman" w:hAnsi="Times New Roman" w:eastAsia="宋体" w:cs="Times New Roman"/>
                <w:i w:val="0"/>
                <w:iCs w:val="0"/>
                <w:color w:val="000000"/>
                <w:kern w:val="0"/>
                <w:sz w:val="20"/>
                <w:szCs w:val="20"/>
                <w:u w:val="none"/>
                <w:lang w:val="en-US" w:eastAsia="zh-CN" w:bidi="ar"/>
              </w:rPr>
              <w:t>功能介绍</w:t>
            </w:r>
          </w:p>
        </w:tc>
        <w:tc>
          <w:tcPr>
            <w:tcW w:w="4289" w:type="pct"/>
            <w:noWrap w:val="0"/>
            <w:vAlign w:val="center"/>
          </w:tcPr>
          <w:p w14:paraId="6AF55D6C">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kern w:val="0"/>
                <w:sz w:val="20"/>
                <w:szCs w:val="20"/>
                <w:u w:val="none"/>
                <w:lang w:val="en-US" w:eastAsia="zh-CN" w:bidi="ar"/>
              </w:rPr>
            </w:pPr>
            <w:r>
              <w:rPr>
                <w:rFonts w:hint="eastAsia" w:ascii="Times New Roman" w:hAnsi="Times New Roman" w:eastAsia="宋体" w:cs="Times New Roman"/>
                <w:i w:val="0"/>
                <w:iCs w:val="0"/>
                <w:color w:val="000000"/>
                <w:kern w:val="0"/>
                <w:sz w:val="20"/>
                <w:szCs w:val="20"/>
                <w:u w:val="none"/>
                <w:lang w:val="en-US" w:eastAsia="zh-CN" w:bidi="ar"/>
              </w:rPr>
              <w:t>大件垃圾撕碎机是一款低转速、大扭矩、高产出的回转式剪切破碎机，主要通过剪切、挤压和撕裂来破碎物料，用于大件垃圾进行前期的撕碎工作。</w:t>
            </w:r>
          </w:p>
        </w:tc>
      </w:tr>
      <w:tr w14:paraId="1EE5E28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4" w:hRule="atLeast"/>
        </w:trPr>
        <w:tc>
          <w:tcPr>
            <w:tcW w:w="710" w:type="pct"/>
            <w:noWrap w:val="0"/>
            <w:vAlign w:val="center"/>
          </w:tcPr>
          <w:p w14:paraId="755D604E">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kern w:val="0"/>
                <w:sz w:val="20"/>
                <w:szCs w:val="20"/>
                <w:u w:val="none"/>
                <w:lang w:val="en-US" w:eastAsia="zh-CN" w:bidi="ar"/>
              </w:rPr>
            </w:pPr>
            <w:r>
              <w:rPr>
                <w:rFonts w:hint="eastAsia" w:ascii="Times New Roman" w:hAnsi="Times New Roman" w:eastAsia="宋体" w:cs="Times New Roman"/>
                <w:i w:val="0"/>
                <w:iCs w:val="0"/>
                <w:color w:val="000000"/>
                <w:kern w:val="0"/>
                <w:sz w:val="20"/>
                <w:szCs w:val="20"/>
                <w:u w:val="none"/>
                <w:lang w:val="en-US" w:eastAsia="zh-CN" w:bidi="ar"/>
              </w:rPr>
              <w:t>设备组成</w:t>
            </w:r>
          </w:p>
        </w:tc>
        <w:tc>
          <w:tcPr>
            <w:tcW w:w="4289" w:type="pct"/>
            <w:noWrap w:val="0"/>
            <w:vAlign w:val="center"/>
          </w:tcPr>
          <w:p w14:paraId="28D8A3E7">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kern w:val="0"/>
                <w:sz w:val="20"/>
                <w:szCs w:val="20"/>
                <w:u w:val="none"/>
                <w:lang w:val="en-US" w:eastAsia="zh-CN" w:bidi="ar"/>
              </w:rPr>
            </w:pPr>
            <w:r>
              <w:rPr>
                <w:rFonts w:hint="eastAsia" w:ascii="Times New Roman" w:hAnsi="Times New Roman" w:eastAsia="宋体" w:cs="Times New Roman"/>
                <w:i w:val="0"/>
                <w:iCs w:val="0"/>
                <w:color w:val="000000"/>
                <w:kern w:val="0"/>
                <w:sz w:val="20"/>
                <w:szCs w:val="20"/>
                <w:u w:val="none"/>
                <w:lang w:val="en-US" w:eastAsia="zh-CN" w:bidi="ar"/>
              </w:rPr>
              <w:t>动刀、隔套、定刀、主轴、刀箱、轴承、机架、电机、减速机、液压压料装置、防尘罩等。</w:t>
            </w:r>
          </w:p>
        </w:tc>
      </w:tr>
      <w:tr w14:paraId="455B160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4" w:hRule="atLeast"/>
        </w:trPr>
        <w:tc>
          <w:tcPr>
            <w:tcW w:w="5000" w:type="pct"/>
            <w:gridSpan w:val="2"/>
            <w:noWrap w:val="0"/>
            <w:vAlign w:val="center"/>
          </w:tcPr>
          <w:p w14:paraId="6821CB13">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kern w:val="0"/>
                <w:sz w:val="20"/>
                <w:szCs w:val="20"/>
                <w:u w:val="none"/>
                <w:lang w:val="en-US" w:eastAsia="zh-CN" w:bidi="ar"/>
              </w:rPr>
            </w:pPr>
            <w:r>
              <w:rPr>
                <w:rFonts w:hint="default" w:ascii="Times New Roman" w:hAnsi="Times New Roman" w:eastAsia="宋体" w:cs="Times New Roman"/>
                <w:i w:val="0"/>
                <w:iCs w:val="0"/>
                <w:color w:val="000000"/>
                <w:kern w:val="0"/>
                <w:sz w:val="20"/>
                <w:szCs w:val="20"/>
                <w:u w:val="none"/>
                <w:lang w:val="en-US" w:eastAsia="zh-CN" w:bidi="ar"/>
              </w:rPr>
              <w:drawing>
                <wp:inline distT="0" distB="0" distL="114300" distR="114300">
                  <wp:extent cx="4747895" cy="3162935"/>
                  <wp:effectExtent l="0" t="0" r="1905" b="12065"/>
                  <wp:docPr id="60" name="图片 45" descr="说明: 爆炸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图片 45" descr="说明: 爆炸图"/>
                          <pic:cNvPicPr>
                            <a:picLocks noChangeAspect="1"/>
                          </pic:cNvPicPr>
                        </pic:nvPicPr>
                        <pic:blipFill>
                          <a:blip r:embed="rId34"/>
                          <a:stretch>
                            <a:fillRect/>
                          </a:stretch>
                        </pic:blipFill>
                        <pic:spPr>
                          <a:xfrm>
                            <a:off x="0" y="0"/>
                            <a:ext cx="4747895" cy="3162935"/>
                          </a:xfrm>
                          <a:prstGeom prst="rect">
                            <a:avLst/>
                          </a:prstGeom>
                          <a:noFill/>
                          <a:ln>
                            <a:noFill/>
                          </a:ln>
                        </pic:spPr>
                      </pic:pic>
                    </a:graphicData>
                  </a:graphic>
                </wp:inline>
              </w:drawing>
            </w:r>
          </w:p>
        </w:tc>
      </w:tr>
      <w:tr w14:paraId="4B61F6C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4" w:hRule="atLeast"/>
        </w:trPr>
        <w:tc>
          <w:tcPr>
            <w:tcW w:w="710" w:type="pct"/>
            <w:noWrap w:val="0"/>
            <w:vAlign w:val="center"/>
          </w:tcPr>
          <w:p w14:paraId="72C994E1">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kern w:val="0"/>
                <w:sz w:val="20"/>
                <w:szCs w:val="20"/>
                <w:u w:val="none"/>
                <w:lang w:val="en-US" w:eastAsia="zh-CN" w:bidi="ar"/>
              </w:rPr>
            </w:pPr>
            <w:r>
              <w:rPr>
                <w:rFonts w:hint="eastAsia" w:ascii="Times New Roman" w:hAnsi="Times New Roman" w:eastAsia="宋体" w:cs="Times New Roman"/>
                <w:i w:val="0"/>
                <w:iCs w:val="0"/>
                <w:color w:val="000000"/>
                <w:kern w:val="0"/>
                <w:sz w:val="20"/>
                <w:szCs w:val="20"/>
                <w:u w:val="none"/>
                <w:lang w:val="en-US" w:eastAsia="zh-CN" w:bidi="ar"/>
              </w:rPr>
              <w:t>特点优势</w:t>
            </w:r>
          </w:p>
        </w:tc>
        <w:tc>
          <w:tcPr>
            <w:tcW w:w="4289" w:type="pct"/>
            <w:noWrap w:val="0"/>
            <w:vAlign w:val="center"/>
          </w:tcPr>
          <w:p w14:paraId="516D144D">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kern w:val="0"/>
                <w:sz w:val="20"/>
                <w:szCs w:val="20"/>
                <w:u w:val="none"/>
                <w:lang w:val="en-US" w:eastAsia="zh-CN" w:bidi="ar"/>
              </w:rPr>
            </w:pPr>
            <w:r>
              <w:rPr>
                <w:rFonts w:hint="eastAsia" w:ascii="Times New Roman" w:hAnsi="Times New Roman" w:eastAsia="宋体" w:cs="Times New Roman"/>
                <w:i w:val="0"/>
                <w:iCs w:val="0"/>
                <w:color w:val="000000"/>
                <w:kern w:val="0"/>
                <w:sz w:val="20"/>
                <w:szCs w:val="20"/>
                <w:u w:val="none"/>
                <w:lang w:val="en-US" w:eastAsia="zh-CN" w:bidi="ar"/>
              </w:rPr>
              <w:t>破碎能力强</w:t>
            </w:r>
          </w:p>
          <w:p w14:paraId="07129734">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kern w:val="0"/>
                <w:sz w:val="20"/>
                <w:szCs w:val="20"/>
                <w:u w:val="none"/>
                <w:lang w:val="en-US" w:eastAsia="zh-CN" w:bidi="ar"/>
              </w:rPr>
            </w:pPr>
            <w:r>
              <w:rPr>
                <w:rFonts w:hint="eastAsia" w:ascii="Times New Roman" w:hAnsi="Times New Roman" w:eastAsia="宋体" w:cs="Times New Roman"/>
                <w:i w:val="0"/>
                <w:iCs w:val="0"/>
                <w:color w:val="000000"/>
                <w:kern w:val="0"/>
                <w:sz w:val="20"/>
                <w:szCs w:val="20"/>
                <w:u w:val="none"/>
                <w:lang w:val="en-US" w:eastAsia="zh-CN" w:bidi="ar"/>
              </w:rPr>
              <w:t>处理量2-20T/H（根据实际处理量选择相应型号）</w:t>
            </w:r>
          </w:p>
          <w:p w14:paraId="730A0213">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kern w:val="0"/>
                <w:sz w:val="20"/>
                <w:szCs w:val="20"/>
                <w:u w:val="none"/>
                <w:lang w:val="en-US" w:eastAsia="zh-CN" w:bidi="ar"/>
              </w:rPr>
            </w:pPr>
            <w:r>
              <w:rPr>
                <w:rFonts w:hint="eastAsia" w:ascii="Times New Roman" w:hAnsi="Times New Roman" w:eastAsia="宋体" w:cs="Times New Roman"/>
                <w:i w:val="0"/>
                <w:iCs w:val="0"/>
                <w:color w:val="000000"/>
                <w:kern w:val="0"/>
                <w:sz w:val="20"/>
                <w:szCs w:val="20"/>
                <w:u w:val="none"/>
                <w:lang w:val="en-US" w:eastAsia="zh-CN" w:bidi="ar"/>
              </w:rPr>
              <w:t>大件垃圾整件破碎，无需拆解</w:t>
            </w:r>
          </w:p>
          <w:p w14:paraId="1485366F">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kern w:val="0"/>
                <w:sz w:val="20"/>
                <w:szCs w:val="20"/>
                <w:u w:val="none"/>
                <w:lang w:val="en-US" w:eastAsia="zh-CN" w:bidi="ar"/>
              </w:rPr>
            </w:pPr>
            <w:r>
              <w:rPr>
                <w:rFonts w:hint="eastAsia" w:ascii="Times New Roman" w:hAnsi="Times New Roman" w:eastAsia="宋体" w:cs="Times New Roman"/>
                <w:i w:val="0"/>
                <w:iCs w:val="0"/>
                <w:color w:val="000000"/>
                <w:kern w:val="0"/>
                <w:sz w:val="20"/>
                <w:szCs w:val="20"/>
                <w:u w:val="none"/>
                <w:lang w:val="en-US" w:eastAsia="zh-CN" w:bidi="ar"/>
              </w:rPr>
              <w:t>可破柔性和硬性物料</w:t>
            </w:r>
          </w:p>
          <w:p w14:paraId="00CF6BD8">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kern w:val="0"/>
                <w:sz w:val="20"/>
                <w:szCs w:val="20"/>
                <w:u w:val="none"/>
                <w:lang w:val="en-US" w:eastAsia="zh-CN" w:bidi="ar"/>
              </w:rPr>
            </w:pPr>
            <w:r>
              <w:rPr>
                <w:rFonts w:hint="eastAsia" w:ascii="Times New Roman" w:hAnsi="Times New Roman" w:eastAsia="宋体" w:cs="Times New Roman"/>
                <w:i w:val="0"/>
                <w:iCs w:val="0"/>
                <w:color w:val="000000"/>
                <w:kern w:val="0"/>
                <w:sz w:val="20"/>
                <w:szCs w:val="20"/>
                <w:u w:val="none"/>
                <w:lang w:val="en-US" w:eastAsia="zh-CN" w:bidi="ar"/>
              </w:rPr>
              <w:t>安全高效</w:t>
            </w:r>
          </w:p>
          <w:p w14:paraId="0E95C746">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kern w:val="0"/>
                <w:sz w:val="20"/>
                <w:szCs w:val="20"/>
                <w:u w:val="none"/>
                <w:lang w:val="en-US" w:eastAsia="zh-CN" w:bidi="ar"/>
              </w:rPr>
            </w:pPr>
            <w:r>
              <w:rPr>
                <w:rFonts w:hint="eastAsia" w:ascii="Times New Roman" w:hAnsi="Times New Roman" w:eastAsia="宋体" w:cs="Times New Roman"/>
                <w:i w:val="0"/>
                <w:iCs w:val="0"/>
                <w:color w:val="000000"/>
                <w:kern w:val="0"/>
                <w:sz w:val="20"/>
                <w:szCs w:val="20"/>
                <w:u w:val="none"/>
                <w:lang w:val="en-US" w:eastAsia="zh-CN" w:bidi="ar"/>
              </w:rPr>
              <w:t>设备配置过载自动反转保护，运行过载时，设备自动停机反转，最大限度保护设备使用效果，延长设备使用寿命</w:t>
            </w:r>
          </w:p>
          <w:p w14:paraId="7E6AF413">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kern w:val="0"/>
                <w:sz w:val="20"/>
                <w:szCs w:val="20"/>
                <w:u w:val="none"/>
                <w:lang w:val="en-US" w:eastAsia="zh-CN" w:bidi="ar"/>
              </w:rPr>
            </w:pPr>
            <w:r>
              <w:rPr>
                <w:rFonts w:hint="eastAsia" w:ascii="Times New Roman" w:hAnsi="Times New Roman" w:eastAsia="宋体" w:cs="Times New Roman"/>
                <w:i w:val="0"/>
                <w:iCs w:val="0"/>
                <w:color w:val="000000"/>
                <w:kern w:val="0"/>
                <w:sz w:val="20"/>
                <w:szCs w:val="20"/>
                <w:u w:val="none"/>
                <w:lang w:val="en-US" w:eastAsia="zh-CN" w:bidi="ar"/>
              </w:rPr>
              <w:t>噪音低，粉尘少</w:t>
            </w:r>
          </w:p>
          <w:p w14:paraId="518C192B">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kern w:val="0"/>
                <w:sz w:val="20"/>
                <w:szCs w:val="20"/>
                <w:u w:val="none"/>
                <w:lang w:val="en-US" w:eastAsia="zh-CN" w:bidi="ar"/>
              </w:rPr>
            </w:pPr>
            <w:r>
              <w:rPr>
                <w:rFonts w:hint="eastAsia" w:ascii="Times New Roman" w:hAnsi="Times New Roman" w:eastAsia="宋体" w:cs="Times New Roman"/>
                <w:i w:val="0"/>
                <w:iCs w:val="0"/>
                <w:color w:val="000000"/>
                <w:kern w:val="0"/>
                <w:sz w:val="20"/>
                <w:szCs w:val="20"/>
                <w:u w:val="none"/>
                <w:lang w:val="en-US" w:eastAsia="zh-CN" w:bidi="ar"/>
              </w:rPr>
              <w:t>双轴撕碎机为低转速破碎机，运行时极大程度减少粉尘的产生和物料加热，噪音≤80dB（A），避免环境二次污染</w:t>
            </w:r>
          </w:p>
        </w:tc>
      </w:tr>
    </w:tbl>
    <w:p w14:paraId="756BEFC5">
      <w:pPr>
        <w:pStyle w:val="25"/>
        <w:bidi w:val="0"/>
      </w:pPr>
      <w:bookmarkStart w:id="148" w:name="_Toc14665_WPSOffice_Level3"/>
      <w:r>
        <w:rPr>
          <w:rFonts w:hint="eastAsia"/>
        </w:rPr>
        <w:t>进口高合金刀具</w:t>
      </w:r>
      <w:bookmarkEnd w:id="148"/>
    </w:p>
    <w:tbl>
      <w:tblPr>
        <w:tblStyle w:val="11"/>
        <w:tblW w:w="4999"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291"/>
        <w:gridCol w:w="8107"/>
      </w:tblGrid>
      <w:tr w14:paraId="3D9876E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687" w:type="pct"/>
            <w:noWrap w:val="0"/>
            <w:vAlign w:val="center"/>
          </w:tcPr>
          <w:p w14:paraId="6CB2B53D">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kern w:val="0"/>
                <w:sz w:val="20"/>
                <w:szCs w:val="20"/>
                <w:u w:val="none"/>
                <w:lang w:val="en-US" w:eastAsia="zh-CN" w:bidi="ar"/>
              </w:rPr>
            </w:pPr>
            <w:r>
              <w:rPr>
                <w:rFonts w:hint="eastAsia" w:ascii="Times New Roman" w:hAnsi="Times New Roman" w:eastAsia="宋体" w:cs="Times New Roman"/>
                <w:i w:val="0"/>
                <w:iCs w:val="0"/>
                <w:color w:val="000000"/>
                <w:kern w:val="0"/>
                <w:sz w:val="20"/>
                <w:szCs w:val="20"/>
                <w:u w:val="none"/>
                <w:lang w:val="en-US" w:eastAsia="zh-CN" w:bidi="ar"/>
              </w:rPr>
              <w:t>刀片材质</w:t>
            </w:r>
          </w:p>
        </w:tc>
        <w:tc>
          <w:tcPr>
            <w:tcW w:w="4312" w:type="pct"/>
            <w:noWrap w:val="0"/>
            <w:vAlign w:val="center"/>
          </w:tcPr>
          <w:p w14:paraId="2E417D68">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kern w:val="0"/>
                <w:sz w:val="20"/>
                <w:szCs w:val="20"/>
                <w:u w:val="none"/>
                <w:lang w:val="en-US" w:eastAsia="zh-CN" w:bidi="ar"/>
              </w:rPr>
            </w:pPr>
            <w:r>
              <w:rPr>
                <w:rFonts w:hint="eastAsia" w:ascii="Times New Roman" w:hAnsi="Times New Roman" w:eastAsia="宋体" w:cs="Times New Roman"/>
                <w:i w:val="0"/>
                <w:iCs w:val="0"/>
                <w:color w:val="000000"/>
                <w:kern w:val="0"/>
                <w:sz w:val="20"/>
                <w:szCs w:val="20"/>
                <w:u w:val="none"/>
                <w:lang w:val="en-US" w:eastAsia="zh-CN" w:bidi="ar"/>
              </w:rPr>
              <w:t>德国DILLIGUR/瑞典HARDOX进口NiCrMo高合金钢。</w:t>
            </w:r>
          </w:p>
        </w:tc>
      </w:tr>
      <w:tr w14:paraId="321FDAC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687" w:type="pct"/>
            <w:noWrap w:val="0"/>
            <w:vAlign w:val="center"/>
          </w:tcPr>
          <w:p w14:paraId="3D554A7D">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kern w:val="0"/>
                <w:sz w:val="20"/>
                <w:szCs w:val="20"/>
                <w:u w:val="none"/>
                <w:lang w:val="en-US" w:eastAsia="zh-CN" w:bidi="ar"/>
              </w:rPr>
            </w:pPr>
            <w:r>
              <w:rPr>
                <w:rFonts w:hint="eastAsia" w:ascii="Times New Roman" w:hAnsi="Times New Roman" w:eastAsia="宋体" w:cs="Times New Roman"/>
                <w:i w:val="0"/>
                <w:iCs w:val="0"/>
                <w:color w:val="000000"/>
                <w:kern w:val="0"/>
                <w:sz w:val="20"/>
                <w:szCs w:val="20"/>
                <w:u w:val="none"/>
                <w:lang w:val="en-US" w:eastAsia="zh-CN" w:bidi="ar"/>
              </w:rPr>
              <w:t>安装方式</w:t>
            </w:r>
          </w:p>
        </w:tc>
        <w:tc>
          <w:tcPr>
            <w:tcW w:w="4312" w:type="pct"/>
            <w:noWrap w:val="0"/>
            <w:vAlign w:val="center"/>
          </w:tcPr>
          <w:p w14:paraId="1DBB1620">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kern w:val="0"/>
                <w:sz w:val="20"/>
                <w:szCs w:val="20"/>
                <w:u w:val="none"/>
                <w:lang w:val="en-US" w:eastAsia="zh-CN" w:bidi="ar"/>
              </w:rPr>
            </w:pPr>
            <w:r>
              <w:rPr>
                <w:rFonts w:hint="eastAsia" w:ascii="Times New Roman" w:hAnsi="Times New Roman" w:eastAsia="宋体" w:cs="Times New Roman"/>
                <w:i w:val="0"/>
                <w:iCs w:val="0"/>
                <w:color w:val="000000"/>
                <w:kern w:val="0"/>
                <w:sz w:val="20"/>
                <w:szCs w:val="20"/>
                <w:u w:val="none"/>
                <w:lang w:val="en-US" w:eastAsia="zh-CN" w:bidi="ar"/>
              </w:rPr>
              <w:t>刀具内孔与主轴面采用内六角设计，能保证良好的扭力传动，也可实现快速装卸。</w:t>
            </w:r>
          </w:p>
        </w:tc>
      </w:tr>
      <w:tr w14:paraId="68D2A83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5000" w:type="pct"/>
            <w:gridSpan w:val="2"/>
            <w:noWrap w:val="0"/>
            <w:vAlign w:val="center"/>
          </w:tcPr>
          <w:p w14:paraId="0DBEBE82">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kern w:val="0"/>
                <w:sz w:val="20"/>
                <w:szCs w:val="20"/>
                <w:u w:val="none"/>
                <w:lang w:val="en-US" w:eastAsia="zh-CN" w:bidi="ar"/>
              </w:rPr>
            </w:pPr>
            <w:r>
              <w:rPr>
                <w:rFonts w:hint="default" w:ascii="Times New Roman" w:hAnsi="Times New Roman" w:eastAsia="宋体" w:cs="Times New Roman"/>
                <w:i w:val="0"/>
                <w:iCs w:val="0"/>
                <w:color w:val="000000"/>
                <w:kern w:val="0"/>
                <w:sz w:val="20"/>
                <w:szCs w:val="20"/>
                <w:u w:val="none"/>
                <w:lang w:val="en-US" w:eastAsia="zh-CN" w:bidi="ar"/>
              </w:rPr>
              <w:drawing>
                <wp:inline distT="0" distB="0" distL="114300" distR="114300">
                  <wp:extent cx="3435985" cy="2779395"/>
                  <wp:effectExtent l="0" t="0" r="5715" b="1905"/>
                  <wp:docPr id="63"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图片 46"/>
                          <pic:cNvPicPr>
                            <a:picLocks noChangeAspect="1"/>
                          </pic:cNvPicPr>
                        </pic:nvPicPr>
                        <pic:blipFill>
                          <a:blip r:embed="rId35"/>
                          <a:stretch>
                            <a:fillRect/>
                          </a:stretch>
                        </pic:blipFill>
                        <pic:spPr>
                          <a:xfrm>
                            <a:off x="0" y="0"/>
                            <a:ext cx="3435985" cy="2779395"/>
                          </a:xfrm>
                          <a:prstGeom prst="rect">
                            <a:avLst/>
                          </a:prstGeom>
                          <a:noFill/>
                          <a:ln>
                            <a:noFill/>
                          </a:ln>
                        </pic:spPr>
                      </pic:pic>
                    </a:graphicData>
                  </a:graphic>
                </wp:inline>
              </w:drawing>
            </w:r>
          </w:p>
        </w:tc>
      </w:tr>
      <w:tr w14:paraId="707738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687" w:type="pct"/>
            <w:noWrap w:val="0"/>
            <w:vAlign w:val="center"/>
          </w:tcPr>
          <w:p w14:paraId="573077CE">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kern w:val="0"/>
                <w:sz w:val="20"/>
                <w:szCs w:val="20"/>
                <w:u w:val="none"/>
                <w:lang w:val="en-US" w:eastAsia="zh-CN" w:bidi="ar"/>
              </w:rPr>
            </w:pPr>
            <w:r>
              <w:rPr>
                <w:rFonts w:hint="eastAsia" w:ascii="Times New Roman" w:hAnsi="Times New Roman" w:eastAsia="宋体" w:cs="Times New Roman"/>
                <w:i w:val="0"/>
                <w:iCs w:val="0"/>
                <w:color w:val="000000"/>
                <w:kern w:val="0"/>
                <w:sz w:val="20"/>
                <w:szCs w:val="20"/>
                <w:u w:val="none"/>
                <w:lang w:val="en-US" w:eastAsia="zh-CN" w:bidi="ar"/>
              </w:rPr>
              <w:t>特点优势</w:t>
            </w:r>
          </w:p>
        </w:tc>
        <w:tc>
          <w:tcPr>
            <w:tcW w:w="4312" w:type="pct"/>
            <w:noWrap w:val="0"/>
            <w:vAlign w:val="center"/>
          </w:tcPr>
          <w:p w14:paraId="357E91B1">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kern w:val="0"/>
                <w:sz w:val="20"/>
                <w:szCs w:val="20"/>
                <w:u w:val="none"/>
                <w:lang w:val="en-US" w:eastAsia="zh-CN" w:bidi="ar"/>
              </w:rPr>
            </w:pPr>
            <w:r>
              <w:rPr>
                <w:rFonts w:hint="eastAsia" w:ascii="Times New Roman" w:hAnsi="Times New Roman" w:eastAsia="宋体" w:cs="Times New Roman"/>
                <w:i w:val="0"/>
                <w:iCs w:val="0"/>
                <w:color w:val="000000"/>
                <w:kern w:val="0"/>
                <w:sz w:val="20"/>
                <w:szCs w:val="20"/>
                <w:u w:val="none"/>
                <w:lang w:val="en-US" w:eastAsia="zh-CN" w:bidi="ar"/>
              </w:rPr>
              <w:t>整套刀具更换方便，更换时间一般不超过6小时；</w:t>
            </w:r>
          </w:p>
          <w:p w14:paraId="6E19534D">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kern w:val="0"/>
                <w:sz w:val="20"/>
                <w:szCs w:val="20"/>
                <w:u w:val="none"/>
                <w:lang w:val="en-US" w:eastAsia="zh-CN" w:bidi="ar"/>
              </w:rPr>
            </w:pPr>
            <w:r>
              <w:rPr>
                <w:rFonts w:hint="eastAsia" w:ascii="Times New Roman" w:hAnsi="Times New Roman" w:eastAsia="宋体" w:cs="Times New Roman"/>
                <w:i w:val="0"/>
                <w:iCs w:val="0"/>
                <w:color w:val="000000"/>
                <w:kern w:val="0"/>
                <w:sz w:val="20"/>
                <w:szCs w:val="20"/>
                <w:u w:val="none"/>
                <w:lang w:val="en-US" w:eastAsia="zh-CN" w:bidi="ar"/>
              </w:rPr>
              <w:t>凸轮式刀头设计，可解决松散、圆形、中空等物料架桥或打滑的现象；</w:t>
            </w:r>
          </w:p>
          <w:p w14:paraId="0E43A3E3">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kern w:val="0"/>
                <w:sz w:val="20"/>
                <w:szCs w:val="20"/>
                <w:u w:val="none"/>
                <w:lang w:val="en-US" w:eastAsia="zh-CN" w:bidi="ar"/>
              </w:rPr>
            </w:pPr>
            <w:r>
              <w:rPr>
                <w:rFonts w:hint="eastAsia" w:ascii="Times New Roman" w:hAnsi="Times New Roman" w:eastAsia="宋体" w:cs="Times New Roman"/>
                <w:i w:val="0"/>
                <w:iCs w:val="0"/>
                <w:color w:val="000000"/>
                <w:kern w:val="0"/>
                <w:sz w:val="20"/>
                <w:szCs w:val="20"/>
                <w:u w:val="none"/>
                <w:lang w:val="en-US" w:eastAsia="zh-CN" w:bidi="ar"/>
              </w:rPr>
              <w:t>动刀双向螺旋式排布，物料在破碎过程中左、右产生位移，避免物料在同一位置堆积，长时间会增加此区域刀具的磨损程度，影响其使用寿命。</w:t>
            </w:r>
          </w:p>
        </w:tc>
      </w:tr>
      <w:tr w14:paraId="041EBD2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5000" w:type="pct"/>
            <w:gridSpan w:val="2"/>
            <w:noWrap w:val="0"/>
            <w:vAlign w:val="center"/>
          </w:tcPr>
          <w:p w14:paraId="5873AE12">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kern w:val="0"/>
                <w:sz w:val="20"/>
                <w:szCs w:val="20"/>
                <w:u w:val="none"/>
                <w:lang w:val="en-US" w:eastAsia="zh-CN" w:bidi="ar"/>
              </w:rPr>
            </w:pPr>
            <w:r>
              <w:rPr>
                <w:rFonts w:hint="default" w:ascii="Times New Roman" w:hAnsi="Times New Roman" w:eastAsia="宋体" w:cs="Times New Roman"/>
                <w:i w:val="0"/>
                <w:iCs w:val="0"/>
                <w:color w:val="000000"/>
                <w:kern w:val="0"/>
                <w:sz w:val="20"/>
                <w:szCs w:val="20"/>
                <w:u w:val="none"/>
                <w:lang w:val="en-US" w:eastAsia="zh-CN" w:bidi="ar"/>
              </w:rPr>
              <w:drawing>
                <wp:inline distT="0" distB="0" distL="114300" distR="114300">
                  <wp:extent cx="4862195" cy="2897505"/>
                  <wp:effectExtent l="0" t="0" r="1905" b="10795"/>
                  <wp:docPr id="70" name="图片 47" descr="说明: 161103844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图片 47" descr="说明: 1611038442(1)"/>
                          <pic:cNvPicPr>
                            <a:picLocks noChangeAspect="1"/>
                          </pic:cNvPicPr>
                        </pic:nvPicPr>
                        <pic:blipFill>
                          <a:blip r:embed="rId36"/>
                          <a:srcRect t="9883"/>
                          <a:stretch>
                            <a:fillRect/>
                          </a:stretch>
                        </pic:blipFill>
                        <pic:spPr>
                          <a:xfrm>
                            <a:off x="0" y="0"/>
                            <a:ext cx="4862195" cy="2897505"/>
                          </a:xfrm>
                          <a:prstGeom prst="rect">
                            <a:avLst/>
                          </a:prstGeom>
                          <a:noFill/>
                          <a:ln>
                            <a:noFill/>
                          </a:ln>
                        </pic:spPr>
                      </pic:pic>
                    </a:graphicData>
                  </a:graphic>
                </wp:inline>
              </w:drawing>
            </w:r>
          </w:p>
        </w:tc>
      </w:tr>
    </w:tbl>
    <w:p w14:paraId="54D9BC61">
      <w:pPr>
        <w:pStyle w:val="25"/>
        <w:bidi w:val="0"/>
      </w:pPr>
      <w:bookmarkStart w:id="149" w:name="_Toc184_WPSOffice_Level3"/>
      <w:r>
        <w:rPr>
          <w:rFonts w:hint="eastAsia"/>
        </w:rPr>
        <w:t>定刀——防缠绕</w:t>
      </w:r>
      <w:bookmarkEnd w:id="149"/>
    </w:p>
    <w:tbl>
      <w:tblPr>
        <w:tblStyle w:val="11"/>
        <w:tblW w:w="4999"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297"/>
        <w:gridCol w:w="8101"/>
      </w:tblGrid>
      <w:tr w14:paraId="678644D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97" w:hRule="atLeast"/>
        </w:trPr>
        <w:tc>
          <w:tcPr>
            <w:tcW w:w="690" w:type="pct"/>
            <w:noWrap w:val="0"/>
            <w:vAlign w:val="center"/>
          </w:tcPr>
          <w:p w14:paraId="1182F5C0">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kern w:val="0"/>
                <w:sz w:val="20"/>
                <w:szCs w:val="20"/>
                <w:u w:val="none"/>
                <w:lang w:val="en-US" w:eastAsia="zh-CN" w:bidi="ar"/>
              </w:rPr>
            </w:pPr>
            <w:r>
              <w:rPr>
                <w:rFonts w:hint="eastAsia" w:ascii="Times New Roman" w:hAnsi="Times New Roman" w:eastAsia="宋体" w:cs="Times New Roman"/>
                <w:i w:val="0"/>
                <w:iCs w:val="0"/>
                <w:color w:val="000000"/>
                <w:kern w:val="0"/>
                <w:sz w:val="20"/>
                <w:szCs w:val="20"/>
                <w:u w:val="none"/>
                <w:lang w:val="en-US" w:eastAsia="zh-CN" w:bidi="ar"/>
              </w:rPr>
              <w:t>功能介绍</w:t>
            </w:r>
          </w:p>
        </w:tc>
        <w:tc>
          <w:tcPr>
            <w:tcW w:w="4309" w:type="pct"/>
            <w:noWrap w:val="0"/>
            <w:vAlign w:val="center"/>
          </w:tcPr>
          <w:p w14:paraId="7DA3B133">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kern w:val="0"/>
                <w:sz w:val="20"/>
                <w:szCs w:val="20"/>
                <w:u w:val="none"/>
                <w:lang w:val="en-US" w:eastAsia="zh-CN" w:bidi="ar"/>
              </w:rPr>
            </w:pPr>
            <w:r>
              <w:rPr>
                <w:rFonts w:hint="eastAsia" w:ascii="Times New Roman" w:hAnsi="Times New Roman" w:eastAsia="宋体" w:cs="Times New Roman"/>
                <w:i w:val="0"/>
                <w:iCs w:val="0"/>
                <w:color w:val="000000"/>
                <w:kern w:val="0"/>
                <w:sz w:val="20"/>
                <w:szCs w:val="20"/>
                <w:u w:val="none"/>
                <w:lang w:val="en-US" w:eastAsia="zh-CN" w:bidi="ar"/>
              </w:rPr>
              <w:t>箱体两侧排布两排定刀与刀片配合使用，能有效防止织物、柔性物料缠绕刀轴。</w:t>
            </w:r>
          </w:p>
        </w:tc>
      </w:tr>
      <w:tr w14:paraId="23FF14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690" w:type="pct"/>
            <w:noWrap w:val="0"/>
            <w:vAlign w:val="center"/>
          </w:tcPr>
          <w:p w14:paraId="0CD086C2">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kern w:val="0"/>
                <w:sz w:val="20"/>
                <w:szCs w:val="20"/>
                <w:u w:val="none"/>
                <w:lang w:val="en-US" w:eastAsia="zh-CN" w:bidi="ar"/>
              </w:rPr>
            </w:pPr>
            <w:r>
              <w:rPr>
                <w:rFonts w:hint="eastAsia" w:ascii="Times New Roman" w:hAnsi="Times New Roman" w:eastAsia="宋体" w:cs="Times New Roman"/>
                <w:i w:val="0"/>
                <w:iCs w:val="0"/>
                <w:color w:val="000000"/>
                <w:kern w:val="0"/>
                <w:sz w:val="20"/>
                <w:szCs w:val="20"/>
                <w:u w:val="none"/>
                <w:lang w:val="en-US" w:eastAsia="zh-CN" w:bidi="ar"/>
              </w:rPr>
              <w:t>特点优势</w:t>
            </w:r>
          </w:p>
        </w:tc>
        <w:tc>
          <w:tcPr>
            <w:tcW w:w="4309" w:type="pct"/>
            <w:noWrap w:val="0"/>
            <w:vAlign w:val="center"/>
          </w:tcPr>
          <w:p w14:paraId="05D0FBAF">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kern w:val="0"/>
                <w:sz w:val="20"/>
                <w:szCs w:val="20"/>
                <w:u w:val="none"/>
                <w:lang w:val="en-US" w:eastAsia="zh-CN" w:bidi="ar"/>
              </w:rPr>
            </w:pPr>
            <w:r>
              <w:rPr>
                <w:rFonts w:hint="eastAsia" w:ascii="Times New Roman" w:hAnsi="Times New Roman" w:eastAsia="宋体" w:cs="Times New Roman"/>
                <w:i w:val="0"/>
                <w:iCs w:val="0"/>
                <w:color w:val="000000"/>
                <w:kern w:val="0"/>
                <w:sz w:val="20"/>
                <w:szCs w:val="20"/>
                <w:u w:val="none"/>
                <w:lang w:val="en-US" w:eastAsia="zh-CN" w:bidi="ar"/>
              </w:rPr>
              <w:t>可独立拆装结构，无需拆卸刀箱，每个定刀可独立拆卸安装，维护快捷方便。</w:t>
            </w:r>
          </w:p>
        </w:tc>
      </w:tr>
      <w:tr w14:paraId="39160E2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5000" w:type="pct"/>
            <w:gridSpan w:val="2"/>
            <w:noWrap w:val="0"/>
            <w:vAlign w:val="center"/>
          </w:tcPr>
          <w:p w14:paraId="408184D9">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kern w:val="0"/>
                <w:sz w:val="20"/>
                <w:szCs w:val="20"/>
                <w:u w:val="none"/>
                <w:lang w:val="en-US" w:eastAsia="zh-CN" w:bidi="ar"/>
              </w:rPr>
            </w:pPr>
            <w:r>
              <w:rPr>
                <w:rFonts w:hint="default" w:ascii="Times New Roman" w:hAnsi="Times New Roman" w:eastAsia="宋体" w:cs="Times New Roman"/>
                <w:i w:val="0"/>
                <w:iCs w:val="0"/>
                <w:color w:val="000000"/>
                <w:kern w:val="0"/>
                <w:sz w:val="20"/>
                <w:szCs w:val="20"/>
                <w:u w:val="none"/>
                <w:lang w:val="en-US" w:eastAsia="zh-CN" w:bidi="ar"/>
              </w:rPr>
              <w:drawing>
                <wp:inline distT="0" distB="0" distL="114300" distR="114300">
                  <wp:extent cx="4333875" cy="3251835"/>
                  <wp:effectExtent l="0" t="0" r="9525" b="12065"/>
                  <wp:docPr id="55" name="图片 48" descr="说明: 微信图片_202011061636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 48" descr="说明: 微信图片_20201106163614"/>
                          <pic:cNvPicPr>
                            <a:picLocks noChangeAspect="1"/>
                          </pic:cNvPicPr>
                        </pic:nvPicPr>
                        <pic:blipFill>
                          <a:blip r:embed="rId37"/>
                          <a:stretch>
                            <a:fillRect/>
                          </a:stretch>
                        </pic:blipFill>
                        <pic:spPr>
                          <a:xfrm>
                            <a:off x="0" y="0"/>
                            <a:ext cx="4333875" cy="3251835"/>
                          </a:xfrm>
                          <a:prstGeom prst="rect">
                            <a:avLst/>
                          </a:prstGeom>
                          <a:noFill/>
                          <a:ln>
                            <a:noFill/>
                          </a:ln>
                        </pic:spPr>
                      </pic:pic>
                    </a:graphicData>
                  </a:graphic>
                </wp:inline>
              </w:drawing>
            </w:r>
          </w:p>
        </w:tc>
      </w:tr>
    </w:tbl>
    <w:p w14:paraId="784AC151">
      <w:pPr>
        <w:pStyle w:val="25"/>
        <w:bidi w:val="0"/>
      </w:pPr>
      <w:bookmarkStart w:id="150" w:name="_Toc19607_WPSOffice_Level3"/>
      <w:r>
        <w:rPr>
          <w:rFonts w:hint="eastAsia"/>
        </w:rPr>
        <w:t>高合金钢主轴</w:t>
      </w:r>
      <w:bookmarkEnd w:id="150"/>
    </w:p>
    <w:tbl>
      <w:tblPr>
        <w:tblStyle w:val="11"/>
        <w:tblW w:w="4999"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329"/>
        <w:gridCol w:w="8069"/>
      </w:tblGrid>
      <w:tr w14:paraId="5C577D4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97" w:hRule="atLeast"/>
        </w:trPr>
        <w:tc>
          <w:tcPr>
            <w:tcW w:w="707" w:type="pct"/>
            <w:noWrap w:val="0"/>
            <w:vAlign w:val="center"/>
          </w:tcPr>
          <w:p w14:paraId="4CE1BF20">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kern w:val="0"/>
                <w:sz w:val="20"/>
                <w:szCs w:val="20"/>
                <w:u w:val="none"/>
                <w:lang w:val="en-US" w:eastAsia="zh-CN" w:bidi="ar"/>
              </w:rPr>
            </w:pPr>
            <w:r>
              <w:rPr>
                <w:rFonts w:hint="eastAsia" w:ascii="Times New Roman" w:hAnsi="Times New Roman" w:eastAsia="宋体" w:cs="Times New Roman"/>
                <w:i w:val="0"/>
                <w:iCs w:val="0"/>
                <w:color w:val="000000"/>
                <w:kern w:val="0"/>
                <w:sz w:val="20"/>
                <w:szCs w:val="20"/>
                <w:u w:val="none"/>
                <w:lang w:val="en-US" w:eastAsia="zh-CN" w:bidi="ar"/>
              </w:rPr>
              <w:t>主轴材质</w:t>
            </w:r>
          </w:p>
        </w:tc>
        <w:tc>
          <w:tcPr>
            <w:tcW w:w="4292" w:type="pct"/>
            <w:noWrap w:val="0"/>
            <w:vAlign w:val="center"/>
          </w:tcPr>
          <w:p w14:paraId="426A3CF3">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kern w:val="0"/>
                <w:sz w:val="20"/>
                <w:szCs w:val="20"/>
                <w:u w:val="none"/>
                <w:lang w:val="en-US" w:eastAsia="zh-CN" w:bidi="ar"/>
              </w:rPr>
            </w:pPr>
            <w:r>
              <w:rPr>
                <w:rFonts w:hint="eastAsia" w:ascii="Times New Roman" w:hAnsi="Times New Roman" w:eastAsia="宋体" w:cs="Times New Roman"/>
                <w:i w:val="0"/>
                <w:iCs w:val="0"/>
                <w:color w:val="000000"/>
                <w:kern w:val="0"/>
                <w:sz w:val="20"/>
                <w:szCs w:val="20"/>
                <w:u w:val="none"/>
                <w:lang w:val="en-US" w:eastAsia="zh-CN" w:bidi="ar"/>
              </w:rPr>
              <w:t>材质为42CrMo高合金钢，经锻造后调质处理，机械强度好，抗冲击力强。</w:t>
            </w:r>
          </w:p>
        </w:tc>
      </w:tr>
      <w:tr w14:paraId="5E6FEA4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707" w:type="pct"/>
            <w:noWrap w:val="0"/>
            <w:vAlign w:val="center"/>
          </w:tcPr>
          <w:p w14:paraId="28162EAF">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kern w:val="0"/>
                <w:sz w:val="20"/>
                <w:szCs w:val="20"/>
                <w:u w:val="none"/>
                <w:lang w:val="en-US" w:eastAsia="zh-CN" w:bidi="ar"/>
              </w:rPr>
            </w:pPr>
            <w:r>
              <w:rPr>
                <w:rFonts w:hint="eastAsia" w:ascii="Times New Roman" w:hAnsi="Times New Roman" w:eastAsia="宋体" w:cs="Times New Roman"/>
                <w:i w:val="0"/>
                <w:iCs w:val="0"/>
                <w:color w:val="000000"/>
                <w:kern w:val="0"/>
                <w:sz w:val="20"/>
                <w:szCs w:val="20"/>
                <w:u w:val="none"/>
                <w:lang w:val="en-US" w:eastAsia="zh-CN" w:bidi="ar"/>
              </w:rPr>
              <w:t>特点优势</w:t>
            </w:r>
          </w:p>
        </w:tc>
        <w:tc>
          <w:tcPr>
            <w:tcW w:w="4292" w:type="pct"/>
            <w:noWrap w:val="0"/>
            <w:vAlign w:val="center"/>
          </w:tcPr>
          <w:p w14:paraId="3A9FF7AA">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kern w:val="0"/>
                <w:sz w:val="20"/>
                <w:szCs w:val="20"/>
                <w:u w:val="none"/>
                <w:lang w:val="en-US" w:eastAsia="zh-CN" w:bidi="ar"/>
              </w:rPr>
            </w:pPr>
            <w:r>
              <w:rPr>
                <w:rFonts w:hint="eastAsia" w:ascii="Times New Roman" w:hAnsi="Times New Roman" w:eastAsia="宋体" w:cs="Times New Roman"/>
                <w:i w:val="0"/>
                <w:iCs w:val="0"/>
                <w:color w:val="000000"/>
                <w:kern w:val="0"/>
                <w:sz w:val="20"/>
                <w:szCs w:val="20"/>
                <w:u w:val="none"/>
                <w:lang w:val="en-US" w:eastAsia="zh-CN" w:bidi="ar"/>
              </w:rPr>
              <w:t>主轴面采用六角设计，保证良好扭力传动，定位精度高，连接时受力均匀。</w:t>
            </w:r>
          </w:p>
        </w:tc>
      </w:tr>
      <w:tr w14:paraId="36C2AC0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5000" w:type="pct"/>
            <w:gridSpan w:val="2"/>
            <w:noWrap w:val="0"/>
            <w:vAlign w:val="center"/>
          </w:tcPr>
          <w:p w14:paraId="504A7DA6">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kern w:val="0"/>
                <w:sz w:val="20"/>
                <w:szCs w:val="20"/>
                <w:u w:val="none"/>
                <w:lang w:val="en-US" w:eastAsia="zh-CN" w:bidi="ar"/>
              </w:rPr>
            </w:pPr>
            <w:r>
              <w:rPr>
                <w:rFonts w:hint="default" w:ascii="Times New Roman" w:hAnsi="Times New Roman" w:eastAsia="宋体" w:cs="Times New Roman"/>
                <w:i w:val="0"/>
                <w:iCs w:val="0"/>
                <w:color w:val="000000"/>
                <w:kern w:val="0"/>
                <w:sz w:val="20"/>
                <w:szCs w:val="20"/>
                <w:u w:val="none"/>
                <w:lang w:val="en-US" w:eastAsia="zh-CN" w:bidi="ar"/>
              </w:rPr>
              <w:drawing>
                <wp:inline distT="0" distB="0" distL="114300" distR="114300">
                  <wp:extent cx="4064635" cy="3857625"/>
                  <wp:effectExtent l="0" t="0" r="12065" b="3175"/>
                  <wp:docPr id="75"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图片 49"/>
                          <pic:cNvPicPr>
                            <a:picLocks noChangeAspect="1"/>
                          </pic:cNvPicPr>
                        </pic:nvPicPr>
                        <pic:blipFill>
                          <a:blip r:embed="rId38"/>
                          <a:srcRect t="230"/>
                          <a:stretch>
                            <a:fillRect/>
                          </a:stretch>
                        </pic:blipFill>
                        <pic:spPr>
                          <a:xfrm>
                            <a:off x="0" y="0"/>
                            <a:ext cx="4064635" cy="3857625"/>
                          </a:xfrm>
                          <a:prstGeom prst="rect">
                            <a:avLst/>
                          </a:prstGeom>
                          <a:noFill/>
                          <a:ln>
                            <a:noFill/>
                          </a:ln>
                        </pic:spPr>
                      </pic:pic>
                    </a:graphicData>
                  </a:graphic>
                </wp:inline>
              </w:drawing>
            </w:r>
          </w:p>
        </w:tc>
      </w:tr>
    </w:tbl>
    <w:p w14:paraId="647D43D8">
      <w:pPr>
        <w:pStyle w:val="25"/>
        <w:bidi w:val="0"/>
      </w:pPr>
      <w:bookmarkStart w:id="151" w:name="_Toc22250_WPSOffice_Level3"/>
      <w:r>
        <w:rPr>
          <w:rFonts w:hint="eastAsia"/>
        </w:rPr>
        <w:t>密封轴承</w:t>
      </w:r>
      <w:bookmarkEnd w:id="151"/>
    </w:p>
    <w:tbl>
      <w:tblPr>
        <w:tblStyle w:val="11"/>
        <w:tblW w:w="4999"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259"/>
        <w:gridCol w:w="8139"/>
      </w:tblGrid>
      <w:tr w14:paraId="7735476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670" w:type="pct"/>
            <w:noWrap w:val="0"/>
            <w:vAlign w:val="center"/>
          </w:tcPr>
          <w:p w14:paraId="3C04FCF7">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kern w:val="0"/>
                <w:sz w:val="20"/>
                <w:szCs w:val="20"/>
                <w:u w:val="none"/>
                <w:lang w:val="en-US" w:eastAsia="zh-CN" w:bidi="ar"/>
              </w:rPr>
            </w:pPr>
            <w:r>
              <w:rPr>
                <w:rFonts w:hint="eastAsia" w:ascii="Times New Roman" w:hAnsi="Times New Roman" w:eastAsia="宋体" w:cs="Times New Roman"/>
                <w:i w:val="0"/>
                <w:iCs w:val="0"/>
                <w:color w:val="000000"/>
                <w:kern w:val="0"/>
                <w:sz w:val="20"/>
                <w:szCs w:val="20"/>
                <w:u w:val="none"/>
                <w:lang w:val="en-US" w:eastAsia="zh-CN" w:bidi="ar"/>
              </w:rPr>
              <w:t>轴承介绍</w:t>
            </w:r>
          </w:p>
        </w:tc>
        <w:tc>
          <w:tcPr>
            <w:tcW w:w="4329" w:type="pct"/>
            <w:noWrap w:val="0"/>
            <w:vAlign w:val="center"/>
          </w:tcPr>
          <w:p w14:paraId="49E71453">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kern w:val="0"/>
                <w:sz w:val="20"/>
                <w:szCs w:val="20"/>
                <w:u w:val="none"/>
                <w:lang w:val="en-US" w:eastAsia="zh-CN" w:bidi="ar"/>
              </w:rPr>
            </w:pPr>
            <w:r>
              <w:rPr>
                <w:rFonts w:hint="eastAsia" w:ascii="Times New Roman" w:hAnsi="Times New Roman" w:eastAsia="宋体" w:cs="Times New Roman"/>
                <w:i w:val="0"/>
                <w:iCs w:val="0"/>
                <w:color w:val="000000"/>
                <w:kern w:val="0"/>
                <w:sz w:val="20"/>
                <w:szCs w:val="20"/>
                <w:u w:val="none"/>
                <w:lang w:val="en-US" w:eastAsia="zh-CN" w:bidi="ar"/>
              </w:rPr>
              <w:t>选用瓦房店调心滚子轴承，采用接触式骨架油封密封结构。</w:t>
            </w:r>
          </w:p>
        </w:tc>
      </w:tr>
      <w:tr w14:paraId="674E3EC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670" w:type="pct"/>
            <w:noWrap w:val="0"/>
            <w:vAlign w:val="center"/>
          </w:tcPr>
          <w:p w14:paraId="2DA5D056">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kern w:val="0"/>
                <w:sz w:val="20"/>
                <w:szCs w:val="20"/>
                <w:u w:val="none"/>
                <w:lang w:val="en-US" w:eastAsia="zh-CN" w:bidi="ar"/>
              </w:rPr>
            </w:pPr>
            <w:r>
              <w:rPr>
                <w:rFonts w:hint="eastAsia" w:ascii="Times New Roman" w:hAnsi="Times New Roman" w:eastAsia="宋体" w:cs="Times New Roman"/>
                <w:i w:val="0"/>
                <w:iCs w:val="0"/>
                <w:color w:val="000000"/>
                <w:kern w:val="0"/>
                <w:sz w:val="20"/>
                <w:szCs w:val="20"/>
                <w:u w:val="none"/>
                <w:lang w:val="en-US" w:eastAsia="zh-CN" w:bidi="ar"/>
              </w:rPr>
              <w:t>特点优势</w:t>
            </w:r>
          </w:p>
        </w:tc>
        <w:tc>
          <w:tcPr>
            <w:tcW w:w="4329" w:type="pct"/>
            <w:noWrap w:val="0"/>
            <w:vAlign w:val="center"/>
          </w:tcPr>
          <w:p w14:paraId="1BAEE7FF">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kern w:val="0"/>
                <w:sz w:val="20"/>
                <w:szCs w:val="20"/>
                <w:u w:val="none"/>
                <w:lang w:val="en-US" w:eastAsia="zh-CN" w:bidi="ar"/>
              </w:rPr>
            </w:pPr>
            <w:r>
              <w:rPr>
                <w:rFonts w:hint="eastAsia" w:ascii="Times New Roman" w:hAnsi="Times New Roman" w:eastAsia="宋体" w:cs="Times New Roman"/>
                <w:i w:val="0"/>
                <w:iCs w:val="0"/>
                <w:color w:val="000000"/>
                <w:kern w:val="0"/>
                <w:sz w:val="20"/>
                <w:szCs w:val="20"/>
                <w:u w:val="none"/>
                <w:lang w:val="en-US" w:eastAsia="zh-CN" w:bidi="ar"/>
              </w:rPr>
              <w:t>轴承四重密封防护设计，有效的防尘防水，可在高温粉尘和露天环境下正常工作。</w:t>
            </w:r>
          </w:p>
        </w:tc>
      </w:tr>
      <w:tr w14:paraId="10EA50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5000" w:type="pct"/>
            <w:gridSpan w:val="2"/>
            <w:noWrap w:val="0"/>
            <w:vAlign w:val="center"/>
          </w:tcPr>
          <w:p w14:paraId="786DF4EB">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kern w:val="0"/>
                <w:sz w:val="20"/>
                <w:szCs w:val="20"/>
                <w:u w:val="none"/>
                <w:lang w:val="en-US" w:eastAsia="zh-CN" w:bidi="ar"/>
              </w:rPr>
            </w:pPr>
            <w:r>
              <w:rPr>
                <w:rFonts w:hint="default" w:ascii="Times New Roman" w:hAnsi="Times New Roman" w:eastAsia="宋体" w:cs="Times New Roman"/>
                <w:i w:val="0"/>
                <w:iCs w:val="0"/>
                <w:color w:val="000000"/>
                <w:kern w:val="0"/>
                <w:sz w:val="20"/>
                <w:szCs w:val="20"/>
                <w:u w:val="none"/>
                <w:lang w:val="en-US" w:eastAsia="zh-CN" w:bidi="ar"/>
              </w:rPr>
              <w:drawing>
                <wp:inline distT="0" distB="0" distL="114300" distR="114300">
                  <wp:extent cx="4730115" cy="2726055"/>
                  <wp:effectExtent l="0" t="0" r="6985" b="4445"/>
                  <wp:docPr id="64" name="图片 50" descr="说明: E:\设计部\大件垃圾\图片21.jpg图片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图片 50" descr="说明: E:\设计部\大件垃圾\图片21.jpg图片21"/>
                          <pic:cNvPicPr>
                            <a:picLocks noChangeAspect="1"/>
                          </pic:cNvPicPr>
                        </pic:nvPicPr>
                        <pic:blipFill>
                          <a:blip r:embed="rId39"/>
                          <a:srcRect t="5225"/>
                          <a:stretch>
                            <a:fillRect/>
                          </a:stretch>
                        </pic:blipFill>
                        <pic:spPr>
                          <a:xfrm>
                            <a:off x="0" y="0"/>
                            <a:ext cx="4730115" cy="2726055"/>
                          </a:xfrm>
                          <a:prstGeom prst="rect">
                            <a:avLst/>
                          </a:prstGeom>
                          <a:noFill/>
                          <a:ln>
                            <a:noFill/>
                          </a:ln>
                        </pic:spPr>
                      </pic:pic>
                    </a:graphicData>
                  </a:graphic>
                </wp:inline>
              </w:drawing>
            </w:r>
          </w:p>
        </w:tc>
      </w:tr>
    </w:tbl>
    <w:p w14:paraId="517BE2FA">
      <w:pPr>
        <w:pStyle w:val="25"/>
        <w:bidi w:val="0"/>
      </w:pPr>
      <w:bookmarkStart w:id="152" w:name="_Toc12492_WPSOffice_Level3"/>
      <w:r>
        <w:rPr>
          <w:rFonts w:hint="eastAsia"/>
        </w:rPr>
        <w:t>组合式刀箱</w:t>
      </w:r>
      <w:bookmarkEnd w:id="152"/>
    </w:p>
    <w:tbl>
      <w:tblPr>
        <w:tblStyle w:val="11"/>
        <w:tblW w:w="4999"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295"/>
        <w:gridCol w:w="8103"/>
      </w:tblGrid>
      <w:tr w14:paraId="0F99B31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689" w:type="pct"/>
            <w:noWrap w:val="0"/>
            <w:vAlign w:val="center"/>
          </w:tcPr>
          <w:p w14:paraId="0D055CD6">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kern w:val="0"/>
                <w:sz w:val="20"/>
                <w:szCs w:val="20"/>
                <w:u w:val="none"/>
                <w:lang w:val="en-US" w:eastAsia="zh-CN" w:bidi="ar"/>
              </w:rPr>
            </w:pPr>
            <w:r>
              <w:rPr>
                <w:rFonts w:hint="eastAsia" w:ascii="Times New Roman" w:hAnsi="Times New Roman" w:eastAsia="宋体" w:cs="Times New Roman"/>
                <w:i w:val="0"/>
                <w:iCs w:val="0"/>
                <w:color w:val="000000"/>
                <w:kern w:val="0"/>
                <w:sz w:val="20"/>
                <w:szCs w:val="20"/>
                <w:u w:val="none"/>
                <w:lang w:val="en-US" w:eastAsia="zh-CN" w:bidi="ar"/>
              </w:rPr>
              <w:t>刀箱介绍</w:t>
            </w:r>
          </w:p>
        </w:tc>
        <w:tc>
          <w:tcPr>
            <w:tcW w:w="4310" w:type="pct"/>
            <w:noWrap w:val="0"/>
            <w:vAlign w:val="center"/>
          </w:tcPr>
          <w:p w14:paraId="4C439427">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kern w:val="0"/>
                <w:sz w:val="20"/>
                <w:szCs w:val="20"/>
                <w:u w:val="none"/>
                <w:lang w:val="en-US" w:eastAsia="zh-CN" w:bidi="ar"/>
              </w:rPr>
            </w:pPr>
            <w:r>
              <w:rPr>
                <w:rFonts w:hint="eastAsia" w:ascii="Times New Roman" w:hAnsi="Times New Roman" w:eastAsia="宋体" w:cs="Times New Roman"/>
                <w:i w:val="0"/>
                <w:iCs w:val="0"/>
                <w:color w:val="000000"/>
                <w:kern w:val="0"/>
                <w:sz w:val="20"/>
                <w:szCs w:val="20"/>
                <w:u w:val="none"/>
                <w:lang w:val="en-US" w:eastAsia="zh-CN" w:bidi="ar"/>
              </w:rPr>
              <w:t>主机箱体采用组合式装配，各总成皆可以拆下进行维修保养及更换。</w:t>
            </w:r>
          </w:p>
        </w:tc>
      </w:tr>
      <w:tr w14:paraId="7A306B9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689" w:type="pct"/>
            <w:noWrap w:val="0"/>
            <w:vAlign w:val="center"/>
          </w:tcPr>
          <w:p w14:paraId="69F99446">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kern w:val="0"/>
                <w:sz w:val="20"/>
                <w:szCs w:val="20"/>
                <w:u w:val="none"/>
                <w:lang w:val="en-US" w:eastAsia="zh-CN" w:bidi="ar"/>
              </w:rPr>
            </w:pPr>
            <w:r>
              <w:rPr>
                <w:rFonts w:hint="eastAsia" w:ascii="Times New Roman" w:hAnsi="Times New Roman" w:eastAsia="宋体" w:cs="Times New Roman"/>
                <w:i w:val="0"/>
                <w:iCs w:val="0"/>
                <w:color w:val="000000"/>
                <w:kern w:val="0"/>
                <w:sz w:val="20"/>
                <w:szCs w:val="20"/>
                <w:u w:val="none"/>
                <w:lang w:val="en-US" w:eastAsia="zh-CN" w:bidi="ar"/>
              </w:rPr>
              <w:t>特点优势</w:t>
            </w:r>
          </w:p>
        </w:tc>
        <w:tc>
          <w:tcPr>
            <w:tcW w:w="4310" w:type="pct"/>
            <w:noWrap w:val="0"/>
            <w:vAlign w:val="center"/>
          </w:tcPr>
          <w:p w14:paraId="1D485F26">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kern w:val="0"/>
                <w:sz w:val="20"/>
                <w:szCs w:val="20"/>
                <w:u w:val="none"/>
                <w:lang w:val="en-US" w:eastAsia="zh-CN" w:bidi="ar"/>
              </w:rPr>
            </w:pPr>
            <w:r>
              <w:rPr>
                <w:rFonts w:hint="eastAsia" w:ascii="Times New Roman" w:hAnsi="Times New Roman" w:eastAsia="宋体" w:cs="Times New Roman"/>
                <w:i w:val="0"/>
                <w:iCs w:val="0"/>
                <w:color w:val="000000"/>
                <w:kern w:val="0"/>
                <w:sz w:val="20"/>
                <w:szCs w:val="20"/>
                <w:u w:val="none"/>
                <w:lang w:val="en-US" w:eastAsia="zh-CN" w:bidi="ar"/>
              </w:rPr>
              <w:t>采用高强度螺栓连接，箱体内置可更換耐磨板，保证其耐磨性与抗腐蚀性强度。</w:t>
            </w:r>
          </w:p>
        </w:tc>
      </w:tr>
      <w:tr w14:paraId="4492747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5000" w:type="pct"/>
            <w:gridSpan w:val="2"/>
            <w:noWrap w:val="0"/>
            <w:vAlign w:val="center"/>
          </w:tcPr>
          <w:p w14:paraId="7035C1C0">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kern w:val="0"/>
                <w:sz w:val="20"/>
                <w:szCs w:val="20"/>
                <w:u w:val="none"/>
                <w:lang w:val="en-US" w:eastAsia="zh-CN" w:bidi="ar"/>
              </w:rPr>
            </w:pPr>
            <w:r>
              <w:rPr>
                <w:rFonts w:hint="default" w:ascii="Times New Roman" w:hAnsi="Times New Roman" w:eastAsia="宋体" w:cs="Times New Roman"/>
                <w:i w:val="0"/>
                <w:iCs w:val="0"/>
                <w:color w:val="000000"/>
                <w:kern w:val="0"/>
                <w:sz w:val="20"/>
                <w:szCs w:val="20"/>
                <w:u w:val="none"/>
                <w:lang w:val="en-US" w:eastAsia="zh-CN" w:bidi="ar"/>
              </w:rPr>
              <w:drawing>
                <wp:inline distT="0" distB="0" distL="114300" distR="114300">
                  <wp:extent cx="4471035" cy="2747645"/>
                  <wp:effectExtent l="0" t="0" r="12065" b="8255"/>
                  <wp:docPr id="57"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图片 51"/>
                          <pic:cNvPicPr>
                            <a:picLocks noChangeAspect="1"/>
                          </pic:cNvPicPr>
                        </pic:nvPicPr>
                        <pic:blipFill>
                          <a:blip r:embed="rId40"/>
                          <a:stretch>
                            <a:fillRect/>
                          </a:stretch>
                        </pic:blipFill>
                        <pic:spPr>
                          <a:xfrm>
                            <a:off x="0" y="0"/>
                            <a:ext cx="4471035" cy="2747645"/>
                          </a:xfrm>
                          <a:prstGeom prst="rect">
                            <a:avLst/>
                          </a:prstGeom>
                          <a:noFill/>
                          <a:ln>
                            <a:noFill/>
                          </a:ln>
                        </pic:spPr>
                      </pic:pic>
                    </a:graphicData>
                  </a:graphic>
                </wp:inline>
              </w:drawing>
            </w:r>
          </w:p>
        </w:tc>
      </w:tr>
    </w:tbl>
    <w:p w14:paraId="011D60FA">
      <w:pPr>
        <w:pStyle w:val="25"/>
        <w:bidi w:val="0"/>
      </w:pPr>
      <w:bookmarkStart w:id="153" w:name="_Toc12415_WPSOffice_Level3"/>
      <w:r>
        <w:rPr>
          <w:rFonts w:hint="eastAsia"/>
        </w:rPr>
        <w:t>液压压料装置</w:t>
      </w:r>
      <w:bookmarkEnd w:id="153"/>
    </w:p>
    <w:tbl>
      <w:tblPr>
        <w:tblStyle w:val="11"/>
        <w:tblW w:w="4999"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297"/>
        <w:gridCol w:w="8101"/>
      </w:tblGrid>
      <w:tr w14:paraId="707D092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690" w:type="pct"/>
            <w:noWrap w:val="0"/>
            <w:vAlign w:val="center"/>
          </w:tcPr>
          <w:p w14:paraId="4FED8F5D">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kern w:val="0"/>
                <w:sz w:val="20"/>
                <w:szCs w:val="20"/>
                <w:u w:val="none"/>
                <w:lang w:val="en-US" w:eastAsia="zh-CN" w:bidi="ar"/>
              </w:rPr>
            </w:pPr>
            <w:r>
              <w:rPr>
                <w:rFonts w:hint="eastAsia" w:ascii="Times New Roman" w:hAnsi="Times New Roman" w:eastAsia="宋体" w:cs="Times New Roman"/>
                <w:i w:val="0"/>
                <w:iCs w:val="0"/>
                <w:color w:val="000000"/>
                <w:kern w:val="0"/>
                <w:sz w:val="20"/>
                <w:szCs w:val="20"/>
                <w:u w:val="none"/>
                <w:lang w:val="en-US" w:eastAsia="zh-CN" w:bidi="ar"/>
              </w:rPr>
              <w:t>功能介绍</w:t>
            </w:r>
          </w:p>
        </w:tc>
        <w:tc>
          <w:tcPr>
            <w:tcW w:w="4309" w:type="pct"/>
            <w:noWrap w:val="0"/>
            <w:vAlign w:val="center"/>
          </w:tcPr>
          <w:p w14:paraId="73EFFE2C">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kern w:val="0"/>
                <w:sz w:val="20"/>
                <w:szCs w:val="20"/>
                <w:u w:val="none"/>
                <w:lang w:val="en-US" w:eastAsia="zh-CN" w:bidi="ar"/>
              </w:rPr>
            </w:pPr>
            <w:r>
              <w:rPr>
                <w:rFonts w:hint="eastAsia" w:ascii="Times New Roman" w:hAnsi="Times New Roman" w:eastAsia="宋体" w:cs="Times New Roman"/>
                <w:i w:val="0"/>
                <w:iCs w:val="0"/>
                <w:color w:val="000000"/>
                <w:kern w:val="0"/>
                <w:sz w:val="20"/>
                <w:szCs w:val="20"/>
                <w:u w:val="none"/>
                <w:lang w:val="en-US" w:eastAsia="zh-CN" w:bidi="ar"/>
              </w:rPr>
              <w:t>自动压料装置，可根据主机电流自动调节推料箱进、退压料频率与行程。</w:t>
            </w:r>
          </w:p>
        </w:tc>
      </w:tr>
      <w:tr w14:paraId="31C044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690" w:type="pct"/>
            <w:noWrap w:val="0"/>
            <w:vAlign w:val="center"/>
          </w:tcPr>
          <w:p w14:paraId="05E098EC">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kern w:val="0"/>
                <w:sz w:val="20"/>
                <w:szCs w:val="20"/>
                <w:u w:val="none"/>
                <w:lang w:val="en-US" w:eastAsia="zh-CN" w:bidi="ar"/>
              </w:rPr>
            </w:pPr>
            <w:r>
              <w:rPr>
                <w:rFonts w:hint="eastAsia" w:ascii="Times New Roman" w:hAnsi="Times New Roman" w:eastAsia="宋体" w:cs="Times New Roman"/>
                <w:i w:val="0"/>
                <w:iCs w:val="0"/>
                <w:color w:val="000000"/>
                <w:kern w:val="0"/>
                <w:sz w:val="20"/>
                <w:szCs w:val="20"/>
                <w:u w:val="none"/>
                <w:lang w:val="en-US" w:eastAsia="zh-CN" w:bidi="ar"/>
              </w:rPr>
              <w:t>特点优势</w:t>
            </w:r>
          </w:p>
        </w:tc>
        <w:tc>
          <w:tcPr>
            <w:tcW w:w="4309" w:type="pct"/>
            <w:noWrap w:val="0"/>
            <w:vAlign w:val="center"/>
          </w:tcPr>
          <w:p w14:paraId="29CADB52">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kern w:val="0"/>
                <w:sz w:val="20"/>
                <w:szCs w:val="20"/>
                <w:u w:val="none"/>
                <w:lang w:val="en-US" w:eastAsia="zh-CN" w:bidi="ar"/>
              </w:rPr>
            </w:pPr>
            <w:r>
              <w:rPr>
                <w:rFonts w:hint="eastAsia" w:ascii="Times New Roman" w:hAnsi="Times New Roman" w:eastAsia="宋体" w:cs="Times New Roman"/>
                <w:i w:val="0"/>
                <w:iCs w:val="0"/>
                <w:color w:val="000000"/>
                <w:kern w:val="0"/>
                <w:sz w:val="20"/>
                <w:szCs w:val="20"/>
                <w:u w:val="none"/>
                <w:lang w:val="en-US" w:eastAsia="zh-CN" w:bidi="ar"/>
              </w:rPr>
              <w:t>防止圆形、中空等大件物料架空，提高喂料速度从而提高破碎效率。</w:t>
            </w:r>
          </w:p>
        </w:tc>
      </w:tr>
    </w:tbl>
    <w:p w14:paraId="4AB8FFD4">
      <w:pPr>
        <w:pStyle w:val="25"/>
        <w:bidi w:val="0"/>
      </w:pPr>
      <w:bookmarkStart w:id="154" w:name="_Toc24975_WPSOffice_Level3"/>
      <w:r>
        <w:rPr>
          <w:rFonts w:hint="eastAsia"/>
        </w:rPr>
        <w:t>电机+减速机</w:t>
      </w:r>
      <w:bookmarkEnd w:id="154"/>
    </w:p>
    <w:tbl>
      <w:tblPr>
        <w:tblStyle w:val="11"/>
        <w:tblW w:w="4999"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291"/>
        <w:gridCol w:w="8107"/>
      </w:tblGrid>
      <w:tr w14:paraId="6225D5B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687" w:type="pct"/>
            <w:noWrap w:val="0"/>
            <w:vAlign w:val="center"/>
          </w:tcPr>
          <w:p w14:paraId="4D0CABDC">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kern w:val="0"/>
                <w:sz w:val="20"/>
                <w:szCs w:val="20"/>
                <w:u w:val="none"/>
                <w:lang w:val="en-US" w:eastAsia="zh-CN" w:bidi="ar"/>
              </w:rPr>
            </w:pPr>
            <w:r>
              <w:rPr>
                <w:rFonts w:hint="eastAsia" w:ascii="Times New Roman" w:hAnsi="Times New Roman" w:eastAsia="宋体" w:cs="Times New Roman"/>
                <w:i w:val="0"/>
                <w:iCs w:val="0"/>
                <w:color w:val="000000"/>
                <w:kern w:val="0"/>
                <w:sz w:val="20"/>
                <w:szCs w:val="20"/>
                <w:u w:val="none"/>
                <w:lang w:val="en-US" w:eastAsia="zh-CN" w:bidi="ar"/>
              </w:rPr>
              <w:t>品牌介绍</w:t>
            </w:r>
          </w:p>
        </w:tc>
        <w:tc>
          <w:tcPr>
            <w:tcW w:w="4312" w:type="pct"/>
            <w:noWrap w:val="0"/>
            <w:vAlign w:val="center"/>
          </w:tcPr>
          <w:p w14:paraId="0BD8894E">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kern w:val="0"/>
                <w:sz w:val="20"/>
                <w:szCs w:val="20"/>
                <w:u w:val="none"/>
                <w:lang w:val="en-US" w:eastAsia="zh-CN" w:bidi="ar"/>
              </w:rPr>
            </w:pPr>
            <w:r>
              <w:rPr>
                <w:rFonts w:hint="eastAsia" w:ascii="Times New Roman" w:hAnsi="Times New Roman" w:eastAsia="宋体" w:cs="Times New Roman"/>
                <w:i w:val="0"/>
                <w:iCs w:val="0"/>
                <w:color w:val="000000"/>
                <w:kern w:val="0"/>
                <w:sz w:val="20"/>
                <w:szCs w:val="20"/>
                <w:u w:val="none"/>
                <w:lang w:val="en-US" w:eastAsia="zh-CN" w:bidi="ar"/>
              </w:rPr>
              <w:t>电机：西门子贝德/西玛电机行星减速机：博能传动/通力</w:t>
            </w:r>
          </w:p>
        </w:tc>
      </w:tr>
      <w:tr w14:paraId="4550FB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687" w:type="pct"/>
            <w:noWrap w:val="0"/>
            <w:vAlign w:val="center"/>
          </w:tcPr>
          <w:p w14:paraId="219B0C65">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kern w:val="0"/>
                <w:sz w:val="20"/>
                <w:szCs w:val="20"/>
                <w:u w:val="none"/>
                <w:lang w:val="en-US" w:eastAsia="zh-CN" w:bidi="ar"/>
              </w:rPr>
            </w:pPr>
            <w:r>
              <w:rPr>
                <w:rFonts w:hint="eastAsia" w:ascii="Times New Roman" w:hAnsi="Times New Roman" w:eastAsia="宋体" w:cs="Times New Roman"/>
                <w:i w:val="0"/>
                <w:iCs w:val="0"/>
                <w:color w:val="000000"/>
                <w:kern w:val="0"/>
                <w:sz w:val="20"/>
                <w:szCs w:val="20"/>
                <w:u w:val="none"/>
                <w:lang w:val="en-US" w:eastAsia="zh-CN" w:bidi="ar"/>
              </w:rPr>
              <w:t>特点优势</w:t>
            </w:r>
          </w:p>
        </w:tc>
        <w:tc>
          <w:tcPr>
            <w:tcW w:w="4312" w:type="pct"/>
            <w:noWrap w:val="0"/>
            <w:vAlign w:val="center"/>
          </w:tcPr>
          <w:p w14:paraId="18F2E8CC">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kern w:val="0"/>
                <w:sz w:val="20"/>
                <w:szCs w:val="20"/>
                <w:u w:val="none"/>
                <w:lang w:val="en-US" w:eastAsia="zh-CN" w:bidi="ar"/>
              </w:rPr>
            </w:pPr>
            <w:r>
              <w:rPr>
                <w:rFonts w:hint="eastAsia" w:ascii="Times New Roman" w:hAnsi="Times New Roman" w:eastAsia="宋体" w:cs="Times New Roman"/>
                <w:i w:val="0"/>
                <w:iCs w:val="0"/>
                <w:color w:val="000000"/>
                <w:kern w:val="0"/>
                <w:sz w:val="20"/>
                <w:szCs w:val="20"/>
                <w:u w:val="none"/>
                <w:lang w:val="en-US" w:eastAsia="zh-CN" w:bidi="ar"/>
              </w:rPr>
              <w:t>低转速、大扭矩，运行稳定，传动效率高，具有剪切力大、撕碎效率高等特点。</w:t>
            </w:r>
          </w:p>
        </w:tc>
      </w:tr>
    </w:tbl>
    <w:p w14:paraId="32538D62">
      <w:pPr>
        <w:pStyle w:val="25"/>
        <w:bidi w:val="0"/>
      </w:pPr>
      <w:bookmarkStart w:id="155" w:name="_Toc30041_WPSOffice_Level2"/>
      <w:bookmarkStart w:id="156" w:name="_Toc30569"/>
      <w:bookmarkStart w:id="157" w:name="_Toc3776"/>
      <w:r>
        <w:rPr>
          <w:rFonts w:hint="eastAsia"/>
        </w:rPr>
        <w:t>出料输送机</w:t>
      </w:r>
      <w:bookmarkEnd w:id="155"/>
      <w:bookmarkEnd w:id="156"/>
      <w:bookmarkEnd w:id="157"/>
    </w:p>
    <w:tbl>
      <w:tblPr>
        <w:tblStyle w:val="11"/>
        <w:tblW w:w="4999"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290"/>
        <w:gridCol w:w="8108"/>
      </w:tblGrid>
      <w:tr w14:paraId="5DD7590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686" w:type="pct"/>
            <w:noWrap w:val="0"/>
            <w:vAlign w:val="center"/>
          </w:tcPr>
          <w:p w14:paraId="64DF95F4">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kern w:val="0"/>
                <w:sz w:val="20"/>
                <w:szCs w:val="20"/>
                <w:u w:val="none"/>
                <w:lang w:val="en-US" w:eastAsia="zh-CN" w:bidi="ar"/>
              </w:rPr>
            </w:pPr>
            <w:r>
              <w:rPr>
                <w:rFonts w:hint="eastAsia" w:ascii="Times New Roman" w:hAnsi="Times New Roman" w:eastAsia="宋体" w:cs="Times New Roman"/>
                <w:i w:val="0"/>
                <w:iCs w:val="0"/>
                <w:color w:val="000000"/>
                <w:kern w:val="0"/>
                <w:sz w:val="20"/>
                <w:szCs w:val="20"/>
                <w:u w:val="none"/>
                <w:lang w:val="en-US" w:eastAsia="zh-CN" w:bidi="ar"/>
              </w:rPr>
              <w:t>功能介绍</w:t>
            </w:r>
          </w:p>
        </w:tc>
        <w:tc>
          <w:tcPr>
            <w:tcW w:w="4313" w:type="pct"/>
            <w:noWrap w:val="0"/>
            <w:vAlign w:val="center"/>
          </w:tcPr>
          <w:p w14:paraId="2E70BEA7">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kern w:val="0"/>
                <w:sz w:val="20"/>
                <w:szCs w:val="20"/>
                <w:u w:val="none"/>
                <w:lang w:val="en-US" w:eastAsia="zh-CN" w:bidi="ar"/>
              </w:rPr>
            </w:pPr>
            <w:r>
              <w:rPr>
                <w:rFonts w:hint="eastAsia" w:ascii="Times New Roman" w:hAnsi="Times New Roman" w:eastAsia="宋体" w:cs="Times New Roman"/>
                <w:i w:val="0"/>
                <w:iCs w:val="0"/>
                <w:color w:val="000000"/>
                <w:kern w:val="0"/>
                <w:sz w:val="20"/>
                <w:szCs w:val="20"/>
                <w:u w:val="none"/>
                <w:lang w:val="en-US" w:eastAsia="zh-CN" w:bidi="ar"/>
              </w:rPr>
              <w:t>将破碎后的垃圾进行传送至垃圾转运车，采用变频器调速，高效节能。</w:t>
            </w:r>
          </w:p>
        </w:tc>
      </w:tr>
      <w:tr w14:paraId="159299F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686" w:type="pct"/>
            <w:noWrap w:val="0"/>
            <w:vAlign w:val="center"/>
          </w:tcPr>
          <w:p w14:paraId="7CB4C197">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kern w:val="0"/>
                <w:sz w:val="20"/>
                <w:szCs w:val="20"/>
                <w:u w:val="none"/>
                <w:lang w:val="en-US" w:eastAsia="zh-CN" w:bidi="ar"/>
              </w:rPr>
            </w:pPr>
            <w:r>
              <w:rPr>
                <w:rFonts w:hint="eastAsia" w:ascii="Times New Roman" w:hAnsi="Times New Roman" w:eastAsia="宋体" w:cs="Times New Roman"/>
                <w:i w:val="0"/>
                <w:iCs w:val="0"/>
                <w:color w:val="000000"/>
                <w:kern w:val="0"/>
                <w:sz w:val="20"/>
                <w:szCs w:val="20"/>
                <w:u w:val="none"/>
                <w:lang w:val="en-US" w:eastAsia="zh-CN" w:bidi="ar"/>
              </w:rPr>
              <w:t>设备组成</w:t>
            </w:r>
          </w:p>
        </w:tc>
        <w:tc>
          <w:tcPr>
            <w:tcW w:w="4313" w:type="pct"/>
            <w:noWrap w:val="0"/>
            <w:vAlign w:val="center"/>
          </w:tcPr>
          <w:p w14:paraId="32375994">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kern w:val="0"/>
                <w:sz w:val="20"/>
                <w:szCs w:val="20"/>
                <w:u w:val="none"/>
                <w:lang w:val="en-US" w:eastAsia="zh-CN" w:bidi="ar"/>
              </w:rPr>
            </w:pPr>
            <w:r>
              <w:rPr>
                <w:rFonts w:hint="default" w:ascii="Times New Roman" w:hAnsi="Times New Roman" w:eastAsia="宋体" w:cs="Times New Roman"/>
                <w:i w:val="0"/>
                <w:iCs w:val="0"/>
                <w:color w:val="000000"/>
                <w:kern w:val="0"/>
                <w:sz w:val="20"/>
                <w:szCs w:val="20"/>
                <w:u w:val="none"/>
                <w:lang w:val="en-US" w:eastAsia="zh-CN" w:bidi="ar"/>
              </w:rPr>
              <w:t>驱动电机、减速机、橡胶皮带、机架、张紧装置等</w:t>
            </w:r>
            <w:r>
              <w:rPr>
                <w:rFonts w:hint="eastAsia" w:ascii="Times New Roman" w:hAnsi="Times New Roman" w:eastAsia="宋体" w:cs="Times New Roman"/>
                <w:i w:val="0"/>
                <w:iCs w:val="0"/>
                <w:color w:val="000000"/>
                <w:kern w:val="0"/>
                <w:sz w:val="20"/>
                <w:szCs w:val="20"/>
                <w:u w:val="none"/>
                <w:lang w:val="en-US" w:eastAsia="zh-CN" w:bidi="ar"/>
              </w:rPr>
              <w:t>。</w:t>
            </w:r>
          </w:p>
        </w:tc>
      </w:tr>
      <w:tr w14:paraId="4E3C75E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686" w:type="pct"/>
            <w:noWrap w:val="0"/>
            <w:vAlign w:val="center"/>
          </w:tcPr>
          <w:p w14:paraId="731F979D">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kern w:val="0"/>
                <w:sz w:val="20"/>
                <w:szCs w:val="20"/>
                <w:u w:val="none"/>
                <w:lang w:val="en-US" w:eastAsia="zh-CN" w:bidi="ar"/>
              </w:rPr>
            </w:pPr>
            <w:r>
              <w:rPr>
                <w:rFonts w:hint="eastAsia" w:ascii="Times New Roman" w:hAnsi="Times New Roman" w:eastAsia="宋体" w:cs="Times New Roman"/>
                <w:i w:val="0"/>
                <w:iCs w:val="0"/>
                <w:color w:val="000000"/>
                <w:kern w:val="0"/>
                <w:sz w:val="20"/>
                <w:szCs w:val="20"/>
                <w:u w:val="none"/>
                <w:lang w:val="en-US" w:eastAsia="zh-CN" w:bidi="ar"/>
              </w:rPr>
              <w:t>性能特点</w:t>
            </w:r>
          </w:p>
        </w:tc>
        <w:tc>
          <w:tcPr>
            <w:tcW w:w="4313" w:type="pct"/>
            <w:noWrap w:val="0"/>
            <w:vAlign w:val="center"/>
          </w:tcPr>
          <w:p w14:paraId="6DFCD5D6">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kern w:val="0"/>
                <w:sz w:val="20"/>
                <w:szCs w:val="20"/>
                <w:u w:val="none"/>
                <w:lang w:val="en-US" w:eastAsia="zh-CN" w:bidi="ar"/>
              </w:rPr>
            </w:pPr>
            <w:r>
              <w:rPr>
                <w:rFonts w:hint="eastAsia" w:ascii="Times New Roman" w:hAnsi="Times New Roman" w:eastAsia="宋体" w:cs="Times New Roman"/>
                <w:i w:val="0"/>
                <w:iCs w:val="0"/>
                <w:color w:val="000000"/>
                <w:kern w:val="0"/>
                <w:sz w:val="20"/>
                <w:szCs w:val="20"/>
                <w:u w:val="none"/>
                <w:lang w:val="en-US" w:eastAsia="zh-CN" w:bidi="ar"/>
              </w:rPr>
              <w:t>驱动电机可调速，根据出料情况，可进行相应调速；</w:t>
            </w:r>
          </w:p>
          <w:p w14:paraId="23A7DE74">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kern w:val="0"/>
                <w:sz w:val="20"/>
                <w:szCs w:val="20"/>
                <w:u w:val="none"/>
                <w:lang w:val="en-US" w:eastAsia="zh-CN" w:bidi="ar"/>
              </w:rPr>
            </w:pPr>
            <w:r>
              <w:rPr>
                <w:rFonts w:hint="eastAsia" w:ascii="Times New Roman" w:hAnsi="Times New Roman" w:eastAsia="宋体" w:cs="Times New Roman"/>
                <w:i w:val="0"/>
                <w:iCs w:val="0"/>
                <w:color w:val="000000"/>
                <w:kern w:val="0"/>
                <w:sz w:val="20"/>
                <w:szCs w:val="20"/>
                <w:u w:val="none"/>
                <w:lang w:val="en-US" w:eastAsia="zh-CN" w:bidi="ar"/>
              </w:rPr>
              <w:t>输送机内侧有导料板，防止物料或泥沙卡入输送辊筒刺伤输送带；</w:t>
            </w:r>
          </w:p>
          <w:p w14:paraId="4798547D">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kern w:val="0"/>
                <w:sz w:val="20"/>
                <w:szCs w:val="20"/>
                <w:u w:val="none"/>
                <w:lang w:val="en-US" w:eastAsia="zh-CN" w:bidi="ar"/>
              </w:rPr>
            </w:pPr>
            <w:r>
              <w:rPr>
                <w:rFonts w:hint="eastAsia" w:ascii="Times New Roman" w:hAnsi="Times New Roman" w:eastAsia="宋体" w:cs="Times New Roman"/>
                <w:i w:val="0"/>
                <w:iCs w:val="0"/>
                <w:color w:val="000000"/>
                <w:kern w:val="0"/>
                <w:sz w:val="20"/>
                <w:szCs w:val="20"/>
                <w:u w:val="none"/>
                <w:lang w:val="en-US" w:eastAsia="zh-CN" w:bidi="ar"/>
              </w:rPr>
              <w:t>输送机整体为全密封工艺，设有可视窗口及负压抽风接口；</w:t>
            </w:r>
          </w:p>
          <w:p w14:paraId="36EB7B2E">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kern w:val="0"/>
                <w:sz w:val="20"/>
                <w:szCs w:val="20"/>
                <w:u w:val="none"/>
                <w:lang w:val="en-US" w:eastAsia="zh-CN" w:bidi="ar"/>
              </w:rPr>
            </w:pPr>
            <w:r>
              <w:rPr>
                <w:rFonts w:hint="eastAsia" w:ascii="Times New Roman" w:hAnsi="Times New Roman" w:eastAsia="宋体" w:cs="Times New Roman"/>
                <w:i w:val="0"/>
                <w:iCs w:val="0"/>
                <w:color w:val="000000"/>
                <w:kern w:val="0"/>
                <w:sz w:val="20"/>
                <w:szCs w:val="20"/>
                <w:u w:val="none"/>
                <w:lang w:val="en-US" w:eastAsia="zh-CN" w:bidi="ar"/>
              </w:rPr>
              <w:t>出料输送机上部还设置有磁选分离装置，提高分选效果。</w:t>
            </w:r>
          </w:p>
        </w:tc>
      </w:tr>
    </w:tbl>
    <w:p w14:paraId="62AD8D9B">
      <w:pPr>
        <w:pStyle w:val="25"/>
        <w:bidi w:val="0"/>
      </w:pPr>
      <w:bookmarkStart w:id="158" w:name="_Toc15788"/>
      <w:bookmarkStart w:id="159" w:name="_Toc29587"/>
      <w:bookmarkStart w:id="160" w:name="_Toc24251_WPSOffice_Level2"/>
      <w:r>
        <w:rPr>
          <w:rFonts w:hint="eastAsia"/>
        </w:rPr>
        <w:t>磁选机</w:t>
      </w:r>
      <w:bookmarkEnd w:id="158"/>
      <w:bookmarkEnd w:id="159"/>
      <w:bookmarkEnd w:id="160"/>
    </w:p>
    <w:tbl>
      <w:tblPr>
        <w:tblStyle w:val="11"/>
        <w:tblW w:w="4999"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259"/>
        <w:gridCol w:w="8139"/>
      </w:tblGrid>
      <w:tr w14:paraId="4237BB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trPr>
        <w:tc>
          <w:tcPr>
            <w:tcW w:w="670" w:type="pct"/>
            <w:noWrap w:val="0"/>
            <w:vAlign w:val="center"/>
          </w:tcPr>
          <w:p w14:paraId="09274BB7">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kern w:val="0"/>
                <w:sz w:val="20"/>
                <w:szCs w:val="20"/>
                <w:u w:val="none"/>
                <w:lang w:val="en-US" w:eastAsia="zh-CN" w:bidi="ar"/>
              </w:rPr>
            </w:pPr>
            <w:r>
              <w:rPr>
                <w:rFonts w:hint="eastAsia" w:ascii="Times New Roman" w:hAnsi="Times New Roman" w:eastAsia="宋体" w:cs="Times New Roman"/>
                <w:i w:val="0"/>
                <w:iCs w:val="0"/>
                <w:color w:val="000000"/>
                <w:kern w:val="0"/>
                <w:sz w:val="20"/>
                <w:szCs w:val="20"/>
                <w:u w:val="none"/>
                <w:lang w:val="en-US" w:eastAsia="zh-CN" w:bidi="ar"/>
              </w:rPr>
              <w:t>功能介绍</w:t>
            </w:r>
          </w:p>
        </w:tc>
        <w:tc>
          <w:tcPr>
            <w:tcW w:w="4329" w:type="pct"/>
            <w:noWrap w:val="0"/>
            <w:vAlign w:val="center"/>
          </w:tcPr>
          <w:p w14:paraId="45B2E8AF">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kern w:val="0"/>
                <w:sz w:val="20"/>
                <w:szCs w:val="20"/>
                <w:u w:val="none"/>
                <w:lang w:val="en-US" w:eastAsia="zh-CN" w:bidi="ar"/>
              </w:rPr>
            </w:pPr>
            <w:r>
              <w:rPr>
                <w:rFonts w:hint="eastAsia" w:ascii="Times New Roman" w:hAnsi="Times New Roman" w:eastAsia="宋体" w:cs="Times New Roman"/>
                <w:i w:val="0"/>
                <w:iCs w:val="0"/>
                <w:color w:val="000000"/>
                <w:kern w:val="0"/>
                <w:sz w:val="20"/>
                <w:szCs w:val="20"/>
                <w:u w:val="none"/>
                <w:lang w:val="en-US" w:eastAsia="zh-CN" w:bidi="ar"/>
              </w:rPr>
              <w:t>将破碎后混杂在物料中的铁质材料进行分离，内部磁芯磁性强，对铁质材料的分离效率高。</w:t>
            </w:r>
          </w:p>
        </w:tc>
      </w:tr>
      <w:tr w14:paraId="028853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trPr>
        <w:tc>
          <w:tcPr>
            <w:tcW w:w="670" w:type="pct"/>
            <w:noWrap w:val="0"/>
            <w:vAlign w:val="center"/>
          </w:tcPr>
          <w:p w14:paraId="2C19FDB2">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kern w:val="0"/>
                <w:sz w:val="20"/>
                <w:szCs w:val="20"/>
                <w:u w:val="none"/>
                <w:lang w:val="en-US" w:eastAsia="zh-CN" w:bidi="ar"/>
              </w:rPr>
            </w:pPr>
            <w:r>
              <w:rPr>
                <w:rFonts w:hint="eastAsia" w:ascii="Times New Roman" w:hAnsi="Times New Roman" w:eastAsia="宋体" w:cs="Times New Roman"/>
                <w:i w:val="0"/>
                <w:iCs w:val="0"/>
                <w:color w:val="000000"/>
                <w:kern w:val="0"/>
                <w:sz w:val="20"/>
                <w:szCs w:val="20"/>
                <w:u w:val="none"/>
                <w:lang w:val="en-US" w:eastAsia="zh-CN" w:bidi="ar"/>
              </w:rPr>
              <w:t>工作原理</w:t>
            </w:r>
          </w:p>
        </w:tc>
        <w:tc>
          <w:tcPr>
            <w:tcW w:w="4329" w:type="pct"/>
            <w:noWrap w:val="0"/>
            <w:vAlign w:val="center"/>
          </w:tcPr>
          <w:p w14:paraId="1C44B8BA">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kern w:val="0"/>
                <w:sz w:val="20"/>
                <w:szCs w:val="20"/>
                <w:u w:val="none"/>
                <w:lang w:val="en-US" w:eastAsia="zh-CN" w:bidi="ar"/>
              </w:rPr>
            </w:pPr>
            <w:r>
              <w:rPr>
                <w:rFonts w:hint="eastAsia" w:ascii="Times New Roman" w:hAnsi="Times New Roman" w:eastAsia="宋体" w:cs="Times New Roman"/>
                <w:i w:val="0"/>
                <w:iCs w:val="0"/>
                <w:color w:val="000000"/>
                <w:kern w:val="0"/>
                <w:sz w:val="20"/>
                <w:szCs w:val="20"/>
                <w:u w:val="none"/>
                <w:lang w:val="en-US" w:eastAsia="zh-CN" w:bidi="ar"/>
              </w:rPr>
              <w:t>当输送的物料经过磁选机的强磁场时，混杂在物料的铁磁性物质在磁选机的强磁吸引力的作用下，被牢牢吸附在卸铁皮带上，达到自动清除的目的。</w:t>
            </w:r>
          </w:p>
        </w:tc>
      </w:tr>
      <w:tr w14:paraId="280DB43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trPr>
        <w:tc>
          <w:tcPr>
            <w:tcW w:w="670" w:type="pct"/>
            <w:noWrap w:val="0"/>
            <w:vAlign w:val="center"/>
          </w:tcPr>
          <w:p w14:paraId="2F393BB2">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kern w:val="0"/>
                <w:sz w:val="20"/>
                <w:szCs w:val="20"/>
                <w:u w:val="none"/>
                <w:lang w:val="en-US" w:eastAsia="zh-CN" w:bidi="ar"/>
              </w:rPr>
            </w:pPr>
            <w:r>
              <w:rPr>
                <w:rFonts w:hint="eastAsia" w:ascii="Times New Roman" w:hAnsi="Times New Roman" w:eastAsia="宋体" w:cs="Times New Roman"/>
                <w:i w:val="0"/>
                <w:iCs w:val="0"/>
                <w:color w:val="000000"/>
                <w:kern w:val="0"/>
                <w:sz w:val="20"/>
                <w:szCs w:val="20"/>
                <w:u w:val="none"/>
                <w:lang w:val="en-US" w:eastAsia="zh-CN" w:bidi="ar"/>
              </w:rPr>
              <w:t>性能特点</w:t>
            </w:r>
          </w:p>
        </w:tc>
        <w:tc>
          <w:tcPr>
            <w:tcW w:w="4329" w:type="pct"/>
            <w:noWrap w:val="0"/>
            <w:vAlign w:val="center"/>
          </w:tcPr>
          <w:p w14:paraId="5F9626AF">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kern w:val="0"/>
                <w:sz w:val="20"/>
                <w:szCs w:val="20"/>
                <w:u w:val="none"/>
                <w:lang w:val="en-US" w:eastAsia="zh-CN" w:bidi="ar"/>
              </w:rPr>
            </w:pPr>
            <w:r>
              <w:rPr>
                <w:rFonts w:hint="eastAsia" w:ascii="Times New Roman" w:hAnsi="Times New Roman" w:eastAsia="宋体" w:cs="Times New Roman"/>
                <w:i w:val="0"/>
                <w:iCs w:val="0"/>
                <w:color w:val="000000"/>
                <w:kern w:val="0"/>
                <w:sz w:val="20"/>
                <w:szCs w:val="20"/>
                <w:u w:val="none"/>
                <w:lang w:val="en-US" w:eastAsia="zh-CN" w:bidi="ar"/>
              </w:rPr>
              <w:t>其内部采用电工专用树脂浇注，自冷式全密封结构。</w:t>
            </w:r>
          </w:p>
          <w:p w14:paraId="238083C8">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kern w:val="0"/>
                <w:sz w:val="20"/>
                <w:szCs w:val="20"/>
                <w:u w:val="none"/>
                <w:lang w:val="en-US" w:eastAsia="zh-CN" w:bidi="ar"/>
              </w:rPr>
            </w:pPr>
            <w:r>
              <w:rPr>
                <w:rFonts w:hint="eastAsia" w:ascii="Times New Roman" w:hAnsi="Times New Roman" w:eastAsia="宋体" w:cs="Times New Roman"/>
                <w:i w:val="0"/>
                <w:iCs w:val="0"/>
                <w:color w:val="000000"/>
                <w:kern w:val="0"/>
                <w:sz w:val="20"/>
                <w:szCs w:val="20"/>
                <w:u w:val="none"/>
                <w:lang w:val="en-US" w:eastAsia="zh-CN" w:bidi="ar"/>
              </w:rPr>
              <w:t>具有透磁深度大、吸力强、防尘、防雨、耐腐蚀等优点，在恶劣的环境中仍能可靠运行。</w:t>
            </w:r>
          </w:p>
          <w:p w14:paraId="07EB16E2">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kern w:val="0"/>
                <w:sz w:val="20"/>
                <w:szCs w:val="20"/>
                <w:u w:val="none"/>
                <w:lang w:val="en-US" w:eastAsia="zh-CN" w:bidi="ar"/>
              </w:rPr>
            </w:pPr>
            <w:r>
              <w:rPr>
                <w:rFonts w:hint="eastAsia" w:ascii="Times New Roman" w:hAnsi="Times New Roman" w:eastAsia="宋体" w:cs="Times New Roman"/>
                <w:i w:val="0"/>
                <w:iCs w:val="0"/>
                <w:color w:val="000000"/>
                <w:kern w:val="0"/>
                <w:sz w:val="20"/>
                <w:szCs w:val="20"/>
                <w:u w:val="none"/>
                <w:lang w:val="en-US" w:eastAsia="zh-CN" w:bidi="ar"/>
              </w:rPr>
              <w:t>磁路采用计算机模拟设计，磁透深度大，磁力强。</w:t>
            </w:r>
          </w:p>
          <w:p w14:paraId="0F702D54">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kern w:val="0"/>
                <w:sz w:val="20"/>
                <w:szCs w:val="20"/>
                <w:u w:val="none"/>
                <w:lang w:val="en-US" w:eastAsia="zh-CN" w:bidi="ar"/>
              </w:rPr>
            </w:pPr>
            <w:r>
              <w:rPr>
                <w:rFonts w:hint="eastAsia" w:ascii="Times New Roman" w:hAnsi="Times New Roman" w:eastAsia="宋体" w:cs="Times New Roman"/>
                <w:i w:val="0"/>
                <w:iCs w:val="0"/>
                <w:color w:val="000000"/>
                <w:kern w:val="0"/>
                <w:sz w:val="20"/>
                <w:szCs w:val="20"/>
                <w:u w:val="none"/>
                <w:lang w:val="en-US" w:eastAsia="zh-CN" w:bidi="ar"/>
              </w:rPr>
              <w:t>自动卸铁，滚筒采用腰鼓形结构，具有皮带自动纠偏功能，维护方便。</w:t>
            </w:r>
          </w:p>
          <w:p w14:paraId="6B99945A">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kern w:val="0"/>
                <w:sz w:val="20"/>
                <w:szCs w:val="20"/>
                <w:u w:val="none"/>
                <w:lang w:val="en-US" w:eastAsia="zh-CN" w:bidi="ar"/>
              </w:rPr>
            </w:pPr>
            <w:r>
              <w:rPr>
                <w:rFonts w:hint="eastAsia" w:ascii="Times New Roman" w:hAnsi="Times New Roman" w:eastAsia="宋体" w:cs="Times New Roman"/>
                <w:i w:val="0"/>
                <w:iCs w:val="0"/>
                <w:color w:val="000000"/>
                <w:kern w:val="0"/>
                <w:sz w:val="20"/>
                <w:szCs w:val="20"/>
                <w:u w:val="none"/>
                <w:lang w:val="en-US" w:eastAsia="zh-CN" w:bidi="ar"/>
              </w:rPr>
              <w:t>能分选出90%（含）以上的铁类金属。</w:t>
            </w:r>
          </w:p>
        </w:tc>
      </w:tr>
      <w:tr w14:paraId="56595CB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trPr>
        <w:tc>
          <w:tcPr>
            <w:tcW w:w="5000" w:type="pct"/>
            <w:gridSpan w:val="2"/>
            <w:noWrap w:val="0"/>
            <w:vAlign w:val="center"/>
          </w:tcPr>
          <w:p w14:paraId="6E41B27D">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kern w:val="0"/>
                <w:sz w:val="20"/>
                <w:szCs w:val="20"/>
                <w:u w:val="none"/>
                <w:lang w:val="en-US" w:eastAsia="zh-CN" w:bidi="ar"/>
              </w:rPr>
            </w:pPr>
            <w:r>
              <w:rPr>
                <w:rFonts w:hint="default" w:ascii="Times New Roman" w:hAnsi="Times New Roman" w:eastAsia="宋体" w:cs="Times New Roman"/>
                <w:i w:val="0"/>
                <w:iCs w:val="0"/>
                <w:color w:val="000000"/>
                <w:kern w:val="0"/>
                <w:sz w:val="20"/>
                <w:szCs w:val="20"/>
                <w:u w:val="none"/>
                <w:lang w:val="en-US" w:eastAsia="zh-CN" w:bidi="ar"/>
              </w:rPr>
              <w:drawing>
                <wp:inline distT="0" distB="0" distL="114300" distR="114300">
                  <wp:extent cx="4154805" cy="2425065"/>
                  <wp:effectExtent l="0" t="0" r="10795" b="635"/>
                  <wp:docPr id="58"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图片 52"/>
                          <pic:cNvPicPr>
                            <a:picLocks noChangeAspect="1"/>
                          </pic:cNvPicPr>
                        </pic:nvPicPr>
                        <pic:blipFill>
                          <a:blip r:embed="rId41"/>
                          <a:stretch>
                            <a:fillRect/>
                          </a:stretch>
                        </pic:blipFill>
                        <pic:spPr>
                          <a:xfrm>
                            <a:off x="0" y="0"/>
                            <a:ext cx="4154805" cy="2425065"/>
                          </a:xfrm>
                          <a:prstGeom prst="rect">
                            <a:avLst/>
                          </a:prstGeom>
                          <a:noFill/>
                          <a:ln>
                            <a:noFill/>
                          </a:ln>
                        </pic:spPr>
                      </pic:pic>
                    </a:graphicData>
                  </a:graphic>
                </wp:inline>
              </w:drawing>
            </w:r>
          </w:p>
        </w:tc>
      </w:tr>
    </w:tbl>
    <w:p w14:paraId="66E2C10B">
      <w:pPr>
        <w:pStyle w:val="25"/>
        <w:bidi w:val="0"/>
      </w:pPr>
      <w:bookmarkStart w:id="161" w:name="_Toc13806"/>
      <w:bookmarkStart w:id="162" w:name="_Toc3568"/>
      <w:bookmarkStart w:id="163" w:name="_Toc10052_WPSOffice_Level2"/>
      <w:r>
        <w:rPr>
          <w:rFonts w:hint="eastAsia"/>
        </w:rPr>
        <w:t>除尘设备</w:t>
      </w:r>
      <w:bookmarkEnd w:id="161"/>
      <w:bookmarkEnd w:id="162"/>
      <w:bookmarkEnd w:id="163"/>
    </w:p>
    <w:tbl>
      <w:tblPr>
        <w:tblStyle w:val="11"/>
        <w:tblW w:w="4999"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259"/>
        <w:gridCol w:w="8139"/>
      </w:tblGrid>
      <w:tr w14:paraId="111BC79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trPr>
        <w:tc>
          <w:tcPr>
            <w:tcW w:w="670" w:type="pct"/>
            <w:noWrap w:val="0"/>
            <w:vAlign w:val="center"/>
          </w:tcPr>
          <w:p w14:paraId="5E5F452C">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kern w:val="0"/>
                <w:sz w:val="20"/>
                <w:szCs w:val="20"/>
                <w:u w:val="none"/>
                <w:lang w:val="en-US" w:eastAsia="zh-CN" w:bidi="ar"/>
              </w:rPr>
            </w:pPr>
            <w:r>
              <w:rPr>
                <w:rFonts w:hint="eastAsia" w:ascii="Times New Roman" w:hAnsi="Times New Roman" w:eastAsia="宋体" w:cs="Times New Roman"/>
                <w:i w:val="0"/>
                <w:iCs w:val="0"/>
                <w:color w:val="000000"/>
                <w:kern w:val="0"/>
                <w:sz w:val="20"/>
                <w:szCs w:val="20"/>
                <w:u w:val="none"/>
                <w:lang w:val="en-US" w:eastAsia="zh-CN" w:bidi="ar"/>
              </w:rPr>
              <w:t>功能介绍</w:t>
            </w:r>
          </w:p>
        </w:tc>
        <w:tc>
          <w:tcPr>
            <w:tcW w:w="4329" w:type="pct"/>
            <w:noWrap w:val="0"/>
            <w:vAlign w:val="center"/>
          </w:tcPr>
          <w:p w14:paraId="2DB520F2">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kern w:val="0"/>
                <w:sz w:val="20"/>
                <w:szCs w:val="20"/>
                <w:u w:val="none"/>
                <w:lang w:val="en-US" w:eastAsia="zh-CN" w:bidi="ar"/>
              </w:rPr>
            </w:pPr>
            <w:r>
              <w:rPr>
                <w:rFonts w:hint="eastAsia" w:ascii="Times New Roman" w:hAnsi="Times New Roman" w:eastAsia="宋体" w:cs="Times New Roman"/>
                <w:i w:val="0"/>
                <w:iCs w:val="0"/>
                <w:color w:val="000000"/>
                <w:kern w:val="0"/>
                <w:sz w:val="20"/>
                <w:szCs w:val="20"/>
                <w:u w:val="none"/>
                <w:lang w:val="en-US" w:eastAsia="zh-CN" w:bidi="ar"/>
              </w:rPr>
              <w:t>用于空气过滤，去除粉尘颗粒，采用滤板式除尘器，占地面积小，成本低，风量大，清灰方便，带有防爆卸爆口，避免因粉尘压力引起的爆炸；滤料使用寿命长。</w:t>
            </w:r>
          </w:p>
        </w:tc>
      </w:tr>
      <w:tr w14:paraId="00692F7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trPr>
        <w:tc>
          <w:tcPr>
            <w:tcW w:w="670" w:type="pct"/>
            <w:noWrap w:val="0"/>
            <w:vAlign w:val="center"/>
          </w:tcPr>
          <w:p w14:paraId="70E2FB46">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kern w:val="0"/>
                <w:sz w:val="20"/>
                <w:szCs w:val="20"/>
                <w:u w:val="none"/>
                <w:lang w:val="en-US" w:eastAsia="zh-CN" w:bidi="ar"/>
              </w:rPr>
            </w:pPr>
            <w:r>
              <w:rPr>
                <w:rFonts w:hint="eastAsia" w:ascii="Times New Roman" w:hAnsi="Times New Roman" w:eastAsia="宋体" w:cs="Times New Roman"/>
                <w:i w:val="0"/>
                <w:iCs w:val="0"/>
                <w:color w:val="000000"/>
                <w:kern w:val="0"/>
                <w:sz w:val="20"/>
                <w:szCs w:val="20"/>
                <w:u w:val="none"/>
                <w:lang w:val="en-US" w:eastAsia="zh-CN" w:bidi="ar"/>
              </w:rPr>
              <w:t>设备组成</w:t>
            </w:r>
          </w:p>
        </w:tc>
        <w:tc>
          <w:tcPr>
            <w:tcW w:w="4329" w:type="pct"/>
            <w:noWrap w:val="0"/>
            <w:vAlign w:val="center"/>
          </w:tcPr>
          <w:p w14:paraId="56D60CA6">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kern w:val="0"/>
                <w:sz w:val="20"/>
                <w:szCs w:val="20"/>
                <w:u w:val="none"/>
                <w:lang w:val="en-US" w:eastAsia="zh-CN" w:bidi="ar"/>
              </w:rPr>
            </w:pPr>
            <w:r>
              <w:rPr>
                <w:rFonts w:hint="eastAsia" w:ascii="Times New Roman" w:hAnsi="Times New Roman" w:eastAsia="宋体" w:cs="Times New Roman"/>
                <w:i w:val="0"/>
                <w:iCs w:val="0"/>
                <w:color w:val="000000"/>
                <w:kern w:val="0"/>
                <w:sz w:val="20"/>
                <w:szCs w:val="20"/>
                <w:u w:val="none"/>
                <w:lang w:val="en-US" w:eastAsia="zh-CN" w:bidi="ar"/>
              </w:rPr>
              <w:t>脉冲除尘装置、除尘过滤系统、卸料系统、电控系统、风机、电机、机架等。</w:t>
            </w:r>
          </w:p>
        </w:tc>
      </w:tr>
      <w:tr w14:paraId="7E352C5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trPr>
        <w:tc>
          <w:tcPr>
            <w:tcW w:w="670" w:type="pct"/>
            <w:noWrap w:val="0"/>
            <w:vAlign w:val="center"/>
          </w:tcPr>
          <w:p w14:paraId="2B980FCD">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kern w:val="0"/>
                <w:sz w:val="20"/>
                <w:szCs w:val="20"/>
                <w:u w:val="none"/>
                <w:lang w:val="en-US" w:eastAsia="zh-CN" w:bidi="ar"/>
              </w:rPr>
            </w:pPr>
            <w:r>
              <w:rPr>
                <w:rFonts w:hint="eastAsia" w:ascii="Times New Roman" w:hAnsi="Times New Roman" w:eastAsia="宋体" w:cs="Times New Roman"/>
                <w:i w:val="0"/>
                <w:iCs w:val="0"/>
                <w:color w:val="000000"/>
                <w:kern w:val="0"/>
                <w:sz w:val="20"/>
                <w:szCs w:val="20"/>
                <w:u w:val="none"/>
                <w:lang w:val="en-US" w:eastAsia="zh-CN" w:bidi="ar"/>
              </w:rPr>
              <w:t>性能特点</w:t>
            </w:r>
          </w:p>
        </w:tc>
        <w:tc>
          <w:tcPr>
            <w:tcW w:w="4329" w:type="pct"/>
            <w:noWrap w:val="0"/>
            <w:vAlign w:val="center"/>
          </w:tcPr>
          <w:p w14:paraId="2508EA01">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kern w:val="0"/>
                <w:sz w:val="20"/>
                <w:szCs w:val="20"/>
                <w:u w:val="none"/>
                <w:lang w:val="en-US" w:eastAsia="zh-CN" w:bidi="ar"/>
              </w:rPr>
            </w:pPr>
            <w:r>
              <w:rPr>
                <w:rFonts w:hint="eastAsia" w:ascii="Times New Roman" w:hAnsi="Times New Roman" w:eastAsia="宋体" w:cs="Times New Roman"/>
                <w:i w:val="0"/>
                <w:iCs w:val="0"/>
                <w:color w:val="000000"/>
                <w:kern w:val="0"/>
                <w:sz w:val="20"/>
                <w:szCs w:val="20"/>
                <w:u w:val="none"/>
                <w:lang w:val="en-US" w:eastAsia="zh-CN" w:bidi="ar"/>
              </w:rPr>
              <w:t>除尘率：可达到99.95%以上；</w:t>
            </w:r>
          </w:p>
          <w:p w14:paraId="713DBE00">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kern w:val="0"/>
                <w:sz w:val="20"/>
                <w:szCs w:val="20"/>
                <w:u w:val="none"/>
                <w:lang w:val="en-US" w:eastAsia="zh-CN" w:bidi="ar"/>
              </w:rPr>
            </w:pPr>
            <w:r>
              <w:rPr>
                <w:rFonts w:hint="eastAsia" w:ascii="Times New Roman" w:hAnsi="Times New Roman" w:eastAsia="宋体" w:cs="Times New Roman"/>
                <w:i w:val="0"/>
                <w:iCs w:val="0"/>
                <w:color w:val="000000"/>
                <w:kern w:val="0"/>
                <w:sz w:val="20"/>
                <w:szCs w:val="20"/>
                <w:u w:val="none"/>
                <w:lang w:val="en-US" w:eastAsia="zh-CN" w:bidi="ar"/>
              </w:rPr>
              <w:t>除尘器主体采用拼装式螺栓联接，表面金属烤漆；</w:t>
            </w:r>
          </w:p>
          <w:p w14:paraId="3F3E4E95">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kern w:val="0"/>
                <w:sz w:val="20"/>
                <w:szCs w:val="20"/>
                <w:u w:val="none"/>
                <w:lang w:val="en-US" w:eastAsia="zh-CN" w:bidi="ar"/>
              </w:rPr>
            </w:pPr>
            <w:r>
              <w:rPr>
                <w:rFonts w:hint="eastAsia" w:ascii="Times New Roman" w:hAnsi="Times New Roman" w:eastAsia="宋体" w:cs="Times New Roman"/>
                <w:i w:val="0"/>
                <w:iCs w:val="0"/>
                <w:color w:val="000000"/>
                <w:kern w:val="0"/>
                <w:sz w:val="20"/>
                <w:szCs w:val="20"/>
                <w:u w:val="none"/>
                <w:lang w:val="en-US" w:eastAsia="zh-CN" w:bidi="ar"/>
              </w:rPr>
              <w:t>除尘系统设置防滑维修爬梯、平台；</w:t>
            </w:r>
          </w:p>
          <w:p w14:paraId="0962D950">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kern w:val="0"/>
                <w:sz w:val="20"/>
                <w:szCs w:val="20"/>
                <w:u w:val="none"/>
                <w:lang w:val="en-US" w:eastAsia="zh-CN" w:bidi="ar"/>
              </w:rPr>
            </w:pPr>
            <w:r>
              <w:rPr>
                <w:rFonts w:hint="eastAsia" w:ascii="Times New Roman" w:hAnsi="Times New Roman" w:eastAsia="宋体" w:cs="Times New Roman"/>
                <w:i w:val="0"/>
                <w:iCs w:val="0"/>
                <w:color w:val="000000"/>
                <w:kern w:val="0"/>
                <w:sz w:val="20"/>
                <w:szCs w:val="20"/>
                <w:u w:val="none"/>
                <w:lang w:val="en-US" w:eastAsia="zh-CN" w:bidi="ar"/>
              </w:rPr>
              <w:t>除尘系统主管路材质镀锌管，延长使用寿命；</w:t>
            </w:r>
          </w:p>
          <w:p w14:paraId="57D52C40">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kern w:val="0"/>
                <w:sz w:val="20"/>
                <w:szCs w:val="20"/>
                <w:u w:val="none"/>
                <w:lang w:val="en-US" w:eastAsia="zh-CN" w:bidi="ar"/>
              </w:rPr>
            </w:pPr>
            <w:r>
              <w:rPr>
                <w:rFonts w:hint="eastAsia" w:ascii="Times New Roman" w:hAnsi="Times New Roman" w:eastAsia="宋体" w:cs="Times New Roman"/>
                <w:i w:val="0"/>
                <w:iCs w:val="0"/>
                <w:color w:val="000000"/>
                <w:kern w:val="0"/>
                <w:sz w:val="20"/>
                <w:szCs w:val="20"/>
                <w:u w:val="none"/>
                <w:lang w:val="en-US" w:eastAsia="zh-CN" w:bidi="ar"/>
              </w:rPr>
              <w:t>除尘系统具有清尘免停机功能；</w:t>
            </w:r>
          </w:p>
          <w:p w14:paraId="4816A56F">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kern w:val="0"/>
                <w:sz w:val="20"/>
                <w:szCs w:val="20"/>
                <w:u w:val="none"/>
                <w:lang w:val="en-US" w:eastAsia="zh-CN" w:bidi="ar"/>
              </w:rPr>
            </w:pPr>
            <w:r>
              <w:rPr>
                <w:rFonts w:hint="eastAsia" w:ascii="Times New Roman" w:hAnsi="Times New Roman" w:eastAsia="宋体" w:cs="Times New Roman"/>
                <w:i w:val="0"/>
                <w:iCs w:val="0"/>
                <w:color w:val="000000"/>
                <w:kern w:val="0"/>
                <w:sz w:val="20"/>
                <w:szCs w:val="20"/>
                <w:u w:val="none"/>
                <w:lang w:val="en-US" w:eastAsia="zh-CN" w:bidi="ar"/>
              </w:rPr>
              <w:t>除尘系统驱动电机具有自动调速功能，根据吸风口风速自动调节电机转速，低耗节能；</w:t>
            </w:r>
          </w:p>
        </w:tc>
      </w:tr>
    </w:tbl>
    <w:p w14:paraId="1A7F15E4">
      <w:pPr>
        <w:pStyle w:val="25"/>
        <w:bidi w:val="0"/>
      </w:pPr>
      <w:bookmarkStart w:id="164" w:name="_Toc12677"/>
      <w:bookmarkStart w:id="165" w:name="_Toc9930_WPSOffice_Level2"/>
      <w:bookmarkStart w:id="166" w:name="_Toc24634"/>
      <w:r>
        <w:rPr>
          <w:rFonts w:hint="eastAsia"/>
        </w:rPr>
        <w:t>喷淋除尘装置</w:t>
      </w:r>
      <w:bookmarkEnd w:id="164"/>
      <w:bookmarkEnd w:id="165"/>
      <w:bookmarkEnd w:id="166"/>
    </w:p>
    <w:tbl>
      <w:tblPr>
        <w:tblStyle w:val="11"/>
        <w:tblW w:w="4999"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259"/>
        <w:gridCol w:w="8139"/>
      </w:tblGrid>
      <w:tr w14:paraId="669E287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680" w:hRule="atLeast"/>
        </w:trPr>
        <w:tc>
          <w:tcPr>
            <w:tcW w:w="670" w:type="pct"/>
            <w:noWrap w:val="0"/>
            <w:vAlign w:val="center"/>
          </w:tcPr>
          <w:p w14:paraId="5F9ADAA9">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kern w:val="0"/>
                <w:sz w:val="20"/>
                <w:szCs w:val="20"/>
                <w:u w:val="none"/>
                <w:lang w:val="en-US" w:eastAsia="zh-CN" w:bidi="ar"/>
              </w:rPr>
            </w:pPr>
            <w:r>
              <w:rPr>
                <w:rFonts w:hint="eastAsia" w:ascii="Times New Roman" w:hAnsi="Times New Roman" w:eastAsia="宋体" w:cs="Times New Roman"/>
                <w:i w:val="0"/>
                <w:iCs w:val="0"/>
                <w:color w:val="000000"/>
                <w:kern w:val="0"/>
                <w:sz w:val="20"/>
                <w:szCs w:val="20"/>
                <w:u w:val="none"/>
                <w:lang w:val="en-US" w:eastAsia="zh-CN" w:bidi="ar"/>
              </w:rPr>
              <w:t>功能介绍</w:t>
            </w:r>
          </w:p>
        </w:tc>
        <w:tc>
          <w:tcPr>
            <w:tcW w:w="4329" w:type="pct"/>
            <w:noWrap w:val="0"/>
            <w:vAlign w:val="center"/>
          </w:tcPr>
          <w:p w14:paraId="53E30EB0">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kern w:val="0"/>
                <w:sz w:val="20"/>
                <w:szCs w:val="20"/>
                <w:u w:val="none"/>
                <w:lang w:val="en-US" w:eastAsia="zh-CN" w:bidi="ar"/>
              </w:rPr>
            </w:pPr>
            <w:r>
              <w:rPr>
                <w:rFonts w:hint="eastAsia" w:ascii="Times New Roman" w:hAnsi="Times New Roman" w:eastAsia="宋体" w:cs="Times New Roman"/>
                <w:i w:val="0"/>
                <w:iCs w:val="0"/>
                <w:color w:val="000000"/>
                <w:kern w:val="0"/>
                <w:sz w:val="20"/>
                <w:szCs w:val="20"/>
                <w:u w:val="none"/>
                <w:lang w:val="en-US" w:eastAsia="zh-CN" w:bidi="ar"/>
              </w:rPr>
              <w:t>用于出料口除尘，避免粉尘污染工作环境。</w:t>
            </w:r>
          </w:p>
        </w:tc>
      </w:tr>
      <w:tr w14:paraId="525FA00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trPr>
        <w:tc>
          <w:tcPr>
            <w:tcW w:w="670" w:type="pct"/>
            <w:noWrap w:val="0"/>
            <w:vAlign w:val="center"/>
          </w:tcPr>
          <w:p w14:paraId="6EDA9481">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kern w:val="0"/>
                <w:sz w:val="20"/>
                <w:szCs w:val="20"/>
                <w:u w:val="none"/>
                <w:lang w:val="en-US" w:eastAsia="zh-CN" w:bidi="ar"/>
              </w:rPr>
            </w:pPr>
            <w:r>
              <w:rPr>
                <w:rFonts w:hint="eastAsia" w:ascii="Times New Roman" w:hAnsi="Times New Roman" w:eastAsia="宋体" w:cs="Times New Roman"/>
                <w:i w:val="0"/>
                <w:iCs w:val="0"/>
                <w:color w:val="000000"/>
                <w:kern w:val="0"/>
                <w:sz w:val="20"/>
                <w:szCs w:val="20"/>
                <w:u w:val="none"/>
                <w:lang w:val="en-US" w:eastAsia="zh-CN" w:bidi="ar"/>
              </w:rPr>
              <w:t>工作原理</w:t>
            </w:r>
          </w:p>
        </w:tc>
        <w:tc>
          <w:tcPr>
            <w:tcW w:w="4329" w:type="pct"/>
            <w:noWrap w:val="0"/>
            <w:vAlign w:val="center"/>
          </w:tcPr>
          <w:p w14:paraId="1DBEE400">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kern w:val="0"/>
                <w:sz w:val="20"/>
                <w:szCs w:val="20"/>
                <w:u w:val="none"/>
                <w:lang w:val="en-US" w:eastAsia="zh-CN" w:bidi="ar"/>
              </w:rPr>
            </w:pPr>
            <w:r>
              <w:rPr>
                <w:rFonts w:hint="eastAsia" w:ascii="Times New Roman" w:hAnsi="Times New Roman" w:eastAsia="宋体" w:cs="Times New Roman"/>
                <w:i w:val="0"/>
                <w:iCs w:val="0"/>
                <w:color w:val="000000"/>
                <w:kern w:val="0"/>
                <w:sz w:val="20"/>
                <w:szCs w:val="20"/>
                <w:u w:val="none"/>
                <w:lang w:val="en-US" w:eastAsia="zh-CN" w:bidi="ar"/>
              </w:rPr>
              <w:t>喷淋除尘装置的原理是使用柱塞泵将水加压至额定压力，再通过高压水管传送到高压喷嘴，经雾化后的微雾喷射到整个空间，在微小的液滴表面形成极大的表面能。该表面能可以吸附出料口出来的灰尘，将灰尘凝结抱成团降落到车箱，从而达到降尘的目的。</w:t>
            </w:r>
          </w:p>
        </w:tc>
      </w:tr>
      <w:tr w14:paraId="16165F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trPr>
        <w:tc>
          <w:tcPr>
            <w:tcW w:w="670" w:type="pct"/>
            <w:noWrap w:val="0"/>
            <w:vAlign w:val="center"/>
          </w:tcPr>
          <w:p w14:paraId="39D3E98E">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kern w:val="0"/>
                <w:sz w:val="20"/>
                <w:szCs w:val="20"/>
                <w:u w:val="none"/>
                <w:lang w:val="en-US" w:eastAsia="zh-CN" w:bidi="ar"/>
              </w:rPr>
            </w:pPr>
            <w:r>
              <w:rPr>
                <w:rFonts w:hint="eastAsia" w:ascii="Times New Roman" w:hAnsi="Times New Roman" w:eastAsia="宋体" w:cs="Times New Roman"/>
                <w:i w:val="0"/>
                <w:iCs w:val="0"/>
                <w:color w:val="000000"/>
                <w:kern w:val="0"/>
                <w:sz w:val="20"/>
                <w:szCs w:val="20"/>
                <w:u w:val="none"/>
                <w:lang w:val="en-US" w:eastAsia="zh-CN" w:bidi="ar"/>
              </w:rPr>
              <w:t>性能特点</w:t>
            </w:r>
          </w:p>
        </w:tc>
        <w:tc>
          <w:tcPr>
            <w:tcW w:w="4329" w:type="pct"/>
            <w:noWrap w:val="0"/>
            <w:vAlign w:val="center"/>
          </w:tcPr>
          <w:p w14:paraId="6966FFCA">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kern w:val="0"/>
                <w:sz w:val="20"/>
                <w:szCs w:val="20"/>
                <w:u w:val="none"/>
                <w:lang w:val="en-US" w:eastAsia="zh-CN" w:bidi="ar"/>
              </w:rPr>
            </w:pPr>
            <w:r>
              <w:rPr>
                <w:rFonts w:hint="eastAsia" w:ascii="Times New Roman" w:hAnsi="Times New Roman" w:eastAsia="宋体" w:cs="Times New Roman"/>
                <w:i w:val="0"/>
                <w:iCs w:val="0"/>
                <w:color w:val="000000"/>
                <w:kern w:val="0"/>
                <w:sz w:val="20"/>
                <w:szCs w:val="20"/>
                <w:u w:val="none"/>
                <w:lang w:val="en-US" w:eastAsia="zh-CN" w:bidi="ar"/>
              </w:rPr>
              <w:t>高压喷管为高压强尼龙管，三通为不锈钢不生锈；</w:t>
            </w:r>
          </w:p>
          <w:p w14:paraId="7BB9061A">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kern w:val="0"/>
                <w:sz w:val="20"/>
                <w:szCs w:val="20"/>
                <w:u w:val="none"/>
                <w:lang w:val="en-US" w:eastAsia="zh-CN" w:bidi="ar"/>
              </w:rPr>
            </w:pPr>
            <w:r>
              <w:rPr>
                <w:rFonts w:hint="eastAsia" w:ascii="Times New Roman" w:hAnsi="Times New Roman" w:eastAsia="宋体" w:cs="Times New Roman"/>
                <w:i w:val="0"/>
                <w:iCs w:val="0"/>
                <w:color w:val="000000"/>
                <w:kern w:val="0"/>
                <w:sz w:val="20"/>
                <w:szCs w:val="20"/>
                <w:u w:val="none"/>
                <w:lang w:val="en-US" w:eastAsia="zh-CN" w:bidi="ar"/>
              </w:rPr>
              <w:t>喷嘴为不锈钢材质，自带限压阀，压力超过30Kg/cm2才喷雾；</w:t>
            </w:r>
          </w:p>
          <w:p w14:paraId="24290783">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kern w:val="0"/>
                <w:sz w:val="20"/>
                <w:szCs w:val="20"/>
                <w:u w:val="none"/>
                <w:lang w:val="en-US" w:eastAsia="zh-CN" w:bidi="ar"/>
              </w:rPr>
            </w:pPr>
            <w:r>
              <w:rPr>
                <w:rFonts w:hint="eastAsia" w:ascii="Times New Roman" w:hAnsi="Times New Roman" w:eastAsia="宋体" w:cs="Times New Roman"/>
                <w:i w:val="0"/>
                <w:iCs w:val="0"/>
                <w:color w:val="000000"/>
                <w:kern w:val="0"/>
                <w:sz w:val="20"/>
                <w:szCs w:val="20"/>
                <w:u w:val="none"/>
                <w:lang w:val="en-US" w:eastAsia="zh-CN" w:bidi="ar"/>
              </w:rPr>
              <w:t>避免停喷瞬间滴水，保证雾粒直径小于10微米。</w:t>
            </w:r>
          </w:p>
        </w:tc>
      </w:tr>
    </w:tbl>
    <w:p w14:paraId="6DF56AB1">
      <w:pPr>
        <w:pStyle w:val="25"/>
        <w:bidi w:val="0"/>
      </w:pPr>
      <w:bookmarkStart w:id="167" w:name="_Toc23403"/>
      <w:bookmarkStart w:id="168" w:name="_Toc30552"/>
      <w:bookmarkStart w:id="169" w:name="_Toc10057_WPSOffice_Level2"/>
      <w:r>
        <w:rPr>
          <w:rFonts w:hint="eastAsia"/>
        </w:rPr>
        <w:t>电控系统</w:t>
      </w:r>
      <w:bookmarkEnd w:id="167"/>
      <w:bookmarkEnd w:id="168"/>
      <w:bookmarkEnd w:id="169"/>
    </w:p>
    <w:tbl>
      <w:tblPr>
        <w:tblStyle w:val="11"/>
        <w:tblW w:w="4999"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259"/>
        <w:gridCol w:w="8139"/>
      </w:tblGrid>
      <w:tr w14:paraId="335F5C7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trPr>
        <w:tc>
          <w:tcPr>
            <w:tcW w:w="670" w:type="pct"/>
            <w:noWrap w:val="0"/>
            <w:vAlign w:val="center"/>
          </w:tcPr>
          <w:p w14:paraId="45CBCEAE">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kern w:val="0"/>
                <w:sz w:val="20"/>
                <w:szCs w:val="20"/>
                <w:u w:val="none"/>
                <w:lang w:val="en-US" w:eastAsia="zh-CN" w:bidi="ar"/>
              </w:rPr>
            </w:pPr>
            <w:r>
              <w:rPr>
                <w:rFonts w:hint="eastAsia" w:ascii="Times New Roman" w:hAnsi="Times New Roman" w:eastAsia="宋体" w:cs="Times New Roman"/>
                <w:i w:val="0"/>
                <w:iCs w:val="0"/>
                <w:color w:val="000000"/>
                <w:kern w:val="0"/>
                <w:sz w:val="20"/>
                <w:szCs w:val="20"/>
                <w:u w:val="none"/>
                <w:lang w:val="en-US" w:eastAsia="zh-CN" w:bidi="ar"/>
              </w:rPr>
              <w:t>系统介绍</w:t>
            </w:r>
          </w:p>
        </w:tc>
        <w:tc>
          <w:tcPr>
            <w:tcW w:w="4329" w:type="pct"/>
            <w:noWrap w:val="0"/>
            <w:vAlign w:val="center"/>
          </w:tcPr>
          <w:p w14:paraId="45AEF108">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kern w:val="0"/>
                <w:sz w:val="20"/>
                <w:szCs w:val="20"/>
                <w:u w:val="none"/>
                <w:lang w:val="en-US" w:eastAsia="zh-CN" w:bidi="ar"/>
              </w:rPr>
            </w:pPr>
            <w:r>
              <w:rPr>
                <w:rFonts w:hint="eastAsia" w:ascii="Times New Roman" w:hAnsi="Times New Roman" w:eastAsia="宋体" w:cs="Times New Roman"/>
                <w:i w:val="0"/>
                <w:iCs w:val="0"/>
                <w:color w:val="000000"/>
                <w:kern w:val="0"/>
                <w:sz w:val="20"/>
                <w:szCs w:val="20"/>
                <w:u w:val="none"/>
                <w:lang w:val="en-US" w:eastAsia="zh-CN" w:bidi="ar"/>
              </w:rPr>
              <w:t>大件垃圾破碎系统整线运行控制。</w:t>
            </w:r>
          </w:p>
        </w:tc>
      </w:tr>
      <w:tr w14:paraId="5C8DB53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trPr>
        <w:tc>
          <w:tcPr>
            <w:tcW w:w="670" w:type="pct"/>
            <w:noWrap w:val="0"/>
            <w:vAlign w:val="center"/>
          </w:tcPr>
          <w:p w14:paraId="3ED84DC2">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kern w:val="0"/>
                <w:sz w:val="20"/>
                <w:szCs w:val="20"/>
                <w:u w:val="none"/>
                <w:lang w:val="en-US" w:eastAsia="zh-CN" w:bidi="ar"/>
              </w:rPr>
            </w:pPr>
            <w:r>
              <w:rPr>
                <w:rFonts w:hint="eastAsia" w:ascii="Times New Roman" w:hAnsi="Times New Roman" w:eastAsia="宋体" w:cs="Times New Roman"/>
                <w:i w:val="0"/>
                <w:iCs w:val="0"/>
                <w:color w:val="000000"/>
                <w:kern w:val="0"/>
                <w:sz w:val="20"/>
                <w:szCs w:val="20"/>
                <w:u w:val="none"/>
                <w:lang w:val="en-US" w:eastAsia="zh-CN" w:bidi="ar"/>
              </w:rPr>
              <w:t>系统组成</w:t>
            </w:r>
          </w:p>
        </w:tc>
        <w:tc>
          <w:tcPr>
            <w:tcW w:w="4329" w:type="pct"/>
            <w:noWrap w:val="0"/>
            <w:vAlign w:val="center"/>
          </w:tcPr>
          <w:p w14:paraId="3A7A664E">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kern w:val="0"/>
                <w:sz w:val="20"/>
                <w:szCs w:val="20"/>
                <w:u w:val="none"/>
                <w:lang w:val="en-US" w:eastAsia="zh-CN" w:bidi="ar"/>
              </w:rPr>
            </w:pPr>
            <w:r>
              <w:rPr>
                <w:rFonts w:hint="eastAsia" w:ascii="Times New Roman" w:hAnsi="Times New Roman" w:eastAsia="宋体" w:cs="Times New Roman"/>
                <w:i w:val="0"/>
                <w:iCs w:val="0"/>
                <w:color w:val="000000"/>
                <w:kern w:val="0"/>
                <w:sz w:val="20"/>
                <w:szCs w:val="20"/>
                <w:u w:val="none"/>
                <w:lang w:val="en-US" w:eastAsia="zh-CN" w:bidi="ar"/>
              </w:rPr>
              <w:t>PLC控制器、自动空气开关、接触器、变频器、电器柜、液晶触摸屏等。</w:t>
            </w:r>
          </w:p>
        </w:tc>
      </w:tr>
      <w:tr w14:paraId="72CDC7C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trPr>
        <w:tc>
          <w:tcPr>
            <w:tcW w:w="670" w:type="pct"/>
            <w:noWrap w:val="0"/>
            <w:vAlign w:val="center"/>
          </w:tcPr>
          <w:p w14:paraId="2A923197">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kern w:val="0"/>
                <w:sz w:val="20"/>
                <w:szCs w:val="20"/>
                <w:u w:val="none"/>
                <w:lang w:val="en-US" w:eastAsia="zh-CN" w:bidi="ar"/>
              </w:rPr>
            </w:pPr>
            <w:r>
              <w:rPr>
                <w:rFonts w:hint="eastAsia" w:ascii="Times New Roman" w:hAnsi="Times New Roman" w:eastAsia="宋体" w:cs="Times New Roman"/>
                <w:i w:val="0"/>
                <w:iCs w:val="0"/>
                <w:color w:val="000000"/>
                <w:kern w:val="0"/>
                <w:sz w:val="20"/>
                <w:szCs w:val="20"/>
                <w:u w:val="none"/>
                <w:lang w:val="en-US" w:eastAsia="zh-CN" w:bidi="ar"/>
              </w:rPr>
              <w:t>性能特点</w:t>
            </w:r>
          </w:p>
        </w:tc>
        <w:tc>
          <w:tcPr>
            <w:tcW w:w="4329" w:type="pct"/>
            <w:noWrap w:val="0"/>
            <w:vAlign w:val="center"/>
          </w:tcPr>
          <w:p w14:paraId="6F50FADE">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kern w:val="0"/>
                <w:sz w:val="20"/>
                <w:szCs w:val="20"/>
                <w:u w:val="none"/>
                <w:lang w:val="en-US" w:eastAsia="zh-CN" w:bidi="ar"/>
              </w:rPr>
            </w:pPr>
            <w:r>
              <w:rPr>
                <w:rFonts w:hint="eastAsia" w:ascii="Times New Roman" w:hAnsi="Times New Roman" w:eastAsia="宋体" w:cs="Times New Roman"/>
                <w:i w:val="0"/>
                <w:iCs w:val="0"/>
                <w:color w:val="000000"/>
                <w:kern w:val="0"/>
                <w:sz w:val="20"/>
                <w:szCs w:val="20"/>
                <w:u w:val="none"/>
                <w:lang w:val="en-US" w:eastAsia="zh-CN" w:bidi="ar"/>
              </w:rPr>
              <w:t>PLC采用西门子控制器，继电器、开关接线端子、交流接触器等均采用施耐德品牌的原件。</w:t>
            </w:r>
          </w:p>
          <w:p w14:paraId="298486E5">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kern w:val="0"/>
                <w:sz w:val="20"/>
                <w:szCs w:val="20"/>
                <w:u w:val="none"/>
                <w:lang w:val="en-US" w:eastAsia="zh-CN" w:bidi="ar"/>
              </w:rPr>
            </w:pPr>
            <w:r>
              <w:rPr>
                <w:rFonts w:hint="eastAsia" w:ascii="Times New Roman" w:hAnsi="Times New Roman" w:eastAsia="宋体" w:cs="Times New Roman"/>
                <w:i w:val="0"/>
                <w:iCs w:val="0"/>
                <w:color w:val="000000"/>
                <w:kern w:val="0"/>
                <w:sz w:val="20"/>
                <w:szCs w:val="20"/>
                <w:u w:val="none"/>
                <w:lang w:val="en-US" w:eastAsia="zh-CN" w:bidi="ar"/>
              </w:rPr>
              <w:t>配置可触摸液晶屏，中文显示，可以视化操作，实现人机交互。</w:t>
            </w:r>
          </w:p>
          <w:p w14:paraId="3008D685">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kern w:val="0"/>
                <w:sz w:val="20"/>
                <w:szCs w:val="20"/>
                <w:u w:val="none"/>
                <w:lang w:val="en-US" w:eastAsia="zh-CN" w:bidi="ar"/>
              </w:rPr>
            </w:pPr>
            <w:r>
              <w:rPr>
                <w:rFonts w:hint="eastAsia" w:ascii="Times New Roman" w:hAnsi="Times New Roman" w:eastAsia="宋体" w:cs="Times New Roman"/>
                <w:i w:val="0"/>
                <w:iCs w:val="0"/>
                <w:color w:val="000000"/>
                <w:kern w:val="0"/>
                <w:sz w:val="20"/>
                <w:szCs w:val="20"/>
                <w:u w:val="none"/>
                <w:lang w:val="en-US" w:eastAsia="zh-CN" w:bidi="ar"/>
              </w:rPr>
              <w:t>接口处预留MODBUS通讯接口，可实现远端控制整套系统。</w:t>
            </w:r>
          </w:p>
          <w:p w14:paraId="44435822">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kern w:val="0"/>
                <w:sz w:val="20"/>
                <w:szCs w:val="20"/>
                <w:u w:val="none"/>
                <w:lang w:val="en-US" w:eastAsia="zh-CN" w:bidi="ar"/>
              </w:rPr>
            </w:pPr>
            <w:r>
              <w:rPr>
                <w:rFonts w:hint="eastAsia" w:ascii="Times New Roman" w:hAnsi="Times New Roman" w:eastAsia="宋体" w:cs="Times New Roman"/>
                <w:i w:val="0"/>
                <w:iCs w:val="0"/>
                <w:color w:val="000000"/>
                <w:kern w:val="0"/>
                <w:sz w:val="20"/>
                <w:szCs w:val="20"/>
                <w:u w:val="none"/>
                <w:lang w:val="en-US" w:eastAsia="zh-CN" w:bidi="ar"/>
              </w:rPr>
              <w:t>设备运行状态、电机负载电流、故障状态均可实时显示及历史查询。</w:t>
            </w:r>
          </w:p>
          <w:p w14:paraId="08CBF0B4">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kern w:val="0"/>
                <w:sz w:val="20"/>
                <w:szCs w:val="20"/>
                <w:u w:val="none"/>
                <w:lang w:val="en-US" w:eastAsia="zh-CN" w:bidi="ar"/>
              </w:rPr>
            </w:pPr>
            <w:r>
              <w:rPr>
                <w:rFonts w:hint="eastAsia" w:ascii="Times New Roman" w:hAnsi="Times New Roman" w:eastAsia="宋体" w:cs="Times New Roman"/>
                <w:i w:val="0"/>
                <w:iCs w:val="0"/>
                <w:color w:val="000000"/>
                <w:kern w:val="0"/>
                <w:sz w:val="20"/>
                <w:szCs w:val="20"/>
                <w:u w:val="none"/>
                <w:lang w:val="en-US" w:eastAsia="zh-CN" w:bidi="ar"/>
              </w:rPr>
              <w:t>遇到动物或者人员误入时，系统将自动停止，且系统配置急停按钮。</w:t>
            </w:r>
          </w:p>
        </w:tc>
      </w:tr>
    </w:tbl>
    <w:p w14:paraId="19646D11">
      <w:pPr>
        <w:pStyle w:val="25"/>
        <w:bidi w:val="0"/>
      </w:pPr>
      <w:bookmarkStart w:id="170" w:name="_Toc2828"/>
      <w:bookmarkStart w:id="171" w:name="_Toc20760"/>
      <w:bookmarkStart w:id="172" w:name="_Toc18763_WPSOffice_Level2"/>
      <w:r>
        <w:rPr>
          <w:rFonts w:hint="eastAsia"/>
        </w:rPr>
        <w:t>视频监控系统</w:t>
      </w:r>
      <w:bookmarkEnd w:id="170"/>
      <w:bookmarkEnd w:id="171"/>
      <w:bookmarkEnd w:id="172"/>
    </w:p>
    <w:tbl>
      <w:tblPr>
        <w:tblStyle w:val="11"/>
        <w:tblW w:w="4999"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259"/>
        <w:gridCol w:w="8139"/>
      </w:tblGrid>
      <w:tr w14:paraId="091D261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trPr>
        <w:tc>
          <w:tcPr>
            <w:tcW w:w="670" w:type="pct"/>
            <w:noWrap w:val="0"/>
            <w:vAlign w:val="center"/>
          </w:tcPr>
          <w:p w14:paraId="428BE0C0">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kern w:val="0"/>
                <w:sz w:val="20"/>
                <w:szCs w:val="20"/>
                <w:u w:val="none"/>
                <w:lang w:val="en-US" w:eastAsia="zh-CN" w:bidi="ar"/>
              </w:rPr>
            </w:pPr>
            <w:r>
              <w:rPr>
                <w:rFonts w:hint="eastAsia" w:ascii="Times New Roman" w:hAnsi="Times New Roman" w:eastAsia="宋体" w:cs="Times New Roman"/>
                <w:i w:val="0"/>
                <w:iCs w:val="0"/>
                <w:color w:val="000000"/>
                <w:kern w:val="0"/>
                <w:sz w:val="20"/>
                <w:szCs w:val="20"/>
                <w:u w:val="none"/>
                <w:lang w:val="en-US" w:eastAsia="zh-CN" w:bidi="ar"/>
              </w:rPr>
              <w:t>系统介绍</w:t>
            </w:r>
          </w:p>
        </w:tc>
        <w:tc>
          <w:tcPr>
            <w:tcW w:w="4329" w:type="pct"/>
            <w:noWrap w:val="0"/>
            <w:vAlign w:val="center"/>
          </w:tcPr>
          <w:p w14:paraId="79B998FB">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kern w:val="0"/>
                <w:sz w:val="20"/>
                <w:szCs w:val="20"/>
                <w:u w:val="none"/>
                <w:lang w:val="en-US" w:eastAsia="zh-CN" w:bidi="ar"/>
              </w:rPr>
            </w:pPr>
            <w:r>
              <w:rPr>
                <w:rFonts w:hint="eastAsia" w:ascii="Times New Roman" w:hAnsi="Times New Roman" w:eastAsia="宋体" w:cs="Times New Roman"/>
                <w:i w:val="0"/>
                <w:iCs w:val="0"/>
                <w:color w:val="000000"/>
                <w:kern w:val="0"/>
                <w:sz w:val="20"/>
                <w:szCs w:val="20"/>
                <w:u w:val="none"/>
                <w:lang w:val="en-US" w:eastAsia="zh-CN" w:bidi="ar"/>
              </w:rPr>
              <w:t>配套监控系统可对大件垃圾破拆处理厂内全方位布置图像采集点，将大件垃圾破拆厂内现场设备运行状况、站内物料堆放情况、车辆进出情况、管理操作状况实时进行图像数据采集并记录存储。</w:t>
            </w:r>
          </w:p>
        </w:tc>
      </w:tr>
      <w:tr w14:paraId="4EF1B66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trPr>
        <w:tc>
          <w:tcPr>
            <w:tcW w:w="670" w:type="pct"/>
            <w:noWrap w:val="0"/>
            <w:vAlign w:val="center"/>
          </w:tcPr>
          <w:p w14:paraId="4EA3E4C5">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kern w:val="0"/>
                <w:sz w:val="20"/>
                <w:szCs w:val="20"/>
                <w:u w:val="none"/>
                <w:lang w:val="en-US" w:eastAsia="zh-CN" w:bidi="ar"/>
              </w:rPr>
            </w:pPr>
            <w:r>
              <w:rPr>
                <w:rFonts w:hint="eastAsia" w:ascii="Times New Roman" w:hAnsi="Times New Roman" w:eastAsia="宋体" w:cs="Times New Roman"/>
                <w:i w:val="0"/>
                <w:iCs w:val="0"/>
                <w:color w:val="000000"/>
                <w:kern w:val="0"/>
                <w:sz w:val="20"/>
                <w:szCs w:val="20"/>
                <w:u w:val="none"/>
                <w:lang w:val="en-US" w:eastAsia="zh-CN" w:bidi="ar"/>
              </w:rPr>
              <w:t>系统组成</w:t>
            </w:r>
          </w:p>
        </w:tc>
        <w:tc>
          <w:tcPr>
            <w:tcW w:w="4329" w:type="pct"/>
            <w:noWrap w:val="0"/>
            <w:vAlign w:val="center"/>
          </w:tcPr>
          <w:p w14:paraId="1CC3DD1E">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kern w:val="0"/>
                <w:sz w:val="20"/>
                <w:szCs w:val="20"/>
                <w:u w:val="none"/>
                <w:lang w:val="en-US" w:eastAsia="zh-CN" w:bidi="ar"/>
              </w:rPr>
            </w:pPr>
            <w:r>
              <w:rPr>
                <w:rFonts w:hint="eastAsia" w:ascii="Times New Roman" w:hAnsi="Times New Roman" w:eastAsia="宋体" w:cs="Times New Roman"/>
                <w:i w:val="0"/>
                <w:iCs w:val="0"/>
                <w:color w:val="000000"/>
                <w:kern w:val="0"/>
                <w:sz w:val="20"/>
                <w:szCs w:val="20"/>
                <w:u w:val="none"/>
                <w:lang w:val="en-US" w:eastAsia="zh-CN" w:bidi="ar"/>
              </w:rPr>
              <w:t>监视器、枪机、球机、网络硬盘录像机等，既可同时观察多个地点，也可以单独观察同一个地点设备的工作画面情况，并可实时录像，回看之前的画面。</w:t>
            </w:r>
          </w:p>
        </w:tc>
      </w:tr>
      <w:tr w14:paraId="04A505B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trPr>
        <w:tc>
          <w:tcPr>
            <w:tcW w:w="670" w:type="pct"/>
            <w:noWrap w:val="0"/>
            <w:vAlign w:val="center"/>
          </w:tcPr>
          <w:p w14:paraId="393EAA01">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kern w:val="0"/>
                <w:sz w:val="20"/>
                <w:szCs w:val="20"/>
                <w:u w:val="none"/>
                <w:lang w:val="en-US" w:eastAsia="zh-CN" w:bidi="ar"/>
              </w:rPr>
            </w:pPr>
            <w:r>
              <w:rPr>
                <w:rFonts w:hint="eastAsia" w:ascii="Times New Roman" w:hAnsi="Times New Roman" w:eastAsia="宋体" w:cs="Times New Roman"/>
                <w:i w:val="0"/>
                <w:iCs w:val="0"/>
                <w:color w:val="000000"/>
                <w:kern w:val="0"/>
                <w:sz w:val="20"/>
                <w:szCs w:val="20"/>
                <w:u w:val="none"/>
                <w:lang w:val="en-US" w:eastAsia="zh-CN" w:bidi="ar"/>
              </w:rPr>
              <w:t>主要监控</w:t>
            </w:r>
          </w:p>
        </w:tc>
        <w:tc>
          <w:tcPr>
            <w:tcW w:w="4329" w:type="pct"/>
            <w:noWrap w:val="0"/>
            <w:vAlign w:val="center"/>
          </w:tcPr>
          <w:p w14:paraId="6FD84B31">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kern w:val="0"/>
                <w:sz w:val="20"/>
                <w:szCs w:val="20"/>
                <w:u w:val="none"/>
                <w:lang w:val="en-US" w:eastAsia="zh-CN" w:bidi="ar"/>
              </w:rPr>
            </w:pPr>
            <w:r>
              <w:rPr>
                <w:rFonts w:hint="eastAsia" w:ascii="Times New Roman" w:hAnsi="Times New Roman" w:eastAsia="宋体" w:cs="Times New Roman"/>
                <w:i w:val="0"/>
                <w:iCs w:val="0"/>
                <w:color w:val="000000"/>
                <w:kern w:val="0"/>
                <w:sz w:val="20"/>
                <w:szCs w:val="20"/>
                <w:u w:val="none"/>
                <w:lang w:val="en-US" w:eastAsia="zh-CN" w:bidi="ar"/>
              </w:rPr>
              <w:t>进料链板上料区域</w:t>
            </w:r>
          </w:p>
          <w:p w14:paraId="6F2FEF6D">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kern w:val="0"/>
                <w:sz w:val="20"/>
                <w:szCs w:val="20"/>
                <w:u w:val="none"/>
                <w:lang w:val="en-US" w:eastAsia="zh-CN" w:bidi="ar"/>
              </w:rPr>
            </w:pPr>
            <w:r>
              <w:rPr>
                <w:rFonts w:hint="eastAsia" w:ascii="Times New Roman" w:hAnsi="Times New Roman" w:eastAsia="宋体" w:cs="Times New Roman"/>
                <w:i w:val="0"/>
                <w:iCs w:val="0"/>
                <w:color w:val="000000"/>
                <w:kern w:val="0"/>
                <w:sz w:val="20"/>
                <w:szCs w:val="20"/>
                <w:u w:val="none"/>
                <w:lang w:val="en-US" w:eastAsia="zh-CN" w:bidi="ar"/>
              </w:rPr>
              <w:t>破碎室区域</w:t>
            </w:r>
          </w:p>
          <w:p w14:paraId="553FD538">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kern w:val="0"/>
                <w:sz w:val="20"/>
                <w:szCs w:val="20"/>
                <w:u w:val="none"/>
                <w:lang w:val="en-US" w:eastAsia="zh-CN" w:bidi="ar"/>
              </w:rPr>
            </w:pPr>
            <w:r>
              <w:rPr>
                <w:rFonts w:hint="eastAsia" w:ascii="Times New Roman" w:hAnsi="Times New Roman" w:eastAsia="宋体" w:cs="Times New Roman"/>
                <w:i w:val="0"/>
                <w:iCs w:val="0"/>
                <w:color w:val="000000"/>
                <w:kern w:val="0"/>
                <w:sz w:val="20"/>
                <w:szCs w:val="20"/>
                <w:u w:val="none"/>
                <w:lang w:val="en-US" w:eastAsia="zh-CN" w:bidi="ar"/>
              </w:rPr>
              <w:t>破碎机进料口区域</w:t>
            </w:r>
          </w:p>
          <w:p w14:paraId="4F4F7E23">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kern w:val="0"/>
                <w:sz w:val="20"/>
                <w:szCs w:val="20"/>
                <w:u w:val="none"/>
                <w:lang w:val="en-US" w:eastAsia="zh-CN" w:bidi="ar"/>
              </w:rPr>
            </w:pPr>
            <w:r>
              <w:rPr>
                <w:rFonts w:hint="eastAsia" w:ascii="Times New Roman" w:hAnsi="Times New Roman" w:eastAsia="宋体" w:cs="Times New Roman"/>
                <w:i w:val="0"/>
                <w:iCs w:val="0"/>
                <w:color w:val="000000"/>
                <w:kern w:val="0"/>
                <w:sz w:val="20"/>
                <w:szCs w:val="20"/>
                <w:u w:val="none"/>
                <w:lang w:val="en-US" w:eastAsia="zh-CN" w:bidi="ar"/>
              </w:rPr>
              <w:t>磁选机磁选区域</w:t>
            </w:r>
          </w:p>
          <w:p w14:paraId="3AED426C">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kern w:val="0"/>
                <w:sz w:val="20"/>
                <w:szCs w:val="20"/>
                <w:u w:val="none"/>
                <w:lang w:val="en-US" w:eastAsia="zh-CN" w:bidi="ar"/>
              </w:rPr>
            </w:pPr>
            <w:r>
              <w:rPr>
                <w:rFonts w:hint="eastAsia" w:ascii="Times New Roman" w:hAnsi="Times New Roman" w:eastAsia="宋体" w:cs="Times New Roman"/>
                <w:i w:val="0"/>
                <w:iCs w:val="0"/>
                <w:color w:val="000000"/>
                <w:kern w:val="0"/>
                <w:sz w:val="20"/>
                <w:szCs w:val="20"/>
                <w:u w:val="none"/>
                <w:lang w:val="en-US" w:eastAsia="zh-CN" w:bidi="ar"/>
              </w:rPr>
              <w:t>收集车出入通道</w:t>
            </w:r>
          </w:p>
        </w:tc>
      </w:tr>
    </w:tbl>
    <w:p w14:paraId="65866C61">
      <w:pPr>
        <w:pStyle w:val="22"/>
        <w:bidi w:val="0"/>
        <w:rPr>
          <w:rFonts w:hint="eastAsia"/>
          <w:b/>
          <w:bCs/>
        </w:rPr>
      </w:pPr>
      <w:bookmarkStart w:id="173" w:name="OLE_LINK8"/>
      <w:bookmarkStart w:id="174" w:name="OLE_LINK9"/>
      <w:r>
        <w:rPr>
          <w:rFonts w:hint="eastAsia"/>
          <w:b/>
          <w:bCs/>
          <w:lang w:val="en-US" w:eastAsia="zh-CN"/>
        </w:rPr>
        <w:t>六、</w:t>
      </w:r>
      <w:r>
        <w:rPr>
          <w:rFonts w:hint="eastAsia"/>
          <w:b/>
          <w:bCs/>
        </w:rPr>
        <w:t>智慧垃圾分类驿站</w:t>
      </w:r>
    </w:p>
    <w:bookmarkEnd w:id="173"/>
    <w:p w14:paraId="0ED36EA2">
      <w:pPr>
        <w:pStyle w:val="22"/>
        <w:bidi w:val="0"/>
        <w:rPr>
          <w:rFonts w:hint="eastAsia"/>
          <w:lang w:eastAsia="zh-CN"/>
        </w:rPr>
      </w:pPr>
      <w:r>
        <w:rPr>
          <w:rFonts w:hint="eastAsia"/>
        </w:rPr>
        <w:t>本项目涉及的智慧垃圾分类驿站由具有密闭防雨、防渗、灭蚊蝇、排气除臭等基本功能的小屋组成，主要含有垃圾投放区、功能区、洗手区、宣传区四部分，具有外观时尚大气，生活垃圾四分类标识清晰明显等显著特征。小屋内装有电子感应等智能设备和门锁装置。根据四分类垃圾量的大小，设置相应的垃圾投放口及分类收集桶，收集容量较大，能够满足居民投放需要。其他垃圾、厨余垃圾，采用红外感应开门，用手对准感应器，投放口门自动打开，同时伴有语音提示，垃圾投入后，门自动关闭。可回收物、有害垃圾，需手动推门投放。收集桶满，电子感应装置使投放口处于闭合状态，无法投放。收集驿站配备有LED电子显示屏，可进行垃圾分类知识和主题宣传，升知晓率</w:t>
      </w:r>
      <w:r>
        <w:rPr>
          <w:rFonts w:hint="eastAsia"/>
          <w:lang w:eastAsia="zh-CN"/>
        </w:rPr>
        <w:t>。</w:t>
      </w:r>
      <w:bookmarkEnd w:id="174"/>
    </w:p>
    <w:p w14:paraId="6795ECFA">
      <w:pPr>
        <w:pStyle w:val="22"/>
        <w:bidi w:val="0"/>
        <w:spacing w:line="240" w:lineRule="auto"/>
        <w:ind w:left="0" w:leftChars="0" w:firstLine="0" w:firstLineChars="0"/>
        <w:jc w:val="center"/>
      </w:pPr>
      <w:r>
        <w:drawing>
          <wp:inline distT="0" distB="0" distL="114300" distR="114300">
            <wp:extent cx="4072255" cy="2430780"/>
            <wp:effectExtent l="0" t="0" r="4445" b="7620"/>
            <wp:docPr id="76"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图片 53"/>
                    <pic:cNvPicPr>
                      <a:picLocks noChangeAspect="1"/>
                    </pic:cNvPicPr>
                  </pic:nvPicPr>
                  <pic:blipFill>
                    <a:blip r:embed="rId42"/>
                    <a:stretch>
                      <a:fillRect/>
                    </a:stretch>
                  </pic:blipFill>
                  <pic:spPr>
                    <a:xfrm>
                      <a:off x="0" y="0"/>
                      <a:ext cx="4072255" cy="2430780"/>
                    </a:xfrm>
                    <a:prstGeom prst="rect">
                      <a:avLst/>
                    </a:prstGeom>
                    <a:noFill/>
                    <a:ln>
                      <a:noFill/>
                    </a:ln>
                  </pic:spPr>
                </pic:pic>
              </a:graphicData>
            </a:graphic>
          </wp:inline>
        </w:drawing>
      </w:r>
    </w:p>
    <w:p w14:paraId="09C15CB6">
      <w:pPr>
        <w:pStyle w:val="24"/>
        <w:bidi w:val="0"/>
        <w:rPr>
          <w:rFonts w:hint="eastAsia"/>
        </w:rPr>
      </w:pPr>
      <w:r>
        <w:rPr>
          <w:rFonts w:hint="eastAsia"/>
        </w:rPr>
        <w:t>智慧垃圾分类驿站</w:t>
      </w:r>
    </w:p>
    <w:p w14:paraId="1F3C3848">
      <w:pPr>
        <w:pStyle w:val="22"/>
        <w:bidi w:val="0"/>
        <w:spacing w:line="240" w:lineRule="auto"/>
        <w:ind w:left="0" w:leftChars="0" w:firstLine="0" w:firstLineChars="0"/>
        <w:jc w:val="center"/>
      </w:pPr>
      <w:r>
        <w:drawing>
          <wp:inline distT="0" distB="0" distL="114300" distR="114300">
            <wp:extent cx="3491865" cy="2498090"/>
            <wp:effectExtent l="0" t="0" r="635" b="3810"/>
            <wp:docPr id="59"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图片 54"/>
                    <pic:cNvPicPr>
                      <a:picLocks noChangeAspect="1"/>
                    </pic:cNvPicPr>
                  </pic:nvPicPr>
                  <pic:blipFill>
                    <a:blip r:embed="rId43"/>
                    <a:stretch>
                      <a:fillRect/>
                    </a:stretch>
                  </pic:blipFill>
                  <pic:spPr>
                    <a:xfrm>
                      <a:off x="0" y="0"/>
                      <a:ext cx="3491865" cy="2498090"/>
                    </a:xfrm>
                    <a:prstGeom prst="rect">
                      <a:avLst/>
                    </a:prstGeom>
                    <a:noFill/>
                    <a:ln>
                      <a:noFill/>
                    </a:ln>
                  </pic:spPr>
                </pic:pic>
              </a:graphicData>
            </a:graphic>
          </wp:inline>
        </w:drawing>
      </w:r>
    </w:p>
    <w:p w14:paraId="10EF76BC">
      <w:pPr>
        <w:pStyle w:val="22"/>
        <w:bidi w:val="0"/>
        <w:spacing w:line="240" w:lineRule="auto"/>
        <w:ind w:left="0" w:leftChars="0" w:firstLine="0" w:firstLineChars="0"/>
        <w:jc w:val="center"/>
      </w:pPr>
      <w:r>
        <w:drawing>
          <wp:inline distT="0" distB="0" distL="114300" distR="114300">
            <wp:extent cx="3479165" cy="2701290"/>
            <wp:effectExtent l="0" t="0" r="635" b="3810"/>
            <wp:docPr id="65"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图片 55"/>
                    <pic:cNvPicPr>
                      <a:picLocks noChangeAspect="1"/>
                    </pic:cNvPicPr>
                  </pic:nvPicPr>
                  <pic:blipFill>
                    <a:blip r:embed="rId44"/>
                    <a:stretch>
                      <a:fillRect/>
                    </a:stretch>
                  </pic:blipFill>
                  <pic:spPr>
                    <a:xfrm>
                      <a:off x="0" y="0"/>
                      <a:ext cx="3479165" cy="2701290"/>
                    </a:xfrm>
                    <a:prstGeom prst="rect">
                      <a:avLst/>
                    </a:prstGeom>
                    <a:noFill/>
                    <a:ln>
                      <a:noFill/>
                    </a:ln>
                  </pic:spPr>
                </pic:pic>
              </a:graphicData>
            </a:graphic>
          </wp:inline>
        </w:drawing>
      </w:r>
    </w:p>
    <w:p w14:paraId="3558240E">
      <w:pPr>
        <w:pStyle w:val="24"/>
        <w:bidi w:val="0"/>
        <w:rPr>
          <w:rFonts w:hint="eastAsia"/>
          <w:lang w:val="en-US" w:eastAsia="zh-CN"/>
        </w:rPr>
      </w:pPr>
      <w:bookmarkStart w:id="175" w:name="OLE_LINK11"/>
      <w:r>
        <w:rPr>
          <w:rFonts w:hint="eastAsia"/>
        </w:rPr>
        <w:t>智慧垃圾分类驿站</w:t>
      </w:r>
      <w:r>
        <w:rPr>
          <w:rFonts w:hint="eastAsia"/>
          <w:lang w:val="en-US" w:eastAsia="zh-CN"/>
        </w:rPr>
        <w:t>点位</w:t>
      </w:r>
      <w:bookmarkEnd w:id="175"/>
      <w:r>
        <w:rPr>
          <w:rFonts w:hint="eastAsia"/>
          <w:lang w:val="en-US" w:eastAsia="zh-CN"/>
        </w:rPr>
        <w:t>布置</w:t>
      </w:r>
    </w:p>
    <w:p w14:paraId="495A2985">
      <w:pPr>
        <w:pStyle w:val="22"/>
        <w:bidi w:val="0"/>
        <w:rPr>
          <w:rFonts w:hint="default"/>
          <w:lang w:val="en-US" w:eastAsia="zh-CN"/>
        </w:rPr>
      </w:pPr>
      <w:bookmarkStart w:id="176" w:name="OLE_LINK12"/>
      <w:bookmarkStart w:id="177" w:name="OLE_LINK14"/>
      <w:r>
        <w:rPr>
          <w:rFonts w:hint="eastAsia"/>
          <w:lang w:val="en-US" w:eastAsia="zh-CN"/>
        </w:rPr>
        <w:t>七、公厕臭味传感器</w:t>
      </w:r>
      <w:bookmarkEnd w:id="176"/>
    </w:p>
    <w:p w14:paraId="3E4A1817">
      <w:pPr>
        <w:pStyle w:val="22"/>
        <w:bidi w:val="0"/>
        <w:rPr>
          <w:rFonts w:hint="eastAsia"/>
          <w:lang w:eastAsia="zh-CN"/>
        </w:rPr>
      </w:pPr>
      <w:r>
        <w:rPr>
          <w:rFonts w:hint="eastAsia"/>
        </w:rPr>
        <w:t>本项目涉及的公厕臭味传感器，产品主要用于当传感器所处环境中存在污染气体，如氨气、硫化物、苯系蒸汽、对烟雾和其它有害气体的监测，传感器可检测多种有害气体</w:t>
      </w:r>
      <w:r>
        <w:rPr>
          <w:rFonts w:hint="eastAsia"/>
          <w:lang w:eastAsia="zh-CN"/>
        </w:rPr>
        <w:t>。</w:t>
      </w:r>
    </w:p>
    <w:bookmarkEnd w:id="177"/>
    <w:p w14:paraId="0DD7E17A">
      <w:pPr>
        <w:pStyle w:val="22"/>
        <w:bidi w:val="0"/>
        <w:spacing w:line="240" w:lineRule="auto"/>
        <w:ind w:left="0" w:leftChars="0" w:firstLine="0" w:firstLineChars="0"/>
        <w:jc w:val="center"/>
        <w:rPr>
          <w:rFonts w:hint="eastAsia"/>
        </w:rPr>
      </w:pPr>
      <w:r>
        <w:drawing>
          <wp:inline distT="0" distB="0" distL="114300" distR="114300">
            <wp:extent cx="4240530" cy="3270885"/>
            <wp:effectExtent l="0" t="0" r="1270" b="5715"/>
            <wp:docPr id="79"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图片 56"/>
                    <pic:cNvPicPr>
                      <a:picLocks noChangeAspect="1"/>
                    </pic:cNvPicPr>
                  </pic:nvPicPr>
                  <pic:blipFill>
                    <a:blip r:embed="rId45"/>
                    <a:stretch>
                      <a:fillRect/>
                    </a:stretch>
                  </pic:blipFill>
                  <pic:spPr>
                    <a:xfrm>
                      <a:off x="0" y="0"/>
                      <a:ext cx="4240530" cy="3270885"/>
                    </a:xfrm>
                    <a:prstGeom prst="rect">
                      <a:avLst/>
                    </a:prstGeom>
                    <a:noFill/>
                    <a:ln>
                      <a:noFill/>
                    </a:ln>
                  </pic:spPr>
                </pic:pic>
              </a:graphicData>
            </a:graphic>
          </wp:inline>
        </w:drawing>
      </w:r>
    </w:p>
    <w:p w14:paraId="08AF4974">
      <w:pPr>
        <w:pStyle w:val="24"/>
        <w:bidi w:val="0"/>
        <w:rPr>
          <w:rFonts w:hint="eastAsia"/>
          <w:lang w:val="en-US" w:eastAsia="zh-CN"/>
        </w:rPr>
      </w:pPr>
      <w:r>
        <w:rPr>
          <w:rFonts w:hint="eastAsia"/>
        </w:rPr>
        <w:t>公厕臭味传感器</w:t>
      </w:r>
      <w:r>
        <w:rPr>
          <w:rFonts w:hint="eastAsia"/>
          <w:lang w:val="en-US" w:eastAsia="zh-CN"/>
        </w:rPr>
        <w:t>点位布置图</w:t>
      </w:r>
    </w:p>
    <w:p w14:paraId="1212E069">
      <w:pPr>
        <w:pStyle w:val="22"/>
        <w:bidi w:val="0"/>
        <w:rPr>
          <w:rFonts w:hint="default"/>
          <w:lang w:val="en-US" w:eastAsia="zh-CN"/>
        </w:rPr>
      </w:pPr>
      <w:bookmarkStart w:id="178" w:name="OLE_LINK15"/>
      <w:r>
        <w:rPr>
          <w:rFonts w:hint="eastAsia"/>
          <w:lang w:val="en-US" w:eastAsia="zh-CN"/>
        </w:rPr>
        <w:t>八、监控点位</w:t>
      </w:r>
      <w:bookmarkEnd w:id="178"/>
    </w:p>
    <w:p w14:paraId="4F96976B">
      <w:pPr>
        <w:pStyle w:val="22"/>
        <w:bidi w:val="0"/>
        <w:rPr>
          <w:rFonts w:hint="eastAsia"/>
          <w:lang w:eastAsia="zh-CN"/>
        </w:rPr>
      </w:pPr>
      <w:r>
        <w:rPr>
          <w:rFonts w:hint="eastAsia"/>
        </w:rPr>
        <w:t>本项目涉及的监控点位，监控系统是安防系统中应用最多的系统之一，现在市面上较为适合的工地监控系统是手持式视频通信设备，视频监控现在是主流</w:t>
      </w:r>
      <w:r>
        <w:rPr>
          <w:rFonts w:hint="eastAsia"/>
          <w:lang w:eastAsia="zh-CN"/>
        </w:rPr>
        <w:t>。</w:t>
      </w:r>
    </w:p>
    <w:p w14:paraId="47939E81">
      <w:pPr>
        <w:pStyle w:val="22"/>
        <w:bidi w:val="0"/>
        <w:ind w:left="0" w:leftChars="0" w:firstLine="0" w:firstLineChars="0"/>
        <w:jc w:val="center"/>
        <w:rPr>
          <w:rFonts w:hint="eastAsia"/>
          <w:lang w:eastAsia="zh-CN"/>
        </w:rPr>
      </w:pPr>
      <w:r>
        <w:drawing>
          <wp:inline distT="0" distB="0" distL="114300" distR="114300">
            <wp:extent cx="4229100" cy="2485390"/>
            <wp:effectExtent l="0" t="0" r="0" b="3810"/>
            <wp:docPr id="80"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图片 57"/>
                    <pic:cNvPicPr>
                      <a:picLocks noChangeAspect="1"/>
                    </pic:cNvPicPr>
                  </pic:nvPicPr>
                  <pic:blipFill>
                    <a:blip r:embed="rId46"/>
                    <a:stretch>
                      <a:fillRect/>
                    </a:stretch>
                  </pic:blipFill>
                  <pic:spPr>
                    <a:xfrm>
                      <a:off x="0" y="0"/>
                      <a:ext cx="4229100" cy="2485390"/>
                    </a:xfrm>
                    <a:prstGeom prst="rect">
                      <a:avLst/>
                    </a:prstGeom>
                    <a:noFill/>
                    <a:ln>
                      <a:noFill/>
                    </a:ln>
                  </pic:spPr>
                </pic:pic>
              </a:graphicData>
            </a:graphic>
          </wp:inline>
        </w:drawing>
      </w:r>
    </w:p>
    <w:p w14:paraId="4BC501E3">
      <w:pPr>
        <w:pStyle w:val="22"/>
        <w:bidi w:val="0"/>
        <w:spacing w:line="240" w:lineRule="auto"/>
        <w:ind w:left="0" w:leftChars="0" w:firstLine="0" w:firstLineChars="0"/>
        <w:jc w:val="center"/>
      </w:pPr>
      <w:r>
        <w:drawing>
          <wp:inline distT="0" distB="0" distL="114300" distR="114300">
            <wp:extent cx="3679825" cy="2852420"/>
            <wp:effectExtent l="0" t="0" r="3175" b="5080"/>
            <wp:docPr id="78"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图片 58"/>
                    <pic:cNvPicPr>
                      <a:picLocks noChangeAspect="1"/>
                    </pic:cNvPicPr>
                  </pic:nvPicPr>
                  <pic:blipFill>
                    <a:blip r:embed="rId47"/>
                    <a:stretch>
                      <a:fillRect/>
                    </a:stretch>
                  </pic:blipFill>
                  <pic:spPr>
                    <a:xfrm>
                      <a:off x="0" y="0"/>
                      <a:ext cx="3679825" cy="2852420"/>
                    </a:xfrm>
                    <a:prstGeom prst="rect">
                      <a:avLst/>
                    </a:prstGeom>
                    <a:noFill/>
                    <a:ln>
                      <a:noFill/>
                    </a:ln>
                  </pic:spPr>
                </pic:pic>
              </a:graphicData>
            </a:graphic>
          </wp:inline>
        </w:drawing>
      </w:r>
    </w:p>
    <w:p w14:paraId="2139B87D">
      <w:pPr>
        <w:pStyle w:val="22"/>
        <w:bidi w:val="0"/>
        <w:spacing w:line="240" w:lineRule="auto"/>
        <w:ind w:left="0" w:leftChars="0" w:firstLine="0" w:firstLineChars="0"/>
        <w:jc w:val="center"/>
      </w:pPr>
      <w:r>
        <w:drawing>
          <wp:inline distT="0" distB="0" distL="114300" distR="114300">
            <wp:extent cx="3684270" cy="2808605"/>
            <wp:effectExtent l="0" t="0" r="11430" b="10795"/>
            <wp:docPr id="52"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59"/>
                    <pic:cNvPicPr>
                      <a:picLocks noChangeAspect="1"/>
                    </pic:cNvPicPr>
                  </pic:nvPicPr>
                  <pic:blipFill>
                    <a:blip r:embed="rId48"/>
                    <a:stretch>
                      <a:fillRect/>
                    </a:stretch>
                  </pic:blipFill>
                  <pic:spPr>
                    <a:xfrm>
                      <a:off x="0" y="0"/>
                      <a:ext cx="3684270" cy="2808605"/>
                    </a:xfrm>
                    <a:prstGeom prst="rect">
                      <a:avLst/>
                    </a:prstGeom>
                    <a:noFill/>
                    <a:ln>
                      <a:noFill/>
                    </a:ln>
                  </pic:spPr>
                </pic:pic>
              </a:graphicData>
            </a:graphic>
          </wp:inline>
        </w:drawing>
      </w:r>
    </w:p>
    <w:p w14:paraId="750B4D3C">
      <w:pPr>
        <w:pStyle w:val="22"/>
        <w:bidi w:val="0"/>
        <w:ind w:left="0" w:leftChars="0" w:firstLine="0" w:firstLineChars="0"/>
        <w:jc w:val="center"/>
      </w:pPr>
      <w:r>
        <w:drawing>
          <wp:inline distT="0" distB="0" distL="114300" distR="114300">
            <wp:extent cx="3636645" cy="2854325"/>
            <wp:effectExtent l="0" t="0" r="8255" b="3175"/>
            <wp:docPr id="51" name="图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60"/>
                    <pic:cNvPicPr>
                      <a:picLocks noChangeAspect="1"/>
                    </pic:cNvPicPr>
                  </pic:nvPicPr>
                  <pic:blipFill>
                    <a:blip r:embed="rId49"/>
                    <a:stretch>
                      <a:fillRect/>
                    </a:stretch>
                  </pic:blipFill>
                  <pic:spPr>
                    <a:xfrm>
                      <a:off x="0" y="0"/>
                      <a:ext cx="3636645" cy="2854325"/>
                    </a:xfrm>
                    <a:prstGeom prst="rect">
                      <a:avLst/>
                    </a:prstGeom>
                    <a:noFill/>
                    <a:ln>
                      <a:noFill/>
                    </a:ln>
                  </pic:spPr>
                </pic:pic>
              </a:graphicData>
            </a:graphic>
          </wp:inline>
        </w:drawing>
      </w:r>
    </w:p>
    <w:p w14:paraId="4BEEC6E9">
      <w:pPr>
        <w:pStyle w:val="22"/>
        <w:bidi w:val="0"/>
        <w:ind w:left="0" w:leftChars="0" w:firstLine="0" w:firstLineChars="0"/>
        <w:jc w:val="center"/>
      </w:pPr>
      <w:r>
        <w:drawing>
          <wp:inline distT="0" distB="0" distL="114300" distR="114300">
            <wp:extent cx="5031105" cy="3139440"/>
            <wp:effectExtent l="0" t="0" r="10795" b="10160"/>
            <wp:docPr id="53"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61"/>
                    <pic:cNvPicPr>
                      <a:picLocks noChangeAspect="1"/>
                    </pic:cNvPicPr>
                  </pic:nvPicPr>
                  <pic:blipFill>
                    <a:blip r:embed="rId50"/>
                    <a:stretch>
                      <a:fillRect/>
                    </a:stretch>
                  </pic:blipFill>
                  <pic:spPr>
                    <a:xfrm>
                      <a:off x="0" y="0"/>
                      <a:ext cx="5031105" cy="3139440"/>
                    </a:xfrm>
                    <a:prstGeom prst="rect">
                      <a:avLst/>
                    </a:prstGeom>
                    <a:noFill/>
                    <a:ln>
                      <a:noFill/>
                    </a:ln>
                  </pic:spPr>
                </pic:pic>
              </a:graphicData>
            </a:graphic>
          </wp:inline>
        </w:drawing>
      </w:r>
    </w:p>
    <w:p w14:paraId="425DCA20">
      <w:pPr>
        <w:pStyle w:val="22"/>
        <w:bidi w:val="0"/>
        <w:rPr>
          <w:rFonts w:hint="default" w:cs="Times New Roman"/>
          <w:b/>
          <w:bCs/>
          <w:lang w:val="en-US" w:eastAsia="zh-CN"/>
        </w:rPr>
      </w:pPr>
      <w:bookmarkStart w:id="179" w:name="_Toc3039"/>
      <w:bookmarkStart w:id="180" w:name="_Toc32202"/>
      <w:r>
        <w:rPr>
          <w:rFonts w:hint="eastAsia" w:cs="Times New Roman"/>
          <w:b/>
          <w:bCs/>
          <w:lang w:val="en-US" w:eastAsia="zh-CN"/>
        </w:rPr>
        <w:t>1.2设备方案</w:t>
      </w:r>
      <w:bookmarkEnd w:id="179"/>
      <w:bookmarkEnd w:id="180"/>
    </w:p>
    <w:p w14:paraId="5787ABDE">
      <w:pPr>
        <w:pStyle w:val="22"/>
        <w:bidi w:val="0"/>
        <w:rPr>
          <w:rFonts w:hint="default" w:cs="Times New Roman"/>
          <w:b/>
          <w:bCs/>
          <w:lang w:val="en-US" w:eastAsia="zh-CN"/>
        </w:rPr>
      </w:pPr>
      <w:bookmarkStart w:id="181" w:name="_Toc15802"/>
      <w:r>
        <w:rPr>
          <w:rFonts w:hint="eastAsia" w:cs="Times New Roman"/>
          <w:b/>
          <w:bCs/>
          <w:lang w:val="en-US" w:eastAsia="zh-CN"/>
        </w:rPr>
        <w:t>1.2.1设备选型原则</w:t>
      </w:r>
      <w:bookmarkEnd w:id="181"/>
    </w:p>
    <w:p w14:paraId="2B40DBD8">
      <w:pPr>
        <w:pStyle w:val="22"/>
        <w:bidi w:val="0"/>
        <w:rPr>
          <w:rFonts w:hint="eastAsia"/>
        </w:rPr>
      </w:pPr>
      <w:r>
        <w:rPr>
          <w:rFonts w:hint="eastAsia"/>
        </w:rPr>
        <w:t>满足项目业务需求、经营规模以及服务产品的技术要求。</w:t>
      </w:r>
    </w:p>
    <w:p w14:paraId="70F6C083">
      <w:pPr>
        <w:pStyle w:val="22"/>
        <w:bidi w:val="0"/>
        <w:rPr>
          <w:rFonts w:hint="eastAsia"/>
        </w:rPr>
      </w:pPr>
      <w:r>
        <w:rPr>
          <w:rFonts w:hint="eastAsia"/>
        </w:rPr>
        <w:t>设备技术先进可靠，配置成套，性能匹配，有利于提高生产率，满足用户需求，降低劳动强度。</w:t>
      </w:r>
    </w:p>
    <w:p w14:paraId="0D6D9348">
      <w:pPr>
        <w:pStyle w:val="22"/>
        <w:bidi w:val="0"/>
        <w:rPr>
          <w:rFonts w:hint="eastAsia"/>
        </w:rPr>
      </w:pPr>
      <w:r>
        <w:rPr>
          <w:rFonts w:hint="eastAsia"/>
        </w:rPr>
        <w:t>根据生产工艺要求，分析主、客观条件，合理选择，务求实效。</w:t>
      </w:r>
    </w:p>
    <w:p w14:paraId="4D887D80">
      <w:pPr>
        <w:pStyle w:val="22"/>
        <w:bidi w:val="0"/>
        <w:rPr>
          <w:rFonts w:hint="eastAsia"/>
        </w:rPr>
      </w:pPr>
      <w:r>
        <w:rPr>
          <w:rFonts w:hint="eastAsia"/>
        </w:rPr>
        <w:t>具有可兼容性，适应同类产品的多品种生产的需要，以增强市场应变能力。</w:t>
      </w:r>
    </w:p>
    <w:p w14:paraId="3156D673">
      <w:pPr>
        <w:pStyle w:val="22"/>
        <w:bidi w:val="0"/>
        <w:rPr>
          <w:rFonts w:hint="eastAsia"/>
        </w:rPr>
      </w:pPr>
      <w:r>
        <w:rPr>
          <w:rFonts w:hint="eastAsia"/>
        </w:rPr>
        <w:t>节能降耗，符合环境保护规定和循环经济的要求。设备性价比好，售后服务规范。</w:t>
      </w:r>
    </w:p>
    <w:p w14:paraId="2BCCF8F0">
      <w:pPr>
        <w:pStyle w:val="22"/>
        <w:bidi w:val="0"/>
        <w:rPr>
          <w:rFonts w:hint="eastAsia"/>
        </w:rPr>
      </w:pPr>
      <w:r>
        <w:rPr>
          <w:rFonts w:hint="eastAsia"/>
        </w:rPr>
        <w:t>主设备使用寿命8-10年，维护费用低。</w:t>
      </w:r>
    </w:p>
    <w:p w14:paraId="1AA3DB20">
      <w:pPr>
        <w:pStyle w:val="22"/>
        <w:bidi w:val="0"/>
        <w:rPr>
          <w:rFonts w:hint="eastAsia"/>
        </w:rPr>
      </w:pPr>
      <w:r>
        <w:rPr>
          <w:rFonts w:hint="eastAsia"/>
        </w:rPr>
        <w:t>设备运行过程分半自动控制与全自动控制。设备供应方应积极协助采购方完成项目的建筑设计、工艺设计等工作。</w:t>
      </w:r>
    </w:p>
    <w:p w14:paraId="321AEA69">
      <w:pPr>
        <w:pStyle w:val="22"/>
        <w:bidi w:val="0"/>
        <w:rPr>
          <w:rFonts w:hint="eastAsia" w:cs="Times New Roman"/>
          <w:b/>
          <w:bCs/>
          <w:lang w:val="en-US" w:eastAsia="zh-CN"/>
        </w:rPr>
      </w:pPr>
      <w:bookmarkStart w:id="182" w:name="_Toc30963"/>
      <w:r>
        <w:rPr>
          <w:rFonts w:hint="eastAsia" w:cs="Times New Roman"/>
          <w:b/>
          <w:bCs/>
          <w:lang w:val="en-US" w:eastAsia="zh-CN"/>
        </w:rPr>
        <w:t>1.2.2设备方案</w:t>
      </w:r>
      <w:bookmarkEnd w:id="182"/>
    </w:p>
    <w:p w14:paraId="038B13AD">
      <w:pPr>
        <w:pStyle w:val="25"/>
        <w:bidi w:val="0"/>
        <w:rPr>
          <w:rFonts w:hint="default"/>
          <w:lang w:val="en-US" w:eastAsia="zh-CN"/>
        </w:rPr>
      </w:pPr>
      <w:r>
        <w:rPr>
          <w:rFonts w:hint="eastAsia"/>
          <w:lang w:val="en-US" w:eastAsia="zh-CN"/>
        </w:rPr>
        <w:t>项目主要设备方案</w:t>
      </w:r>
    </w:p>
    <w:tbl>
      <w:tblPr>
        <w:tblStyle w:val="11"/>
        <w:tblW w:w="5000" w:type="pct"/>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606"/>
        <w:gridCol w:w="2042"/>
        <w:gridCol w:w="1112"/>
        <w:gridCol w:w="715"/>
        <w:gridCol w:w="1641"/>
        <w:gridCol w:w="3284"/>
      </w:tblGrid>
      <w:tr w14:paraId="1EC1A01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4" w:hRule="atLeast"/>
        </w:trPr>
        <w:tc>
          <w:tcPr>
            <w:tcW w:w="322" w:type="pct"/>
            <w:tcBorders>
              <w:top w:val="single" w:color="000000" w:sz="4" w:space="0"/>
              <w:left w:val="single" w:color="000000" w:sz="4" w:space="0"/>
              <w:bottom w:val="single" w:color="000000" w:sz="4" w:space="0"/>
              <w:right w:val="single" w:color="000000" w:sz="4" w:space="0"/>
            </w:tcBorders>
            <w:shd w:val="clear" w:color="auto" w:fill="A6A6A6"/>
            <w:noWrap/>
            <w:vAlign w:val="center"/>
          </w:tcPr>
          <w:p w14:paraId="2B3A55E5">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b/>
                <w:bCs/>
                <w:i w:val="0"/>
                <w:iCs w:val="0"/>
                <w:color w:val="000000"/>
                <w:sz w:val="20"/>
                <w:szCs w:val="20"/>
                <w:u w:val="none"/>
              </w:rPr>
            </w:pPr>
            <w:r>
              <w:rPr>
                <w:rFonts w:hint="eastAsia" w:ascii="宋体" w:hAnsi="宋体" w:eastAsia="宋体" w:cs="宋体"/>
                <w:b/>
                <w:bCs/>
                <w:i w:val="0"/>
                <w:iCs w:val="0"/>
                <w:color w:val="000000"/>
                <w:kern w:val="0"/>
                <w:sz w:val="20"/>
                <w:szCs w:val="20"/>
                <w:u w:val="none"/>
                <w:lang w:val="en-US" w:eastAsia="zh-CN" w:bidi="ar"/>
              </w:rPr>
              <w:t>序号</w:t>
            </w:r>
          </w:p>
        </w:tc>
        <w:tc>
          <w:tcPr>
            <w:tcW w:w="1086" w:type="pct"/>
            <w:tcBorders>
              <w:top w:val="single" w:color="000000" w:sz="4" w:space="0"/>
              <w:left w:val="single" w:color="000000" w:sz="4" w:space="0"/>
              <w:bottom w:val="single" w:color="000000" w:sz="4" w:space="0"/>
              <w:right w:val="single" w:color="000000" w:sz="4" w:space="0"/>
            </w:tcBorders>
            <w:shd w:val="clear" w:color="auto" w:fill="A6A6A6"/>
            <w:noWrap/>
            <w:vAlign w:val="center"/>
          </w:tcPr>
          <w:p w14:paraId="0E225DD8">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b/>
                <w:bCs/>
                <w:i w:val="0"/>
                <w:iCs w:val="0"/>
                <w:color w:val="000000"/>
                <w:sz w:val="20"/>
                <w:szCs w:val="20"/>
                <w:u w:val="none"/>
              </w:rPr>
            </w:pPr>
            <w:r>
              <w:rPr>
                <w:rFonts w:hint="eastAsia" w:ascii="宋体" w:hAnsi="宋体" w:eastAsia="宋体" w:cs="宋体"/>
                <w:b/>
                <w:bCs/>
                <w:i w:val="0"/>
                <w:iCs w:val="0"/>
                <w:color w:val="000000"/>
                <w:kern w:val="0"/>
                <w:sz w:val="20"/>
                <w:szCs w:val="20"/>
                <w:u w:val="none"/>
                <w:lang w:val="en-US" w:eastAsia="zh-CN" w:bidi="ar"/>
              </w:rPr>
              <w:t>项目名称</w:t>
            </w:r>
          </w:p>
        </w:tc>
        <w:tc>
          <w:tcPr>
            <w:tcW w:w="591" w:type="pct"/>
            <w:tcBorders>
              <w:top w:val="single" w:color="000000" w:sz="4" w:space="0"/>
              <w:left w:val="single" w:color="000000" w:sz="4" w:space="0"/>
              <w:bottom w:val="single" w:color="000000" w:sz="4" w:space="0"/>
              <w:right w:val="single" w:color="000000" w:sz="4" w:space="0"/>
            </w:tcBorders>
            <w:shd w:val="clear" w:color="auto" w:fill="A6A6A6"/>
            <w:noWrap/>
            <w:vAlign w:val="center"/>
          </w:tcPr>
          <w:p w14:paraId="3912FDCC">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b/>
                <w:bCs/>
                <w:i w:val="0"/>
                <w:iCs w:val="0"/>
                <w:color w:val="000000"/>
                <w:sz w:val="20"/>
                <w:szCs w:val="20"/>
                <w:u w:val="none"/>
              </w:rPr>
            </w:pPr>
            <w:r>
              <w:rPr>
                <w:rFonts w:hint="eastAsia" w:ascii="宋体" w:hAnsi="宋体" w:eastAsia="宋体" w:cs="宋体"/>
                <w:b/>
                <w:bCs/>
                <w:i w:val="0"/>
                <w:iCs w:val="0"/>
                <w:color w:val="000000"/>
                <w:kern w:val="0"/>
                <w:sz w:val="20"/>
                <w:szCs w:val="20"/>
                <w:u w:val="none"/>
                <w:lang w:val="en-US" w:eastAsia="zh-CN" w:bidi="ar"/>
              </w:rPr>
              <w:t>单位</w:t>
            </w:r>
          </w:p>
        </w:tc>
        <w:tc>
          <w:tcPr>
            <w:tcW w:w="380" w:type="pct"/>
            <w:tcBorders>
              <w:top w:val="single" w:color="000000" w:sz="4" w:space="0"/>
              <w:left w:val="single" w:color="000000" w:sz="4" w:space="0"/>
              <w:bottom w:val="single" w:color="000000" w:sz="4" w:space="0"/>
              <w:right w:val="single" w:color="000000" w:sz="4" w:space="0"/>
            </w:tcBorders>
            <w:shd w:val="clear" w:color="auto" w:fill="A6A6A6"/>
            <w:noWrap/>
            <w:vAlign w:val="center"/>
          </w:tcPr>
          <w:p w14:paraId="1CC1843D">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b/>
                <w:bCs/>
                <w:i w:val="0"/>
                <w:iCs w:val="0"/>
                <w:color w:val="000000"/>
                <w:sz w:val="20"/>
                <w:szCs w:val="20"/>
                <w:u w:val="none"/>
              </w:rPr>
            </w:pPr>
            <w:r>
              <w:rPr>
                <w:rFonts w:hint="eastAsia" w:ascii="宋体" w:hAnsi="宋体" w:eastAsia="宋体" w:cs="宋体"/>
                <w:b/>
                <w:bCs/>
                <w:i w:val="0"/>
                <w:iCs w:val="0"/>
                <w:color w:val="000000"/>
                <w:kern w:val="0"/>
                <w:sz w:val="20"/>
                <w:szCs w:val="20"/>
                <w:u w:val="none"/>
                <w:lang w:val="en-US" w:eastAsia="zh-CN" w:bidi="ar"/>
              </w:rPr>
              <w:t>数量</w:t>
            </w:r>
          </w:p>
        </w:tc>
        <w:tc>
          <w:tcPr>
            <w:tcW w:w="872" w:type="pct"/>
            <w:tcBorders>
              <w:top w:val="single" w:color="000000" w:sz="4" w:space="0"/>
              <w:left w:val="single" w:color="000000" w:sz="4" w:space="0"/>
              <w:bottom w:val="single" w:color="000000" w:sz="4" w:space="0"/>
              <w:right w:val="single" w:color="000000" w:sz="4" w:space="0"/>
            </w:tcBorders>
            <w:shd w:val="clear" w:color="auto" w:fill="A6A6A6"/>
            <w:noWrap/>
            <w:vAlign w:val="center"/>
          </w:tcPr>
          <w:p w14:paraId="3FAF34A4">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b/>
                <w:bCs/>
                <w:i w:val="0"/>
                <w:iCs w:val="0"/>
                <w:color w:val="000000"/>
                <w:sz w:val="20"/>
                <w:szCs w:val="20"/>
                <w:u w:val="none"/>
              </w:rPr>
            </w:pPr>
            <w:r>
              <w:rPr>
                <w:rFonts w:hint="eastAsia" w:ascii="宋体" w:hAnsi="宋体" w:eastAsia="宋体" w:cs="宋体"/>
                <w:b/>
                <w:bCs/>
                <w:i w:val="0"/>
                <w:iCs w:val="0"/>
                <w:color w:val="000000"/>
                <w:kern w:val="0"/>
                <w:sz w:val="20"/>
                <w:szCs w:val="20"/>
                <w:u w:val="none"/>
                <w:lang w:val="en-US" w:eastAsia="zh-CN" w:bidi="ar"/>
              </w:rPr>
              <w:t>金额（万元）</w:t>
            </w:r>
          </w:p>
        </w:tc>
        <w:tc>
          <w:tcPr>
            <w:tcW w:w="1746" w:type="pct"/>
            <w:tcBorders>
              <w:top w:val="single" w:color="000000" w:sz="4" w:space="0"/>
              <w:left w:val="single" w:color="000000" w:sz="4" w:space="0"/>
              <w:bottom w:val="single" w:color="000000" w:sz="4" w:space="0"/>
              <w:right w:val="single" w:color="000000" w:sz="4" w:space="0"/>
            </w:tcBorders>
            <w:shd w:val="clear" w:color="auto" w:fill="A6A6A6"/>
            <w:noWrap/>
            <w:vAlign w:val="center"/>
          </w:tcPr>
          <w:p w14:paraId="5377D74D">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b/>
                <w:bCs/>
                <w:i w:val="0"/>
                <w:iCs w:val="0"/>
                <w:color w:val="000000"/>
                <w:sz w:val="20"/>
                <w:szCs w:val="20"/>
                <w:u w:val="none"/>
              </w:rPr>
            </w:pPr>
            <w:r>
              <w:rPr>
                <w:rFonts w:hint="eastAsia" w:ascii="宋体" w:hAnsi="宋体" w:eastAsia="宋体" w:cs="宋体"/>
                <w:b/>
                <w:bCs/>
                <w:i w:val="0"/>
                <w:iCs w:val="0"/>
                <w:color w:val="000000"/>
                <w:kern w:val="0"/>
                <w:sz w:val="20"/>
                <w:szCs w:val="20"/>
                <w:u w:val="none"/>
                <w:lang w:val="en-US" w:eastAsia="zh-CN" w:bidi="ar"/>
              </w:rPr>
              <w:t>备注</w:t>
            </w:r>
          </w:p>
        </w:tc>
      </w:tr>
      <w:tr w14:paraId="5628804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4" w:hRule="atLeast"/>
        </w:trPr>
        <w:tc>
          <w:tcPr>
            <w:tcW w:w="322" w:type="pct"/>
            <w:tcBorders>
              <w:top w:val="single" w:color="000000" w:sz="4" w:space="0"/>
              <w:left w:val="single" w:color="000000" w:sz="4" w:space="0"/>
              <w:bottom w:val="single" w:color="000000" w:sz="4" w:space="0"/>
              <w:right w:val="single" w:color="000000" w:sz="4" w:space="0"/>
            </w:tcBorders>
            <w:noWrap/>
            <w:vAlign w:val="center"/>
          </w:tcPr>
          <w:p w14:paraId="0C36FAE6">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b/>
                <w:bCs/>
                <w:i w:val="0"/>
                <w:iCs w:val="0"/>
                <w:color w:val="000000"/>
                <w:sz w:val="20"/>
                <w:szCs w:val="20"/>
                <w:u w:val="none"/>
              </w:rPr>
            </w:pPr>
            <w:r>
              <w:rPr>
                <w:rFonts w:hint="eastAsia" w:cs="Times New Roman"/>
                <w:b/>
                <w:bCs/>
                <w:i w:val="0"/>
                <w:iCs w:val="0"/>
                <w:color w:val="000000"/>
                <w:kern w:val="0"/>
                <w:sz w:val="18"/>
                <w:szCs w:val="18"/>
                <w:u w:val="none"/>
                <w:lang w:val="en-US" w:eastAsia="zh-CN" w:bidi="ar"/>
              </w:rPr>
              <w:t>Ⅰ</w:t>
            </w:r>
          </w:p>
        </w:tc>
        <w:tc>
          <w:tcPr>
            <w:tcW w:w="1086" w:type="pct"/>
            <w:tcBorders>
              <w:top w:val="single" w:color="000000" w:sz="4" w:space="0"/>
              <w:left w:val="single" w:color="000000" w:sz="4" w:space="0"/>
              <w:bottom w:val="single" w:color="000000" w:sz="4" w:space="0"/>
              <w:right w:val="single" w:color="000000" w:sz="4" w:space="0"/>
            </w:tcBorders>
            <w:noWrap/>
            <w:vAlign w:val="center"/>
          </w:tcPr>
          <w:p w14:paraId="6E7F1A47">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b/>
                <w:bCs/>
                <w:i w:val="0"/>
                <w:iCs w:val="0"/>
                <w:color w:val="000000"/>
                <w:sz w:val="20"/>
                <w:szCs w:val="20"/>
                <w:u w:val="none"/>
              </w:rPr>
            </w:pPr>
            <w:r>
              <w:rPr>
                <w:rFonts w:hint="eastAsia" w:ascii="宋体" w:hAnsi="宋体" w:eastAsia="宋体" w:cs="宋体"/>
                <w:b/>
                <w:bCs/>
                <w:i w:val="0"/>
                <w:iCs w:val="0"/>
                <w:color w:val="000000"/>
                <w:kern w:val="0"/>
                <w:sz w:val="18"/>
                <w:szCs w:val="18"/>
                <w:u w:val="none"/>
                <w:lang w:val="en-US" w:eastAsia="zh-CN" w:bidi="ar"/>
              </w:rPr>
              <w:t>工艺设备</w:t>
            </w:r>
          </w:p>
        </w:tc>
        <w:tc>
          <w:tcPr>
            <w:tcW w:w="1008" w:type="dxa"/>
            <w:tcBorders>
              <w:top w:val="single" w:color="000000" w:sz="4" w:space="0"/>
              <w:left w:val="single" w:color="000000" w:sz="4" w:space="0"/>
              <w:bottom w:val="single" w:color="000000" w:sz="4" w:space="0"/>
              <w:right w:val="single" w:color="000000" w:sz="4" w:space="0"/>
            </w:tcBorders>
            <w:noWrap/>
            <w:vAlign w:val="center"/>
          </w:tcPr>
          <w:p w14:paraId="3326B5DA">
            <w:pPr>
              <w:spacing w:line="240" w:lineRule="auto"/>
              <w:ind w:firstLine="0" w:firstLineChars="0"/>
              <w:jc w:val="center"/>
              <w:rPr>
                <w:rFonts w:hint="default" w:ascii="Times New Roman" w:hAnsi="Times New Roman" w:eastAsia="宋体" w:cs="Times New Roman"/>
                <w:b/>
                <w:bCs/>
                <w:i w:val="0"/>
                <w:iCs w:val="0"/>
                <w:color w:val="000000"/>
                <w:sz w:val="20"/>
                <w:szCs w:val="20"/>
                <w:u w:val="none"/>
              </w:rPr>
            </w:pPr>
          </w:p>
        </w:tc>
        <w:tc>
          <w:tcPr>
            <w:tcW w:w="648" w:type="dxa"/>
            <w:tcBorders>
              <w:top w:val="single" w:color="000000" w:sz="4" w:space="0"/>
              <w:left w:val="single" w:color="000000" w:sz="4" w:space="0"/>
              <w:bottom w:val="single" w:color="000000" w:sz="4" w:space="0"/>
              <w:right w:val="single" w:color="000000" w:sz="4" w:space="0"/>
            </w:tcBorders>
            <w:noWrap/>
            <w:vAlign w:val="center"/>
          </w:tcPr>
          <w:p w14:paraId="7A957668">
            <w:pPr>
              <w:spacing w:line="240" w:lineRule="auto"/>
              <w:ind w:firstLine="0" w:firstLineChars="0"/>
              <w:jc w:val="center"/>
              <w:rPr>
                <w:rFonts w:hint="default" w:ascii="Times New Roman" w:hAnsi="Times New Roman" w:eastAsia="宋体" w:cs="Times New Roman"/>
                <w:b/>
                <w:bCs/>
                <w:i w:val="0"/>
                <w:iCs w:val="0"/>
                <w:color w:val="000000"/>
                <w:sz w:val="20"/>
                <w:szCs w:val="20"/>
                <w:u w:val="none"/>
              </w:rPr>
            </w:pPr>
          </w:p>
        </w:tc>
        <w:tc>
          <w:tcPr>
            <w:tcW w:w="1487" w:type="dxa"/>
            <w:tcBorders>
              <w:top w:val="single" w:color="000000" w:sz="4" w:space="0"/>
              <w:left w:val="single" w:color="000000" w:sz="4" w:space="0"/>
              <w:bottom w:val="single" w:color="000000" w:sz="4" w:space="0"/>
              <w:right w:val="single" w:color="000000" w:sz="4" w:space="0"/>
            </w:tcBorders>
            <w:noWrap/>
            <w:vAlign w:val="center"/>
          </w:tcPr>
          <w:p w14:paraId="5A339A6D">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b/>
                <w:bCs/>
                <w:i w:val="0"/>
                <w:iCs w:val="0"/>
                <w:color w:val="000000"/>
                <w:sz w:val="20"/>
                <w:szCs w:val="20"/>
                <w:u w:val="none"/>
              </w:rPr>
            </w:pPr>
            <w:r>
              <w:rPr>
                <w:rFonts w:hint="default" w:ascii="Times New Roman" w:hAnsi="Times New Roman" w:eastAsia="宋体" w:cs="Times New Roman"/>
                <w:b/>
                <w:bCs/>
                <w:i w:val="0"/>
                <w:iCs w:val="0"/>
                <w:color w:val="000000"/>
                <w:kern w:val="0"/>
                <w:sz w:val="18"/>
                <w:szCs w:val="18"/>
                <w:u w:val="none"/>
                <w:lang w:val="en-US" w:eastAsia="zh-CN" w:bidi="ar"/>
              </w:rPr>
              <w:t xml:space="preserve">3442.60 </w:t>
            </w:r>
          </w:p>
        </w:tc>
        <w:tc>
          <w:tcPr>
            <w:tcW w:w="2977" w:type="dxa"/>
            <w:tcBorders>
              <w:top w:val="single" w:color="000000" w:sz="4" w:space="0"/>
              <w:left w:val="single" w:color="000000" w:sz="4" w:space="0"/>
              <w:bottom w:val="single" w:color="000000" w:sz="4" w:space="0"/>
              <w:right w:val="single" w:color="000000" w:sz="4" w:space="0"/>
            </w:tcBorders>
            <w:noWrap/>
            <w:vAlign w:val="center"/>
          </w:tcPr>
          <w:p w14:paraId="0DADA705">
            <w:pPr>
              <w:spacing w:line="240" w:lineRule="auto"/>
              <w:ind w:firstLine="0" w:firstLineChars="0"/>
              <w:jc w:val="center"/>
              <w:rPr>
                <w:rFonts w:hint="default" w:ascii="Times New Roman" w:hAnsi="Times New Roman" w:eastAsia="宋体" w:cs="Times New Roman"/>
                <w:b/>
                <w:bCs/>
                <w:i w:val="0"/>
                <w:iCs w:val="0"/>
                <w:color w:val="000000"/>
                <w:sz w:val="20"/>
                <w:szCs w:val="20"/>
                <w:u w:val="none"/>
              </w:rPr>
            </w:pPr>
          </w:p>
        </w:tc>
      </w:tr>
      <w:tr w14:paraId="5BAF975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4" w:hRule="atLeast"/>
        </w:trPr>
        <w:tc>
          <w:tcPr>
            <w:tcW w:w="322" w:type="pct"/>
            <w:tcBorders>
              <w:top w:val="single" w:color="000000" w:sz="4" w:space="0"/>
              <w:left w:val="single" w:color="000000" w:sz="4" w:space="0"/>
              <w:bottom w:val="single" w:color="000000" w:sz="4" w:space="0"/>
              <w:right w:val="single" w:color="000000" w:sz="4" w:space="0"/>
            </w:tcBorders>
            <w:noWrap/>
            <w:vAlign w:val="center"/>
          </w:tcPr>
          <w:p w14:paraId="7F7DEB43">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20"/>
                <w:szCs w:val="20"/>
                <w:u w:val="none"/>
              </w:rPr>
            </w:pPr>
            <w:r>
              <w:rPr>
                <w:rFonts w:hint="eastAsia" w:ascii="宋体" w:hAnsi="宋体" w:eastAsia="宋体" w:cs="宋体"/>
                <w:i w:val="0"/>
                <w:iCs w:val="0"/>
                <w:color w:val="000000"/>
                <w:kern w:val="0"/>
                <w:sz w:val="18"/>
                <w:szCs w:val="18"/>
                <w:u w:val="none"/>
                <w:lang w:val="en-US" w:eastAsia="zh-CN" w:bidi="ar"/>
              </w:rPr>
              <w:t>一</w:t>
            </w:r>
          </w:p>
        </w:tc>
        <w:tc>
          <w:tcPr>
            <w:tcW w:w="1086" w:type="pct"/>
            <w:tcBorders>
              <w:top w:val="single" w:color="000000" w:sz="4" w:space="0"/>
              <w:left w:val="single" w:color="000000" w:sz="4" w:space="0"/>
              <w:bottom w:val="single" w:color="000000" w:sz="4" w:space="0"/>
              <w:right w:val="single" w:color="000000" w:sz="4" w:space="0"/>
            </w:tcBorders>
            <w:noWrap/>
            <w:vAlign w:val="center"/>
          </w:tcPr>
          <w:p w14:paraId="3B422D73">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20"/>
                <w:szCs w:val="20"/>
                <w:u w:val="none"/>
              </w:rPr>
            </w:pPr>
            <w:r>
              <w:rPr>
                <w:rFonts w:hint="eastAsia" w:ascii="宋体" w:hAnsi="宋体" w:eastAsia="宋体" w:cs="宋体"/>
                <w:i w:val="0"/>
                <w:iCs w:val="0"/>
                <w:color w:val="000000"/>
                <w:kern w:val="0"/>
                <w:sz w:val="18"/>
                <w:szCs w:val="18"/>
                <w:u w:val="none"/>
                <w:lang w:val="en-US" w:eastAsia="zh-CN" w:bidi="ar"/>
              </w:rPr>
              <w:t>大件垃圾压缩转运设备</w:t>
            </w:r>
          </w:p>
        </w:tc>
        <w:tc>
          <w:tcPr>
            <w:tcW w:w="1008" w:type="dxa"/>
            <w:tcBorders>
              <w:top w:val="single" w:color="000000" w:sz="4" w:space="0"/>
              <w:left w:val="single" w:color="000000" w:sz="4" w:space="0"/>
              <w:bottom w:val="single" w:color="000000" w:sz="4" w:space="0"/>
              <w:right w:val="single" w:color="000000" w:sz="4" w:space="0"/>
            </w:tcBorders>
            <w:noWrap/>
            <w:vAlign w:val="center"/>
          </w:tcPr>
          <w:p w14:paraId="129B7165">
            <w:pPr>
              <w:spacing w:line="240" w:lineRule="auto"/>
              <w:ind w:firstLine="0" w:firstLineChars="0"/>
              <w:jc w:val="center"/>
              <w:rPr>
                <w:rFonts w:hint="default" w:ascii="Times New Roman" w:hAnsi="Times New Roman" w:eastAsia="宋体" w:cs="Times New Roman"/>
                <w:i w:val="0"/>
                <w:iCs w:val="0"/>
                <w:color w:val="000000"/>
                <w:sz w:val="20"/>
                <w:szCs w:val="20"/>
                <w:u w:val="none"/>
              </w:rPr>
            </w:pPr>
          </w:p>
        </w:tc>
        <w:tc>
          <w:tcPr>
            <w:tcW w:w="648" w:type="dxa"/>
            <w:tcBorders>
              <w:top w:val="single" w:color="000000" w:sz="4" w:space="0"/>
              <w:left w:val="single" w:color="000000" w:sz="4" w:space="0"/>
              <w:bottom w:val="single" w:color="000000" w:sz="4" w:space="0"/>
              <w:right w:val="single" w:color="000000" w:sz="4" w:space="0"/>
            </w:tcBorders>
            <w:noWrap/>
            <w:vAlign w:val="center"/>
          </w:tcPr>
          <w:p w14:paraId="1200783C">
            <w:pPr>
              <w:spacing w:line="240" w:lineRule="auto"/>
              <w:ind w:firstLine="0" w:firstLineChars="0"/>
              <w:jc w:val="center"/>
              <w:rPr>
                <w:rFonts w:hint="default" w:ascii="Times New Roman" w:hAnsi="Times New Roman" w:eastAsia="宋体" w:cs="Times New Roman"/>
                <w:i w:val="0"/>
                <w:iCs w:val="0"/>
                <w:color w:val="000000"/>
                <w:sz w:val="20"/>
                <w:szCs w:val="20"/>
                <w:u w:val="none"/>
              </w:rPr>
            </w:pPr>
          </w:p>
        </w:tc>
        <w:tc>
          <w:tcPr>
            <w:tcW w:w="1487" w:type="dxa"/>
            <w:tcBorders>
              <w:top w:val="single" w:color="000000" w:sz="4" w:space="0"/>
              <w:left w:val="single" w:color="000000" w:sz="4" w:space="0"/>
              <w:bottom w:val="single" w:color="000000" w:sz="4" w:space="0"/>
              <w:right w:val="single" w:color="000000" w:sz="4" w:space="0"/>
            </w:tcBorders>
            <w:noWrap/>
            <w:vAlign w:val="center"/>
          </w:tcPr>
          <w:p w14:paraId="5008DCAF">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20"/>
                <w:szCs w:val="20"/>
                <w:u w:val="none"/>
              </w:rPr>
            </w:pPr>
            <w:r>
              <w:rPr>
                <w:rFonts w:hint="default" w:ascii="Times New Roman" w:hAnsi="Times New Roman" w:eastAsia="宋体" w:cs="Times New Roman"/>
                <w:i w:val="0"/>
                <w:iCs w:val="0"/>
                <w:color w:val="000000"/>
                <w:kern w:val="0"/>
                <w:sz w:val="18"/>
                <w:szCs w:val="18"/>
                <w:u w:val="none"/>
                <w:lang w:val="en-US" w:eastAsia="zh-CN" w:bidi="ar"/>
              </w:rPr>
              <w:t xml:space="preserve">1670.20 </w:t>
            </w:r>
          </w:p>
        </w:tc>
        <w:tc>
          <w:tcPr>
            <w:tcW w:w="2977" w:type="dxa"/>
            <w:tcBorders>
              <w:top w:val="single" w:color="000000" w:sz="4" w:space="0"/>
              <w:left w:val="single" w:color="000000" w:sz="4" w:space="0"/>
              <w:bottom w:val="single" w:color="000000" w:sz="4" w:space="0"/>
              <w:right w:val="single" w:color="000000" w:sz="4" w:space="0"/>
            </w:tcBorders>
            <w:noWrap/>
            <w:vAlign w:val="center"/>
          </w:tcPr>
          <w:p w14:paraId="6A08DC38">
            <w:pPr>
              <w:spacing w:line="240" w:lineRule="auto"/>
              <w:ind w:firstLine="0" w:firstLineChars="0"/>
              <w:jc w:val="center"/>
              <w:rPr>
                <w:rFonts w:hint="default" w:ascii="Times New Roman" w:hAnsi="Times New Roman" w:eastAsia="宋体" w:cs="Times New Roman"/>
                <w:i w:val="0"/>
                <w:iCs w:val="0"/>
                <w:color w:val="000000"/>
                <w:sz w:val="18"/>
                <w:szCs w:val="18"/>
                <w:u w:val="none"/>
                <w:lang w:val="en-US" w:eastAsia="zh-CN"/>
              </w:rPr>
            </w:pPr>
          </w:p>
        </w:tc>
      </w:tr>
      <w:tr w14:paraId="78C3F88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4" w:hRule="atLeast"/>
        </w:trPr>
        <w:tc>
          <w:tcPr>
            <w:tcW w:w="322" w:type="pct"/>
            <w:tcBorders>
              <w:top w:val="single" w:color="000000" w:sz="4" w:space="0"/>
              <w:left w:val="single" w:color="000000" w:sz="4" w:space="0"/>
              <w:bottom w:val="single" w:color="000000" w:sz="4" w:space="0"/>
              <w:right w:val="single" w:color="000000" w:sz="4" w:space="0"/>
            </w:tcBorders>
            <w:noWrap/>
            <w:vAlign w:val="center"/>
          </w:tcPr>
          <w:p w14:paraId="15D1E501">
            <w:pPr>
              <w:spacing w:line="240" w:lineRule="auto"/>
              <w:ind w:firstLine="0" w:firstLineChars="0"/>
              <w:jc w:val="center"/>
              <w:rPr>
                <w:rFonts w:hint="default" w:ascii="Times New Roman" w:hAnsi="Times New Roman" w:eastAsia="宋体" w:cs="Times New Roman"/>
                <w:i w:val="0"/>
                <w:iCs w:val="0"/>
                <w:color w:val="000000"/>
                <w:sz w:val="20"/>
                <w:szCs w:val="20"/>
                <w:u w:val="none"/>
              </w:rPr>
            </w:pPr>
          </w:p>
        </w:tc>
        <w:tc>
          <w:tcPr>
            <w:tcW w:w="1086" w:type="pct"/>
            <w:tcBorders>
              <w:top w:val="single" w:color="000000" w:sz="4" w:space="0"/>
              <w:left w:val="single" w:color="000000" w:sz="4" w:space="0"/>
              <w:bottom w:val="single" w:color="000000" w:sz="4" w:space="0"/>
              <w:right w:val="single" w:color="000000" w:sz="4" w:space="0"/>
            </w:tcBorders>
            <w:noWrap/>
            <w:vAlign w:val="center"/>
          </w:tcPr>
          <w:p w14:paraId="6A1C0E52">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20"/>
                <w:szCs w:val="20"/>
                <w:u w:val="none"/>
              </w:rPr>
            </w:pPr>
            <w:r>
              <w:rPr>
                <w:rFonts w:hint="eastAsia" w:ascii="宋体" w:hAnsi="宋体" w:eastAsia="宋体" w:cs="宋体"/>
                <w:i w:val="0"/>
                <w:iCs w:val="0"/>
                <w:color w:val="000000"/>
                <w:kern w:val="0"/>
                <w:sz w:val="18"/>
                <w:szCs w:val="18"/>
                <w:u w:val="none"/>
                <w:lang w:val="en-US" w:eastAsia="zh-CN" w:bidi="ar"/>
              </w:rPr>
              <w:t>大型勾臂式垃圾车</w:t>
            </w:r>
          </w:p>
        </w:tc>
        <w:tc>
          <w:tcPr>
            <w:tcW w:w="1008" w:type="dxa"/>
            <w:tcBorders>
              <w:top w:val="single" w:color="000000" w:sz="4" w:space="0"/>
              <w:left w:val="single" w:color="000000" w:sz="4" w:space="0"/>
              <w:bottom w:val="single" w:color="000000" w:sz="4" w:space="0"/>
              <w:right w:val="single" w:color="000000" w:sz="4" w:space="0"/>
            </w:tcBorders>
            <w:noWrap/>
            <w:vAlign w:val="center"/>
          </w:tcPr>
          <w:p w14:paraId="595CA500">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20"/>
                <w:szCs w:val="20"/>
                <w:u w:val="none"/>
              </w:rPr>
            </w:pPr>
            <w:r>
              <w:rPr>
                <w:rFonts w:hint="eastAsia" w:ascii="宋体" w:hAnsi="宋体" w:eastAsia="宋体" w:cs="宋体"/>
                <w:i w:val="0"/>
                <w:iCs w:val="0"/>
                <w:color w:val="000000"/>
                <w:kern w:val="0"/>
                <w:sz w:val="18"/>
                <w:szCs w:val="18"/>
                <w:u w:val="none"/>
                <w:lang w:val="en-US" w:eastAsia="zh-CN" w:bidi="ar"/>
              </w:rPr>
              <w:t>辆</w:t>
            </w:r>
          </w:p>
        </w:tc>
        <w:tc>
          <w:tcPr>
            <w:tcW w:w="648" w:type="dxa"/>
            <w:tcBorders>
              <w:top w:val="single" w:color="000000" w:sz="4" w:space="0"/>
              <w:left w:val="single" w:color="000000" w:sz="4" w:space="0"/>
              <w:bottom w:val="single" w:color="000000" w:sz="4" w:space="0"/>
              <w:right w:val="single" w:color="000000" w:sz="4" w:space="0"/>
            </w:tcBorders>
            <w:noWrap/>
            <w:vAlign w:val="center"/>
          </w:tcPr>
          <w:p w14:paraId="35CAFA32">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20"/>
                <w:szCs w:val="20"/>
                <w:u w:val="none"/>
              </w:rPr>
            </w:pPr>
            <w:r>
              <w:rPr>
                <w:rFonts w:hint="default" w:ascii="Times New Roman" w:hAnsi="Times New Roman" w:eastAsia="宋体" w:cs="Times New Roman"/>
                <w:i w:val="0"/>
                <w:iCs w:val="0"/>
                <w:color w:val="000000"/>
                <w:kern w:val="0"/>
                <w:sz w:val="18"/>
                <w:szCs w:val="18"/>
                <w:u w:val="none"/>
                <w:lang w:val="en-US" w:eastAsia="zh-CN" w:bidi="ar"/>
              </w:rPr>
              <w:t xml:space="preserve">2 </w:t>
            </w:r>
          </w:p>
        </w:tc>
        <w:tc>
          <w:tcPr>
            <w:tcW w:w="1487" w:type="dxa"/>
            <w:tcBorders>
              <w:top w:val="single" w:color="000000" w:sz="4" w:space="0"/>
              <w:left w:val="single" w:color="000000" w:sz="4" w:space="0"/>
              <w:bottom w:val="single" w:color="000000" w:sz="4" w:space="0"/>
              <w:right w:val="single" w:color="000000" w:sz="4" w:space="0"/>
            </w:tcBorders>
            <w:noWrap/>
            <w:vAlign w:val="center"/>
          </w:tcPr>
          <w:p w14:paraId="074374E2">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20"/>
                <w:szCs w:val="20"/>
                <w:u w:val="none"/>
              </w:rPr>
            </w:pPr>
            <w:r>
              <w:rPr>
                <w:rFonts w:hint="default" w:ascii="Times New Roman" w:hAnsi="Times New Roman" w:eastAsia="宋体" w:cs="Times New Roman"/>
                <w:i w:val="0"/>
                <w:iCs w:val="0"/>
                <w:color w:val="000000"/>
                <w:kern w:val="0"/>
                <w:sz w:val="18"/>
                <w:szCs w:val="18"/>
                <w:u w:val="none"/>
                <w:lang w:val="en-US" w:eastAsia="zh-CN" w:bidi="ar"/>
              </w:rPr>
              <w:t xml:space="preserve">157.00 </w:t>
            </w:r>
          </w:p>
        </w:tc>
        <w:tc>
          <w:tcPr>
            <w:tcW w:w="2977" w:type="dxa"/>
            <w:tcBorders>
              <w:top w:val="single" w:color="000000" w:sz="4" w:space="0"/>
              <w:left w:val="single" w:color="000000" w:sz="4" w:space="0"/>
              <w:bottom w:val="single" w:color="000000" w:sz="4" w:space="0"/>
              <w:right w:val="single" w:color="000000" w:sz="4" w:space="0"/>
            </w:tcBorders>
            <w:noWrap/>
            <w:vAlign w:val="center"/>
          </w:tcPr>
          <w:p w14:paraId="18C3B4F9">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总质量</w:t>
            </w:r>
            <w:r>
              <w:rPr>
                <w:rFonts w:hint="default" w:ascii="Times New Roman" w:hAnsi="Times New Roman" w:eastAsia="宋体" w:cs="Times New Roman"/>
                <w:i w:val="0"/>
                <w:iCs w:val="0"/>
                <w:color w:val="000000"/>
                <w:kern w:val="0"/>
                <w:sz w:val="18"/>
                <w:szCs w:val="18"/>
                <w:u w:val="none"/>
                <w:lang w:val="en-US" w:eastAsia="zh-CN" w:bidi="ar"/>
              </w:rPr>
              <w:t>25</w:t>
            </w:r>
            <w:r>
              <w:rPr>
                <w:rFonts w:hint="eastAsia" w:ascii="宋体" w:hAnsi="宋体" w:eastAsia="宋体" w:cs="宋体"/>
                <w:i w:val="0"/>
                <w:iCs w:val="0"/>
                <w:color w:val="000000"/>
                <w:kern w:val="0"/>
                <w:sz w:val="18"/>
                <w:szCs w:val="18"/>
                <w:u w:val="none"/>
                <w:lang w:val="en-US" w:eastAsia="zh-CN" w:bidi="ar"/>
              </w:rPr>
              <w:t>吨，国六排放燃油车</w:t>
            </w:r>
          </w:p>
        </w:tc>
      </w:tr>
      <w:tr w14:paraId="7D5ED21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4" w:hRule="atLeast"/>
        </w:trPr>
        <w:tc>
          <w:tcPr>
            <w:tcW w:w="322" w:type="pct"/>
            <w:tcBorders>
              <w:top w:val="single" w:color="000000" w:sz="4" w:space="0"/>
              <w:left w:val="single" w:color="000000" w:sz="4" w:space="0"/>
              <w:bottom w:val="single" w:color="000000" w:sz="4" w:space="0"/>
              <w:right w:val="single" w:color="000000" w:sz="4" w:space="0"/>
            </w:tcBorders>
            <w:noWrap/>
            <w:vAlign w:val="center"/>
          </w:tcPr>
          <w:p w14:paraId="27F78CB9">
            <w:pPr>
              <w:spacing w:line="240" w:lineRule="auto"/>
              <w:ind w:firstLine="0" w:firstLineChars="0"/>
              <w:jc w:val="center"/>
              <w:rPr>
                <w:rFonts w:hint="default" w:ascii="Times New Roman" w:hAnsi="Times New Roman" w:eastAsia="宋体" w:cs="Times New Roman"/>
                <w:i w:val="0"/>
                <w:iCs w:val="0"/>
                <w:color w:val="000000"/>
                <w:sz w:val="20"/>
                <w:szCs w:val="20"/>
                <w:u w:val="none"/>
              </w:rPr>
            </w:pPr>
          </w:p>
        </w:tc>
        <w:tc>
          <w:tcPr>
            <w:tcW w:w="1086" w:type="pct"/>
            <w:tcBorders>
              <w:top w:val="single" w:color="000000" w:sz="4" w:space="0"/>
              <w:left w:val="single" w:color="000000" w:sz="4" w:space="0"/>
              <w:bottom w:val="single" w:color="000000" w:sz="4" w:space="0"/>
              <w:right w:val="single" w:color="000000" w:sz="4" w:space="0"/>
            </w:tcBorders>
            <w:noWrap/>
            <w:vAlign w:val="center"/>
          </w:tcPr>
          <w:p w14:paraId="7BDDB2A3">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20"/>
                <w:szCs w:val="20"/>
                <w:u w:val="none"/>
              </w:rPr>
            </w:pPr>
            <w:r>
              <w:rPr>
                <w:rFonts w:hint="eastAsia" w:ascii="宋体" w:hAnsi="宋体" w:eastAsia="宋体" w:cs="宋体"/>
                <w:i w:val="0"/>
                <w:iCs w:val="0"/>
                <w:color w:val="000000"/>
                <w:kern w:val="0"/>
                <w:sz w:val="18"/>
                <w:szCs w:val="18"/>
                <w:u w:val="none"/>
                <w:lang w:val="en-US" w:eastAsia="zh-CN" w:bidi="ar"/>
              </w:rPr>
              <w:t>洗扫车</w:t>
            </w:r>
          </w:p>
        </w:tc>
        <w:tc>
          <w:tcPr>
            <w:tcW w:w="1008" w:type="dxa"/>
            <w:tcBorders>
              <w:top w:val="single" w:color="000000" w:sz="4" w:space="0"/>
              <w:left w:val="single" w:color="000000" w:sz="4" w:space="0"/>
              <w:bottom w:val="single" w:color="000000" w:sz="4" w:space="0"/>
              <w:right w:val="single" w:color="000000" w:sz="4" w:space="0"/>
            </w:tcBorders>
            <w:noWrap/>
            <w:vAlign w:val="center"/>
          </w:tcPr>
          <w:p w14:paraId="5944AEF3">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20"/>
                <w:szCs w:val="20"/>
                <w:u w:val="none"/>
              </w:rPr>
            </w:pPr>
            <w:r>
              <w:rPr>
                <w:rFonts w:hint="eastAsia" w:ascii="宋体" w:hAnsi="宋体" w:eastAsia="宋体" w:cs="宋体"/>
                <w:i w:val="0"/>
                <w:iCs w:val="0"/>
                <w:color w:val="000000"/>
                <w:kern w:val="0"/>
                <w:sz w:val="18"/>
                <w:szCs w:val="18"/>
                <w:u w:val="none"/>
                <w:lang w:val="en-US" w:eastAsia="zh-CN" w:bidi="ar"/>
              </w:rPr>
              <w:t>辆</w:t>
            </w:r>
          </w:p>
        </w:tc>
        <w:tc>
          <w:tcPr>
            <w:tcW w:w="648" w:type="dxa"/>
            <w:tcBorders>
              <w:top w:val="single" w:color="000000" w:sz="4" w:space="0"/>
              <w:left w:val="single" w:color="000000" w:sz="4" w:space="0"/>
              <w:bottom w:val="single" w:color="000000" w:sz="4" w:space="0"/>
              <w:right w:val="single" w:color="000000" w:sz="4" w:space="0"/>
            </w:tcBorders>
            <w:noWrap/>
            <w:vAlign w:val="center"/>
          </w:tcPr>
          <w:p w14:paraId="6CC4493D">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20"/>
                <w:szCs w:val="20"/>
                <w:u w:val="none"/>
              </w:rPr>
            </w:pPr>
            <w:r>
              <w:rPr>
                <w:rFonts w:hint="default" w:ascii="Times New Roman" w:hAnsi="Times New Roman" w:eastAsia="宋体" w:cs="Times New Roman"/>
                <w:i w:val="0"/>
                <w:iCs w:val="0"/>
                <w:color w:val="000000"/>
                <w:kern w:val="0"/>
                <w:sz w:val="18"/>
                <w:szCs w:val="18"/>
                <w:u w:val="none"/>
                <w:lang w:val="en-US" w:eastAsia="zh-CN" w:bidi="ar"/>
              </w:rPr>
              <w:t xml:space="preserve">6 </w:t>
            </w:r>
          </w:p>
        </w:tc>
        <w:tc>
          <w:tcPr>
            <w:tcW w:w="1487" w:type="dxa"/>
            <w:tcBorders>
              <w:top w:val="single" w:color="000000" w:sz="4" w:space="0"/>
              <w:left w:val="single" w:color="000000" w:sz="4" w:space="0"/>
              <w:bottom w:val="single" w:color="000000" w:sz="4" w:space="0"/>
              <w:right w:val="single" w:color="000000" w:sz="4" w:space="0"/>
            </w:tcBorders>
            <w:noWrap/>
            <w:vAlign w:val="center"/>
          </w:tcPr>
          <w:p w14:paraId="522E255C">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20"/>
                <w:szCs w:val="20"/>
                <w:u w:val="none"/>
              </w:rPr>
            </w:pPr>
            <w:r>
              <w:rPr>
                <w:rFonts w:hint="default" w:ascii="Times New Roman" w:hAnsi="Times New Roman" w:eastAsia="宋体" w:cs="Times New Roman"/>
                <w:i w:val="0"/>
                <w:iCs w:val="0"/>
                <w:color w:val="000000"/>
                <w:kern w:val="0"/>
                <w:sz w:val="18"/>
                <w:szCs w:val="18"/>
                <w:u w:val="none"/>
                <w:lang w:val="en-US" w:eastAsia="zh-CN" w:bidi="ar"/>
              </w:rPr>
              <w:t xml:space="preserve">318.00 </w:t>
            </w:r>
          </w:p>
        </w:tc>
        <w:tc>
          <w:tcPr>
            <w:tcW w:w="2977" w:type="dxa"/>
            <w:tcBorders>
              <w:top w:val="single" w:color="000000" w:sz="4" w:space="0"/>
              <w:left w:val="single" w:color="000000" w:sz="4" w:space="0"/>
              <w:bottom w:val="single" w:color="000000" w:sz="4" w:space="0"/>
              <w:right w:val="single" w:color="000000" w:sz="4" w:space="0"/>
            </w:tcBorders>
            <w:noWrap/>
            <w:vAlign w:val="center"/>
          </w:tcPr>
          <w:p w14:paraId="3FE9A099">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总质量</w:t>
            </w:r>
            <w:r>
              <w:rPr>
                <w:rFonts w:hint="default" w:ascii="Times New Roman" w:hAnsi="Times New Roman" w:eastAsia="宋体" w:cs="Times New Roman"/>
                <w:i w:val="0"/>
                <w:iCs w:val="0"/>
                <w:color w:val="000000"/>
                <w:kern w:val="0"/>
                <w:sz w:val="18"/>
                <w:szCs w:val="18"/>
                <w:u w:val="none"/>
                <w:lang w:val="en-US" w:eastAsia="zh-CN" w:bidi="ar"/>
              </w:rPr>
              <w:t>18</w:t>
            </w:r>
            <w:r>
              <w:rPr>
                <w:rFonts w:hint="eastAsia" w:ascii="宋体" w:hAnsi="宋体" w:eastAsia="宋体" w:cs="宋体"/>
                <w:i w:val="0"/>
                <w:iCs w:val="0"/>
                <w:color w:val="000000"/>
                <w:kern w:val="0"/>
                <w:sz w:val="18"/>
                <w:szCs w:val="18"/>
                <w:u w:val="none"/>
                <w:lang w:val="en-US" w:eastAsia="zh-CN" w:bidi="ar"/>
              </w:rPr>
              <w:t>吨，国六排放燃油车</w:t>
            </w:r>
          </w:p>
        </w:tc>
      </w:tr>
      <w:tr w14:paraId="29930E8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4" w:hRule="atLeast"/>
        </w:trPr>
        <w:tc>
          <w:tcPr>
            <w:tcW w:w="322" w:type="pct"/>
            <w:tcBorders>
              <w:top w:val="single" w:color="000000" w:sz="4" w:space="0"/>
              <w:left w:val="single" w:color="000000" w:sz="4" w:space="0"/>
              <w:bottom w:val="single" w:color="000000" w:sz="4" w:space="0"/>
              <w:right w:val="single" w:color="000000" w:sz="4" w:space="0"/>
            </w:tcBorders>
            <w:noWrap/>
            <w:vAlign w:val="center"/>
          </w:tcPr>
          <w:p w14:paraId="54B15AC1">
            <w:pPr>
              <w:spacing w:line="240" w:lineRule="auto"/>
              <w:ind w:firstLine="0" w:firstLineChars="0"/>
              <w:jc w:val="center"/>
              <w:rPr>
                <w:rFonts w:hint="default" w:ascii="Times New Roman" w:hAnsi="Times New Roman" w:eastAsia="宋体" w:cs="Times New Roman"/>
                <w:i w:val="0"/>
                <w:iCs w:val="0"/>
                <w:color w:val="000000"/>
                <w:sz w:val="20"/>
                <w:szCs w:val="20"/>
                <w:u w:val="none"/>
              </w:rPr>
            </w:pPr>
          </w:p>
        </w:tc>
        <w:tc>
          <w:tcPr>
            <w:tcW w:w="1086" w:type="pct"/>
            <w:tcBorders>
              <w:top w:val="single" w:color="000000" w:sz="4" w:space="0"/>
              <w:left w:val="single" w:color="000000" w:sz="4" w:space="0"/>
              <w:bottom w:val="single" w:color="000000" w:sz="4" w:space="0"/>
              <w:right w:val="single" w:color="000000" w:sz="4" w:space="0"/>
            </w:tcBorders>
            <w:noWrap/>
            <w:vAlign w:val="center"/>
          </w:tcPr>
          <w:p w14:paraId="2635392E">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20"/>
                <w:szCs w:val="20"/>
                <w:u w:val="none"/>
              </w:rPr>
            </w:pPr>
            <w:r>
              <w:rPr>
                <w:rFonts w:hint="eastAsia" w:ascii="宋体" w:hAnsi="宋体" w:eastAsia="宋体" w:cs="宋体"/>
                <w:i w:val="0"/>
                <w:iCs w:val="0"/>
                <w:color w:val="000000"/>
                <w:kern w:val="0"/>
                <w:sz w:val="18"/>
                <w:szCs w:val="18"/>
                <w:u w:val="none"/>
                <w:lang w:val="en-US" w:eastAsia="zh-CN" w:bidi="ar"/>
              </w:rPr>
              <w:t>雾炮车</w:t>
            </w:r>
          </w:p>
        </w:tc>
        <w:tc>
          <w:tcPr>
            <w:tcW w:w="1008" w:type="dxa"/>
            <w:tcBorders>
              <w:top w:val="single" w:color="000000" w:sz="4" w:space="0"/>
              <w:left w:val="single" w:color="000000" w:sz="4" w:space="0"/>
              <w:bottom w:val="single" w:color="000000" w:sz="4" w:space="0"/>
              <w:right w:val="single" w:color="000000" w:sz="4" w:space="0"/>
            </w:tcBorders>
            <w:noWrap/>
            <w:vAlign w:val="center"/>
          </w:tcPr>
          <w:p w14:paraId="54198A4C">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20"/>
                <w:szCs w:val="20"/>
                <w:u w:val="none"/>
              </w:rPr>
            </w:pPr>
            <w:r>
              <w:rPr>
                <w:rFonts w:hint="eastAsia" w:ascii="宋体" w:hAnsi="宋体" w:eastAsia="宋体" w:cs="宋体"/>
                <w:i w:val="0"/>
                <w:iCs w:val="0"/>
                <w:color w:val="000000"/>
                <w:kern w:val="0"/>
                <w:sz w:val="18"/>
                <w:szCs w:val="18"/>
                <w:u w:val="none"/>
                <w:lang w:val="en-US" w:eastAsia="zh-CN" w:bidi="ar"/>
              </w:rPr>
              <w:t>辆</w:t>
            </w:r>
          </w:p>
        </w:tc>
        <w:tc>
          <w:tcPr>
            <w:tcW w:w="648" w:type="dxa"/>
            <w:tcBorders>
              <w:top w:val="single" w:color="000000" w:sz="4" w:space="0"/>
              <w:left w:val="single" w:color="000000" w:sz="4" w:space="0"/>
              <w:bottom w:val="single" w:color="000000" w:sz="4" w:space="0"/>
              <w:right w:val="single" w:color="000000" w:sz="4" w:space="0"/>
            </w:tcBorders>
            <w:noWrap/>
            <w:vAlign w:val="center"/>
          </w:tcPr>
          <w:p w14:paraId="7C18FC05">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20"/>
                <w:szCs w:val="20"/>
                <w:u w:val="none"/>
              </w:rPr>
            </w:pPr>
            <w:r>
              <w:rPr>
                <w:rFonts w:hint="default" w:ascii="Times New Roman" w:hAnsi="Times New Roman" w:eastAsia="宋体" w:cs="Times New Roman"/>
                <w:i w:val="0"/>
                <w:iCs w:val="0"/>
                <w:color w:val="000000"/>
                <w:kern w:val="0"/>
                <w:sz w:val="18"/>
                <w:szCs w:val="18"/>
                <w:u w:val="none"/>
                <w:lang w:val="en-US" w:eastAsia="zh-CN" w:bidi="ar"/>
              </w:rPr>
              <w:t xml:space="preserve">3 </w:t>
            </w:r>
          </w:p>
        </w:tc>
        <w:tc>
          <w:tcPr>
            <w:tcW w:w="1487" w:type="dxa"/>
            <w:tcBorders>
              <w:top w:val="single" w:color="000000" w:sz="4" w:space="0"/>
              <w:left w:val="single" w:color="000000" w:sz="4" w:space="0"/>
              <w:bottom w:val="single" w:color="000000" w:sz="4" w:space="0"/>
              <w:right w:val="single" w:color="000000" w:sz="4" w:space="0"/>
            </w:tcBorders>
            <w:noWrap/>
            <w:vAlign w:val="center"/>
          </w:tcPr>
          <w:p w14:paraId="2394A813">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20"/>
                <w:szCs w:val="20"/>
                <w:u w:val="none"/>
              </w:rPr>
            </w:pPr>
            <w:r>
              <w:rPr>
                <w:rFonts w:hint="default" w:ascii="Times New Roman" w:hAnsi="Times New Roman" w:eastAsia="宋体" w:cs="Times New Roman"/>
                <w:i w:val="0"/>
                <w:iCs w:val="0"/>
                <w:color w:val="000000"/>
                <w:kern w:val="0"/>
                <w:sz w:val="18"/>
                <w:szCs w:val="18"/>
                <w:u w:val="none"/>
                <w:lang w:val="en-US" w:eastAsia="zh-CN" w:bidi="ar"/>
              </w:rPr>
              <w:t xml:space="preserve">146.40 </w:t>
            </w:r>
          </w:p>
        </w:tc>
        <w:tc>
          <w:tcPr>
            <w:tcW w:w="2977" w:type="dxa"/>
            <w:tcBorders>
              <w:top w:val="single" w:color="000000" w:sz="4" w:space="0"/>
              <w:left w:val="single" w:color="000000" w:sz="4" w:space="0"/>
              <w:bottom w:val="single" w:color="000000" w:sz="4" w:space="0"/>
              <w:right w:val="single" w:color="000000" w:sz="4" w:space="0"/>
            </w:tcBorders>
            <w:noWrap/>
            <w:vAlign w:val="center"/>
          </w:tcPr>
          <w:p w14:paraId="0EBD244C">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总质量</w:t>
            </w:r>
            <w:r>
              <w:rPr>
                <w:rFonts w:hint="default" w:ascii="Times New Roman" w:hAnsi="Times New Roman" w:eastAsia="宋体" w:cs="Times New Roman"/>
                <w:i w:val="0"/>
                <w:iCs w:val="0"/>
                <w:color w:val="000000"/>
                <w:kern w:val="0"/>
                <w:sz w:val="18"/>
                <w:szCs w:val="18"/>
                <w:u w:val="none"/>
                <w:lang w:val="en-US" w:eastAsia="zh-CN" w:bidi="ar"/>
              </w:rPr>
              <w:t>18</w:t>
            </w:r>
            <w:r>
              <w:rPr>
                <w:rFonts w:hint="eastAsia" w:ascii="宋体" w:hAnsi="宋体" w:eastAsia="宋体" w:cs="宋体"/>
                <w:i w:val="0"/>
                <w:iCs w:val="0"/>
                <w:color w:val="000000"/>
                <w:kern w:val="0"/>
                <w:sz w:val="18"/>
                <w:szCs w:val="18"/>
                <w:u w:val="none"/>
                <w:lang w:val="en-US" w:eastAsia="zh-CN" w:bidi="ar"/>
              </w:rPr>
              <w:t>吨，国六排放燃油车，水箱容积</w:t>
            </w:r>
            <w:r>
              <w:rPr>
                <w:rFonts w:hint="default" w:ascii="Times New Roman" w:hAnsi="Times New Roman" w:eastAsia="宋体" w:cs="Times New Roman"/>
                <w:i w:val="0"/>
                <w:iCs w:val="0"/>
                <w:color w:val="000000"/>
                <w:kern w:val="0"/>
                <w:sz w:val="18"/>
                <w:szCs w:val="18"/>
                <w:u w:val="none"/>
                <w:lang w:val="en-US" w:eastAsia="zh-CN" w:bidi="ar"/>
              </w:rPr>
              <w:t>≥8</w:t>
            </w:r>
            <w:r>
              <w:rPr>
                <w:rFonts w:hint="eastAsia" w:ascii="宋体" w:hAnsi="宋体" w:eastAsia="宋体" w:cs="宋体"/>
                <w:i w:val="0"/>
                <w:iCs w:val="0"/>
                <w:color w:val="000000"/>
                <w:kern w:val="0"/>
                <w:sz w:val="18"/>
                <w:szCs w:val="18"/>
                <w:u w:val="none"/>
                <w:lang w:val="en-US" w:eastAsia="zh-CN" w:bidi="ar"/>
              </w:rPr>
              <w:t>立方</w:t>
            </w:r>
          </w:p>
        </w:tc>
      </w:tr>
      <w:tr w14:paraId="281FA39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4" w:hRule="atLeast"/>
        </w:trPr>
        <w:tc>
          <w:tcPr>
            <w:tcW w:w="322" w:type="pct"/>
            <w:tcBorders>
              <w:top w:val="single" w:color="000000" w:sz="4" w:space="0"/>
              <w:left w:val="single" w:color="000000" w:sz="4" w:space="0"/>
              <w:bottom w:val="single" w:color="000000" w:sz="4" w:space="0"/>
              <w:right w:val="single" w:color="000000" w:sz="4" w:space="0"/>
            </w:tcBorders>
            <w:noWrap/>
            <w:vAlign w:val="center"/>
          </w:tcPr>
          <w:p w14:paraId="0BB9C440">
            <w:pPr>
              <w:spacing w:line="240" w:lineRule="auto"/>
              <w:ind w:firstLine="0" w:firstLineChars="0"/>
              <w:jc w:val="center"/>
              <w:rPr>
                <w:rFonts w:hint="default" w:ascii="Times New Roman" w:hAnsi="Times New Roman" w:eastAsia="宋体" w:cs="Times New Roman"/>
                <w:i w:val="0"/>
                <w:iCs w:val="0"/>
                <w:color w:val="000000"/>
                <w:sz w:val="20"/>
                <w:szCs w:val="20"/>
                <w:u w:val="none"/>
              </w:rPr>
            </w:pPr>
          </w:p>
        </w:tc>
        <w:tc>
          <w:tcPr>
            <w:tcW w:w="1086" w:type="pct"/>
            <w:tcBorders>
              <w:top w:val="single" w:color="000000" w:sz="4" w:space="0"/>
              <w:left w:val="single" w:color="000000" w:sz="4" w:space="0"/>
              <w:bottom w:val="single" w:color="000000" w:sz="4" w:space="0"/>
              <w:right w:val="single" w:color="000000" w:sz="4" w:space="0"/>
            </w:tcBorders>
            <w:noWrap/>
            <w:vAlign w:val="center"/>
          </w:tcPr>
          <w:p w14:paraId="2B48C2D3">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20"/>
                <w:szCs w:val="20"/>
                <w:u w:val="none"/>
              </w:rPr>
            </w:pPr>
            <w:r>
              <w:rPr>
                <w:rFonts w:hint="eastAsia" w:ascii="宋体" w:hAnsi="宋体" w:eastAsia="宋体" w:cs="宋体"/>
                <w:i w:val="0"/>
                <w:iCs w:val="0"/>
                <w:color w:val="000000"/>
                <w:kern w:val="0"/>
                <w:sz w:val="18"/>
                <w:szCs w:val="18"/>
                <w:u w:val="none"/>
                <w:lang w:val="en-US" w:eastAsia="zh-CN" w:bidi="ar"/>
              </w:rPr>
              <w:t>洒水车</w:t>
            </w:r>
          </w:p>
        </w:tc>
        <w:tc>
          <w:tcPr>
            <w:tcW w:w="1008" w:type="dxa"/>
            <w:tcBorders>
              <w:top w:val="single" w:color="000000" w:sz="4" w:space="0"/>
              <w:left w:val="single" w:color="000000" w:sz="4" w:space="0"/>
              <w:bottom w:val="single" w:color="000000" w:sz="4" w:space="0"/>
              <w:right w:val="single" w:color="000000" w:sz="4" w:space="0"/>
            </w:tcBorders>
            <w:noWrap/>
            <w:vAlign w:val="center"/>
          </w:tcPr>
          <w:p w14:paraId="2D034DCD">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20"/>
                <w:szCs w:val="20"/>
                <w:u w:val="none"/>
              </w:rPr>
            </w:pPr>
            <w:r>
              <w:rPr>
                <w:rFonts w:hint="eastAsia" w:ascii="宋体" w:hAnsi="宋体" w:eastAsia="宋体" w:cs="宋体"/>
                <w:i w:val="0"/>
                <w:iCs w:val="0"/>
                <w:color w:val="000000"/>
                <w:kern w:val="0"/>
                <w:sz w:val="18"/>
                <w:szCs w:val="18"/>
                <w:u w:val="none"/>
                <w:lang w:val="en-US" w:eastAsia="zh-CN" w:bidi="ar"/>
              </w:rPr>
              <w:t>辆</w:t>
            </w:r>
          </w:p>
        </w:tc>
        <w:tc>
          <w:tcPr>
            <w:tcW w:w="648" w:type="dxa"/>
            <w:tcBorders>
              <w:top w:val="single" w:color="000000" w:sz="4" w:space="0"/>
              <w:left w:val="single" w:color="000000" w:sz="4" w:space="0"/>
              <w:bottom w:val="single" w:color="000000" w:sz="4" w:space="0"/>
              <w:right w:val="single" w:color="000000" w:sz="4" w:space="0"/>
            </w:tcBorders>
            <w:noWrap/>
            <w:vAlign w:val="center"/>
          </w:tcPr>
          <w:p w14:paraId="7FDCD761">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20"/>
                <w:szCs w:val="20"/>
                <w:u w:val="none"/>
              </w:rPr>
            </w:pPr>
            <w:r>
              <w:rPr>
                <w:rFonts w:hint="default" w:ascii="Times New Roman" w:hAnsi="Times New Roman" w:eastAsia="宋体" w:cs="Times New Roman"/>
                <w:i w:val="0"/>
                <w:iCs w:val="0"/>
                <w:color w:val="000000"/>
                <w:kern w:val="0"/>
                <w:sz w:val="18"/>
                <w:szCs w:val="18"/>
                <w:u w:val="none"/>
                <w:lang w:val="en-US" w:eastAsia="zh-CN" w:bidi="ar"/>
              </w:rPr>
              <w:t xml:space="preserve">4 </w:t>
            </w:r>
          </w:p>
        </w:tc>
        <w:tc>
          <w:tcPr>
            <w:tcW w:w="1487" w:type="dxa"/>
            <w:tcBorders>
              <w:top w:val="single" w:color="000000" w:sz="4" w:space="0"/>
              <w:left w:val="single" w:color="000000" w:sz="4" w:space="0"/>
              <w:bottom w:val="single" w:color="000000" w:sz="4" w:space="0"/>
              <w:right w:val="single" w:color="000000" w:sz="4" w:space="0"/>
            </w:tcBorders>
            <w:noWrap/>
            <w:vAlign w:val="center"/>
          </w:tcPr>
          <w:p w14:paraId="0B6DCA93">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20"/>
                <w:szCs w:val="20"/>
                <w:u w:val="none"/>
              </w:rPr>
            </w:pPr>
            <w:r>
              <w:rPr>
                <w:rFonts w:hint="default" w:ascii="Times New Roman" w:hAnsi="Times New Roman" w:eastAsia="宋体" w:cs="Times New Roman"/>
                <w:i w:val="0"/>
                <w:iCs w:val="0"/>
                <w:color w:val="000000"/>
                <w:kern w:val="0"/>
                <w:sz w:val="18"/>
                <w:szCs w:val="18"/>
                <w:u w:val="none"/>
                <w:lang w:val="en-US" w:eastAsia="zh-CN" w:bidi="ar"/>
              </w:rPr>
              <w:t xml:space="preserve">112.80 </w:t>
            </w:r>
          </w:p>
        </w:tc>
        <w:tc>
          <w:tcPr>
            <w:tcW w:w="2977" w:type="dxa"/>
            <w:tcBorders>
              <w:top w:val="single" w:color="000000" w:sz="4" w:space="0"/>
              <w:left w:val="single" w:color="000000" w:sz="4" w:space="0"/>
              <w:bottom w:val="single" w:color="000000" w:sz="4" w:space="0"/>
              <w:right w:val="single" w:color="000000" w:sz="4" w:space="0"/>
            </w:tcBorders>
            <w:noWrap/>
            <w:vAlign w:val="center"/>
          </w:tcPr>
          <w:p w14:paraId="002925B4">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总质量</w:t>
            </w:r>
            <w:r>
              <w:rPr>
                <w:rFonts w:hint="default" w:ascii="Times New Roman" w:hAnsi="Times New Roman" w:eastAsia="宋体" w:cs="Times New Roman"/>
                <w:i w:val="0"/>
                <w:iCs w:val="0"/>
                <w:color w:val="000000"/>
                <w:kern w:val="0"/>
                <w:sz w:val="18"/>
                <w:szCs w:val="18"/>
                <w:u w:val="none"/>
                <w:lang w:val="en-US" w:eastAsia="zh-CN" w:bidi="ar"/>
              </w:rPr>
              <w:t>11995kg</w:t>
            </w:r>
            <w:r>
              <w:rPr>
                <w:rFonts w:hint="eastAsia" w:ascii="宋体" w:hAnsi="宋体" w:eastAsia="宋体" w:cs="宋体"/>
                <w:i w:val="0"/>
                <w:iCs w:val="0"/>
                <w:color w:val="000000"/>
                <w:kern w:val="0"/>
                <w:sz w:val="18"/>
                <w:szCs w:val="18"/>
                <w:u w:val="none"/>
                <w:lang w:val="en-US" w:eastAsia="zh-CN" w:bidi="ar"/>
              </w:rPr>
              <w:t>，罐体总容量</w:t>
            </w:r>
            <w:r>
              <w:rPr>
                <w:rFonts w:hint="default" w:ascii="Times New Roman" w:hAnsi="Times New Roman" w:eastAsia="宋体" w:cs="Times New Roman"/>
                <w:i w:val="0"/>
                <w:iCs w:val="0"/>
                <w:color w:val="000000"/>
                <w:kern w:val="0"/>
                <w:sz w:val="18"/>
                <w:szCs w:val="18"/>
                <w:u w:val="none"/>
                <w:lang w:val="en-US" w:eastAsia="zh-CN" w:bidi="ar"/>
              </w:rPr>
              <w:t>≥7.5m³</w:t>
            </w:r>
            <w:r>
              <w:rPr>
                <w:rFonts w:hint="eastAsia" w:ascii="宋体" w:hAnsi="宋体" w:eastAsia="宋体" w:cs="宋体"/>
                <w:i w:val="0"/>
                <w:iCs w:val="0"/>
                <w:color w:val="000000"/>
                <w:kern w:val="0"/>
                <w:sz w:val="18"/>
                <w:szCs w:val="18"/>
                <w:u w:val="none"/>
                <w:lang w:val="en-US" w:eastAsia="zh-CN" w:bidi="ar"/>
              </w:rPr>
              <w:t>，国六排放燃油车</w:t>
            </w:r>
          </w:p>
        </w:tc>
      </w:tr>
      <w:tr w14:paraId="3BC8FB6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4" w:hRule="atLeast"/>
        </w:trPr>
        <w:tc>
          <w:tcPr>
            <w:tcW w:w="322" w:type="pct"/>
            <w:tcBorders>
              <w:top w:val="single" w:color="000000" w:sz="4" w:space="0"/>
              <w:left w:val="single" w:color="000000" w:sz="4" w:space="0"/>
              <w:bottom w:val="single" w:color="000000" w:sz="4" w:space="0"/>
              <w:right w:val="single" w:color="000000" w:sz="4" w:space="0"/>
            </w:tcBorders>
            <w:noWrap/>
            <w:vAlign w:val="center"/>
          </w:tcPr>
          <w:p w14:paraId="266392BC">
            <w:pPr>
              <w:spacing w:line="240" w:lineRule="auto"/>
              <w:ind w:firstLine="0" w:firstLineChars="0"/>
              <w:jc w:val="center"/>
              <w:rPr>
                <w:rFonts w:hint="default" w:ascii="Times New Roman" w:hAnsi="Times New Roman" w:eastAsia="宋体" w:cs="Times New Roman"/>
                <w:i w:val="0"/>
                <w:iCs w:val="0"/>
                <w:color w:val="000000"/>
                <w:sz w:val="20"/>
                <w:szCs w:val="20"/>
                <w:u w:val="none"/>
              </w:rPr>
            </w:pPr>
          </w:p>
        </w:tc>
        <w:tc>
          <w:tcPr>
            <w:tcW w:w="1086" w:type="pct"/>
            <w:tcBorders>
              <w:top w:val="single" w:color="000000" w:sz="4" w:space="0"/>
              <w:left w:val="single" w:color="000000" w:sz="4" w:space="0"/>
              <w:bottom w:val="single" w:color="000000" w:sz="4" w:space="0"/>
              <w:right w:val="single" w:color="000000" w:sz="4" w:space="0"/>
            </w:tcBorders>
            <w:noWrap/>
            <w:vAlign w:val="center"/>
          </w:tcPr>
          <w:p w14:paraId="6BD04198">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20"/>
                <w:szCs w:val="20"/>
                <w:u w:val="none"/>
              </w:rPr>
            </w:pPr>
            <w:r>
              <w:rPr>
                <w:rFonts w:hint="eastAsia" w:ascii="宋体" w:hAnsi="宋体" w:eastAsia="宋体" w:cs="宋体"/>
                <w:i w:val="0"/>
                <w:iCs w:val="0"/>
                <w:color w:val="000000"/>
                <w:kern w:val="0"/>
                <w:sz w:val="18"/>
                <w:szCs w:val="18"/>
                <w:u w:val="none"/>
                <w:lang w:val="en-US" w:eastAsia="zh-CN" w:bidi="ar"/>
              </w:rPr>
              <w:t>垃圾压缩设备</w:t>
            </w:r>
          </w:p>
        </w:tc>
        <w:tc>
          <w:tcPr>
            <w:tcW w:w="1008" w:type="dxa"/>
            <w:tcBorders>
              <w:top w:val="single" w:color="000000" w:sz="4" w:space="0"/>
              <w:left w:val="single" w:color="000000" w:sz="4" w:space="0"/>
              <w:bottom w:val="single" w:color="000000" w:sz="4" w:space="0"/>
              <w:right w:val="single" w:color="000000" w:sz="4" w:space="0"/>
            </w:tcBorders>
            <w:noWrap/>
            <w:vAlign w:val="center"/>
          </w:tcPr>
          <w:p w14:paraId="12617419">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20"/>
                <w:szCs w:val="20"/>
                <w:u w:val="none"/>
              </w:rPr>
            </w:pPr>
            <w:r>
              <w:rPr>
                <w:rFonts w:hint="eastAsia" w:ascii="宋体" w:hAnsi="宋体" w:eastAsia="宋体" w:cs="宋体"/>
                <w:i w:val="0"/>
                <w:iCs w:val="0"/>
                <w:color w:val="000000"/>
                <w:kern w:val="0"/>
                <w:sz w:val="18"/>
                <w:szCs w:val="18"/>
                <w:u w:val="none"/>
                <w:lang w:val="en-US" w:eastAsia="zh-CN" w:bidi="ar"/>
              </w:rPr>
              <w:t>批</w:t>
            </w:r>
          </w:p>
        </w:tc>
        <w:tc>
          <w:tcPr>
            <w:tcW w:w="648" w:type="dxa"/>
            <w:tcBorders>
              <w:top w:val="single" w:color="000000" w:sz="4" w:space="0"/>
              <w:left w:val="single" w:color="000000" w:sz="4" w:space="0"/>
              <w:bottom w:val="single" w:color="000000" w:sz="4" w:space="0"/>
              <w:right w:val="single" w:color="000000" w:sz="4" w:space="0"/>
            </w:tcBorders>
            <w:noWrap/>
            <w:vAlign w:val="center"/>
          </w:tcPr>
          <w:p w14:paraId="4A454BFA">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20"/>
                <w:szCs w:val="20"/>
                <w:u w:val="none"/>
              </w:rPr>
            </w:pPr>
            <w:r>
              <w:rPr>
                <w:rFonts w:hint="default" w:ascii="Times New Roman" w:hAnsi="Times New Roman" w:eastAsia="宋体" w:cs="Times New Roman"/>
                <w:i w:val="0"/>
                <w:iCs w:val="0"/>
                <w:color w:val="000000"/>
                <w:kern w:val="0"/>
                <w:sz w:val="18"/>
                <w:szCs w:val="18"/>
                <w:u w:val="none"/>
                <w:lang w:val="en-US" w:eastAsia="zh-CN" w:bidi="ar"/>
              </w:rPr>
              <w:t xml:space="preserve">1 </w:t>
            </w:r>
          </w:p>
        </w:tc>
        <w:tc>
          <w:tcPr>
            <w:tcW w:w="1487" w:type="dxa"/>
            <w:tcBorders>
              <w:top w:val="single" w:color="000000" w:sz="4" w:space="0"/>
              <w:left w:val="single" w:color="000000" w:sz="4" w:space="0"/>
              <w:bottom w:val="single" w:color="000000" w:sz="4" w:space="0"/>
              <w:right w:val="single" w:color="000000" w:sz="4" w:space="0"/>
            </w:tcBorders>
            <w:noWrap/>
            <w:vAlign w:val="center"/>
          </w:tcPr>
          <w:p w14:paraId="2072B190">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20"/>
                <w:szCs w:val="20"/>
                <w:u w:val="none"/>
              </w:rPr>
            </w:pPr>
            <w:r>
              <w:rPr>
                <w:rFonts w:hint="default" w:ascii="Times New Roman" w:hAnsi="Times New Roman" w:eastAsia="宋体" w:cs="Times New Roman"/>
                <w:i w:val="0"/>
                <w:iCs w:val="0"/>
                <w:color w:val="000000"/>
                <w:kern w:val="0"/>
                <w:sz w:val="18"/>
                <w:szCs w:val="18"/>
                <w:u w:val="none"/>
                <w:lang w:val="en-US" w:eastAsia="zh-CN" w:bidi="ar"/>
              </w:rPr>
              <w:t xml:space="preserve">761.00 </w:t>
            </w:r>
          </w:p>
        </w:tc>
        <w:tc>
          <w:tcPr>
            <w:tcW w:w="2977" w:type="dxa"/>
            <w:tcBorders>
              <w:top w:val="single" w:color="000000" w:sz="4" w:space="0"/>
              <w:left w:val="single" w:color="000000" w:sz="4" w:space="0"/>
              <w:bottom w:val="single" w:color="000000" w:sz="4" w:space="0"/>
              <w:right w:val="single" w:color="000000" w:sz="4" w:space="0"/>
            </w:tcBorders>
            <w:noWrap/>
            <w:vAlign w:val="center"/>
          </w:tcPr>
          <w:p w14:paraId="07A28DA4">
            <w:pPr>
              <w:keepNext w:val="0"/>
              <w:keepLines w:val="0"/>
              <w:widowControl/>
              <w:suppressLineNumbers w:val="0"/>
              <w:spacing w:line="240" w:lineRule="auto"/>
              <w:ind w:firstLine="0" w:firstLineChars="0"/>
              <w:jc w:val="center"/>
              <w:textAlignment w:val="center"/>
              <w:rPr>
                <w:rFonts w:hint="eastAsia" w:ascii="Times New Roman" w:hAnsi="Times New Roman" w:eastAsia="宋体" w:cs="Times New Roman"/>
                <w:i w:val="0"/>
                <w:iCs w:val="0"/>
                <w:color w:val="000000"/>
                <w:sz w:val="18"/>
                <w:szCs w:val="18"/>
                <w:u w:val="none"/>
                <w:lang w:val="en-US" w:eastAsia="zh-CN"/>
              </w:rPr>
            </w:pPr>
            <w:r>
              <w:rPr>
                <w:rFonts w:hint="eastAsia" w:ascii="宋体" w:hAnsi="宋体" w:eastAsia="宋体" w:cs="宋体"/>
                <w:i w:val="0"/>
                <w:iCs w:val="0"/>
                <w:color w:val="000000"/>
                <w:kern w:val="0"/>
                <w:sz w:val="18"/>
                <w:szCs w:val="18"/>
                <w:u w:val="none"/>
                <w:lang w:val="en-US" w:eastAsia="zh-CN" w:bidi="ar"/>
              </w:rPr>
              <w:t>日处理规模</w:t>
            </w:r>
            <w:r>
              <w:rPr>
                <w:rFonts w:hint="default" w:ascii="Times New Roman" w:hAnsi="Times New Roman" w:eastAsia="宋体" w:cs="Times New Roman"/>
                <w:i w:val="0"/>
                <w:iCs w:val="0"/>
                <w:color w:val="000000"/>
                <w:kern w:val="0"/>
                <w:sz w:val="18"/>
                <w:szCs w:val="18"/>
                <w:u w:val="none"/>
                <w:lang w:val="en-US" w:eastAsia="zh-CN" w:bidi="ar"/>
              </w:rPr>
              <w:t>140</w:t>
            </w:r>
            <w:r>
              <w:rPr>
                <w:rFonts w:hint="eastAsia" w:ascii="宋体" w:hAnsi="宋体" w:eastAsia="宋体" w:cs="宋体"/>
                <w:i w:val="0"/>
                <w:iCs w:val="0"/>
                <w:color w:val="000000"/>
                <w:kern w:val="0"/>
                <w:sz w:val="18"/>
                <w:szCs w:val="18"/>
                <w:u w:val="none"/>
                <w:lang w:val="en-US" w:eastAsia="zh-CN" w:bidi="ar"/>
              </w:rPr>
              <w:t>吨及以上处理能力</w:t>
            </w:r>
          </w:p>
        </w:tc>
      </w:tr>
      <w:tr w14:paraId="164A3D5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4" w:hRule="atLeast"/>
        </w:trPr>
        <w:tc>
          <w:tcPr>
            <w:tcW w:w="322" w:type="pct"/>
            <w:tcBorders>
              <w:top w:val="single" w:color="000000" w:sz="4" w:space="0"/>
              <w:left w:val="single" w:color="000000" w:sz="4" w:space="0"/>
              <w:bottom w:val="single" w:color="000000" w:sz="4" w:space="0"/>
              <w:right w:val="single" w:color="000000" w:sz="4" w:space="0"/>
            </w:tcBorders>
            <w:noWrap/>
            <w:vAlign w:val="center"/>
          </w:tcPr>
          <w:p w14:paraId="7DCC345D">
            <w:pPr>
              <w:spacing w:line="240" w:lineRule="auto"/>
              <w:ind w:firstLine="0" w:firstLineChars="0"/>
              <w:jc w:val="center"/>
              <w:rPr>
                <w:rFonts w:hint="default" w:ascii="Times New Roman" w:hAnsi="Times New Roman" w:eastAsia="宋体" w:cs="Times New Roman"/>
                <w:i w:val="0"/>
                <w:iCs w:val="0"/>
                <w:color w:val="000000"/>
                <w:sz w:val="20"/>
                <w:szCs w:val="20"/>
                <w:u w:val="none"/>
              </w:rPr>
            </w:pPr>
          </w:p>
        </w:tc>
        <w:tc>
          <w:tcPr>
            <w:tcW w:w="1086" w:type="pct"/>
            <w:tcBorders>
              <w:top w:val="single" w:color="000000" w:sz="4" w:space="0"/>
              <w:left w:val="single" w:color="000000" w:sz="4" w:space="0"/>
              <w:bottom w:val="single" w:color="000000" w:sz="4" w:space="0"/>
              <w:right w:val="single" w:color="000000" w:sz="4" w:space="0"/>
            </w:tcBorders>
            <w:noWrap/>
            <w:vAlign w:val="center"/>
          </w:tcPr>
          <w:p w14:paraId="01E67CC8">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20"/>
                <w:szCs w:val="20"/>
                <w:u w:val="none"/>
              </w:rPr>
            </w:pPr>
            <w:r>
              <w:rPr>
                <w:rFonts w:hint="eastAsia" w:ascii="宋体" w:hAnsi="宋体" w:eastAsia="宋体" w:cs="宋体"/>
                <w:i w:val="0"/>
                <w:iCs w:val="0"/>
                <w:color w:val="000000"/>
                <w:kern w:val="0"/>
                <w:sz w:val="18"/>
                <w:szCs w:val="18"/>
                <w:u w:val="none"/>
                <w:lang w:val="en-US" w:eastAsia="zh-CN" w:bidi="ar"/>
              </w:rPr>
              <w:t>垃圾称重设备</w:t>
            </w:r>
          </w:p>
        </w:tc>
        <w:tc>
          <w:tcPr>
            <w:tcW w:w="1008" w:type="dxa"/>
            <w:tcBorders>
              <w:top w:val="single" w:color="000000" w:sz="4" w:space="0"/>
              <w:left w:val="single" w:color="000000" w:sz="4" w:space="0"/>
              <w:bottom w:val="single" w:color="000000" w:sz="4" w:space="0"/>
              <w:right w:val="single" w:color="000000" w:sz="4" w:space="0"/>
            </w:tcBorders>
            <w:noWrap/>
            <w:vAlign w:val="center"/>
          </w:tcPr>
          <w:p w14:paraId="50046CD7">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20"/>
                <w:szCs w:val="20"/>
                <w:u w:val="none"/>
              </w:rPr>
            </w:pPr>
            <w:r>
              <w:rPr>
                <w:rFonts w:hint="eastAsia" w:ascii="宋体" w:hAnsi="宋体" w:eastAsia="宋体" w:cs="宋体"/>
                <w:i w:val="0"/>
                <w:iCs w:val="0"/>
                <w:color w:val="000000"/>
                <w:kern w:val="0"/>
                <w:sz w:val="18"/>
                <w:szCs w:val="18"/>
                <w:u w:val="none"/>
                <w:lang w:val="en-US" w:eastAsia="zh-CN" w:bidi="ar"/>
              </w:rPr>
              <w:t>套</w:t>
            </w:r>
          </w:p>
        </w:tc>
        <w:tc>
          <w:tcPr>
            <w:tcW w:w="648" w:type="dxa"/>
            <w:tcBorders>
              <w:top w:val="single" w:color="000000" w:sz="4" w:space="0"/>
              <w:left w:val="single" w:color="000000" w:sz="4" w:space="0"/>
              <w:bottom w:val="single" w:color="000000" w:sz="4" w:space="0"/>
              <w:right w:val="single" w:color="000000" w:sz="4" w:space="0"/>
            </w:tcBorders>
            <w:noWrap/>
            <w:vAlign w:val="center"/>
          </w:tcPr>
          <w:p w14:paraId="1FC12839">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20"/>
                <w:szCs w:val="20"/>
                <w:u w:val="none"/>
              </w:rPr>
            </w:pPr>
            <w:r>
              <w:rPr>
                <w:rFonts w:hint="default" w:ascii="Times New Roman" w:hAnsi="Times New Roman" w:eastAsia="宋体" w:cs="Times New Roman"/>
                <w:i w:val="0"/>
                <w:iCs w:val="0"/>
                <w:color w:val="000000"/>
                <w:kern w:val="0"/>
                <w:sz w:val="18"/>
                <w:szCs w:val="18"/>
                <w:u w:val="none"/>
                <w:lang w:val="en-US" w:eastAsia="zh-CN" w:bidi="ar"/>
              </w:rPr>
              <w:t xml:space="preserve">1 </w:t>
            </w:r>
          </w:p>
        </w:tc>
        <w:tc>
          <w:tcPr>
            <w:tcW w:w="1487" w:type="dxa"/>
            <w:tcBorders>
              <w:top w:val="single" w:color="000000" w:sz="4" w:space="0"/>
              <w:left w:val="single" w:color="000000" w:sz="4" w:space="0"/>
              <w:bottom w:val="single" w:color="000000" w:sz="4" w:space="0"/>
              <w:right w:val="single" w:color="000000" w:sz="4" w:space="0"/>
            </w:tcBorders>
            <w:noWrap/>
            <w:vAlign w:val="center"/>
          </w:tcPr>
          <w:p w14:paraId="513D9745">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20"/>
                <w:szCs w:val="20"/>
                <w:u w:val="none"/>
              </w:rPr>
            </w:pPr>
            <w:r>
              <w:rPr>
                <w:rFonts w:hint="default" w:ascii="Times New Roman" w:hAnsi="Times New Roman" w:eastAsia="宋体" w:cs="Times New Roman"/>
                <w:i w:val="0"/>
                <w:iCs w:val="0"/>
                <w:color w:val="000000"/>
                <w:kern w:val="0"/>
                <w:sz w:val="18"/>
                <w:szCs w:val="18"/>
                <w:u w:val="none"/>
                <w:lang w:val="en-US" w:eastAsia="zh-CN" w:bidi="ar"/>
              </w:rPr>
              <w:t xml:space="preserve">27.00 </w:t>
            </w:r>
          </w:p>
        </w:tc>
        <w:tc>
          <w:tcPr>
            <w:tcW w:w="2977" w:type="dxa"/>
            <w:tcBorders>
              <w:top w:val="single" w:color="000000" w:sz="4" w:space="0"/>
              <w:left w:val="single" w:color="000000" w:sz="4" w:space="0"/>
              <w:bottom w:val="single" w:color="000000" w:sz="4" w:space="0"/>
              <w:right w:val="single" w:color="000000" w:sz="4" w:space="0"/>
            </w:tcBorders>
            <w:noWrap/>
            <w:vAlign w:val="center"/>
          </w:tcPr>
          <w:p w14:paraId="250BEC6B">
            <w:pPr>
              <w:spacing w:line="240" w:lineRule="auto"/>
              <w:ind w:firstLine="0" w:firstLineChars="0"/>
              <w:jc w:val="center"/>
              <w:rPr>
                <w:rFonts w:hint="eastAsia" w:ascii="Times New Roman" w:hAnsi="Times New Roman" w:eastAsia="宋体" w:cs="Times New Roman"/>
                <w:i w:val="0"/>
                <w:iCs w:val="0"/>
                <w:color w:val="000000"/>
                <w:sz w:val="18"/>
                <w:szCs w:val="18"/>
                <w:u w:val="none"/>
                <w:lang w:val="en-US" w:eastAsia="zh-CN"/>
              </w:rPr>
            </w:pPr>
          </w:p>
        </w:tc>
      </w:tr>
      <w:tr w14:paraId="6DA73BA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4" w:hRule="atLeast"/>
        </w:trPr>
        <w:tc>
          <w:tcPr>
            <w:tcW w:w="322" w:type="pct"/>
            <w:tcBorders>
              <w:top w:val="single" w:color="000000" w:sz="4" w:space="0"/>
              <w:left w:val="single" w:color="000000" w:sz="4" w:space="0"/>
              <w:bottom w:val="single" w:color="000000" w:sz="4" w:space="0"/>
              <w:right w:val="single" w:color="000000" w:sz="4" w:space="0"/>
            </w:tcBorders>
            <w:noWrap/>
            <w:vAlign w:val="center"/>
          </w:tcPr>
          <w:p w14:paraId="2E39BD35">
            <w:pPr>
              <w:spacing w:line="240" w:lineRule="auto"/>
              <w:ind w:firstLine="0" w:firstLineChars="0"/>
              <w:jc w:val="center"/>
              <w:rPr>
                <w:rFonts w:hint="default" w:ascii="Times New Roman" w:hAnsi="Times New Roman" w:eastAsia="宋体" w:cs="Times New Roman"/>
                <w:i w:val="0"/>
                <w:iCs w:val="0"/>
                <w:color w:val="000000"/>
                <w:sz w:val="20"/>
                <w:szCs w:val="20"/>
                <w:u w:val="none"/>
              </w:rPr>
            </w:pPr>
          </w:p>
        </w:tc>
        <w:tc>
          <w:tcPr>
            <w:tcW w:w="1086" w:type="pct"/>
            <w:tcBorders>
              <w:top w:val="single" w:color="000000" w:sz="4" w:space="0"/>
              <w:left w:val="single" w:color="000000" w:sz="4" w:space="0"/>
              <w:bottom w:val="single" w:color="000000" w:sz="4" w:space="0"/>
              <w:right w:val="single" w:color="000000" w:sz="4" w:space="0"/>
            </w:tcBorders>
            <w:noWrap/>
            <w:vAlign w:val="center"/>
          </w:tcPr>
          <w:p w14:paraId="7BB9CF5D">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20"/>
                <w:szCs w:val="20"/>
                <w:u w:val="none"/>
              </w:rPr>
            </w:pPr>
            <w:r>
              <w:rPr>
                <w:rFonts w:hint="eastAsia" w:ascii="宋体" w:hAnsi="宋体" w:eastAsia="宋体" w:cs="宋体"/>
                <w:i w:val="0"/>
                <w:iCs w:val="0"/>
                <w:color w:val="000000"/>
                <w:kern w:val="0"/>
                <w:sz w:val="18"/>
                <w:szCs w:val="18"/>
                <w:u w:val="none"/>
                <w:lang w:val="en-US" w:eastAsia="zh-CN" w:bidi="ar"/>
              </w:rPr>
              <w:t>洗车设备</w:t>
            </w:r>
          </w:p>
        </w:tc>
        <w:tc>
          <w:tcPr>
            <w:tcW w:w="1008" w:type="dxa"/>
            <w:tcBorders>
              <w:top w:val="single" w:color="000000" w:sz="4" w:space="0"/>
              <w:left w:val="single" w:color="000000" w:sz="4" w:space="0"/>
              <w:bottom w:val="single" w:color="000000" w:sz="4" w:space="0"/>
              <w:right w:val="single" w:color="000000" w:sz="4" w:space="0"/>
            </w:tcBorders>
            <w:noWrap/>
            <w:vAlign w:val="center"/>
          </w:tcPr>
          <w:p w14:paraId="7B60CFFB">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20"/>
                <w:szCs w:val="20"/>
                <w:u w:val="none"/>
              </w:rPr>
            </w:pPr>
            <w:r>
              <w:rPr>
                <w:rFonts w:hint="eastAsia" w:ascii="宋体" w:hAnsi="宋体" w:eastAsia="宋体" w:cs="宋体"/>
                <w:i w:val="0"/>
                <w:iCs w:val="0"/>
                <w:color w:val="000000"/>
                <w:kern w:val="0"/>
                <w:sz w:val="18"/>
                <w:szCs w:val="18"/>
                <w:u w:val="none"/>
                <w:lang w:val="en-US" w:eastAsia="zh-CN" w:bidi="ar"/>
              </w:rPr>
              <w:t>套</w:t>
            </w:r>
          </w:p>
        </w:tc>
        <w:tc>
          <w:tcPr>
            <w:tcW w:w="648" w:type="dxa"/>
            <w:tcBorders>
              <w:top w:val="single" w:color="000000" w:sz="4" w:space="0"/>
              <w:left w:val="single" w:color="000000" w:sz="4" w:space="0"/>
              <w:bottom w:val="single" w:color="000000" w:sz="4" w:space="0"/>
              <w:right w:val="single" w:color="000000" w:sz="4" w:space="0"/>
            </w:tcBorders>
            <w:noWrap/>
            <w:vAlign w:val="center"/>
          </w:tcPr>
          <w:p w14:paraId="51B9B0E4">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20"/>
                <w:szCs w:val="20"/>
                <w:u w:val="none"/>
              </w:rPr>
            </w:pPr>
            <w:r>
              <w:rPr>
                <w:rFonts w:hint="default" w:ascii="Times New Roman" w:hAnsi="Times New Roman" w:eastAsia="宋体" w:cs="Times New Roman"/>
                <w:i w:val="0"/>
                <w:iCs w:val="0"/>
                <w:color w:val="000000"/>
                <w:kern w:val="0"/>
                <w:sz w:val="18"/>
                <w:szCs w:val="18"/>
                <w:u w:val="none"/>
                <w:lang w:val="en-US" w:eastAsia="zh-CN" w:bidi="ar"/>
              </w:rPr>
              <w:t xml:space="preserve">1 </w:t>
            </w:r>
          </w:p>
        </w:tc>
        <w:tc>
          <w:tcPr>
            <w:tcW w:w="1487" w:type="dxa"/>
            <w:tcBorders>
              <w:top w:val="single" w:color="000000" w:sz="4" w:space="0"/>
              <w:left w:val="single" w:color="000000" w:sz="4" w:space="0"/>
              <w:bottom w:val="single" w:color="000000" w:sz="4" w:space="0"/>
              <w:right w:val="single" w:color="000000" w:sz="4" w:space="0"/>
            </w:tcBorders>
            <w:noWrap/>
            <w:vAlign w:val="center"/>
          </w:tcPr>
          <w:p w14:paraId="4DD6FD87">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20"/>
                <w:szCs w:val="20"/>
                <w:u w:val="none"/>
              </w:rPr>
            </w:pPr>
            <w:r>
              <w:rPr>
                <w:rFonts w:hint="default" w:ascii="Times New Roman" w:hAnsi="Times New Roman" w:eastAsia="宋体" w:cs="Times New Roman"/>
                <w:i w:val="0"/>
                <w:iCs w:val="0"/>
                <w:color w:val="000000"/>
                <w:kern w:val="0"/>
                <w:sz w:val="18"/>
                <w:szCs w:val="18"/>
                <w:u w:val="none"/>
                <w:lang w:val="en-US" w:eastAsia="zh-CN" w:bidi="ar"/>
              </w:rPr>
              <w:t xml:space="preserve">28.00 </w:t>
            </w:r>
          </w:p>
        </w:tc>
        <w:tc>
          <w:tcPr>
            <w:tcW w:w="2977" w:type="dxa"/>
            <w:tcBorders>
              <w:top w:val="single" w:color="000000" w:sz="4" w:space="0"/>
              <w:left w:val="single" w:color="000000" w:sz="4" w:space="0"/>
              <w:bottom w:val="single" w:color="000000" w:sz="4" w:space="0"/>
              <w:right w:val="single" w:color="000000" w:sz="4" w:space="0"/>
            </w:tcBorders>
            <w:noWrap/>
            <w:vAlign w:val="center"/>
          </w:tcPr>
          <w:p w14:paraId="4541F052">
            <w:pPr>
              <w:keepNext w:val="0"/>
              <w:keepLines w:val="0"/>
              <w:widowControl/>
              <w:suppressLineNumbers w:val="0"/>
              <w:spacing w:line="240" w:lineRule="auto"/>
              <w:ind w:firstLine="0" w:firstLineChars="0"/>
              <w:jc w:val="center"/>
              <w:textAlignment w:val="center"/>
              <w:rPr>
                <w:rFonts w:hint="eastAsia" w:ascii="Times New Roman" w:hAnsi="Times New Roman" w:eastAsia="宋体" w:cs="Times New Roman"/>
                <w:i w:val="0"/>
                <w:iCs w:val="0"/>
                <w:color w:val="000000"/>
                <w:sz w:val="18"/>
                <w:szCs w:val="18"/>
                <w:u w:val="none"/>
                <w:lang w:val="en-US" w:eastAsia="zh-CN"/>
              </w:rPr>
            </w:pPr>
            <w:r>
              <w:rPr>
                <w:rFonts w:hint="eastAsia" w:ascii="宋体" w:hAnsi="宋体" w:eastAsia="宋体" w:cs="宋体"/>
                <w:i w:val="0"/>
                <w:iCs w:val="0"/>
                <w:color w:val="000000"/>
                <w:kern w:val="0"/>
                <w:sz w:val="18"/>
                <w:szCs w:val="18"/>
                <w:u w:val="none"/>
                <w:lang w:val="en-US" w:eastAsia="zh-CN" w:bidi="ar"/>
              </w:rPr>
              <w:t>可清洗总质量</w:t>
            </w:r>
            <w:r>
              <w:rPr>
                <w:rFonts w:hint="default" w:ascii="Times New Roman" w:hAnsi="Times New Roman" w:eastAsia="宋体" w:cs="Times New Roman"/>
                <w:i w:val="0"/>
                <w:iCs w:val="0"/>
                <w:color w:val="000000"/>
                <w:kern w:val="0"/>
                <w:sz w:val="18"/>
                <w:szCs w:val="18"/>
                <w:u w:val="none"/>
                <w:lang w:val="en-US" w:eastAsia="zh-CN" w:bidi="ar"/>
              </w:rPr>
              <w:t>31</w:t>
            </w:r>
            <w:r>
              <w:rPr>
                <w:rFonts w:hint="eastAsia" w:ascii="宋体" w:hAnsi="宋体" w:eastAsia="宋体" w:cs="宋体"/>
                <w:i w:val="0"/>
                <w:iCs w:val="0"/>
                <w:color w:val="000000"/>
                <w:kern w:val="0"/>
                <w:sz w:val="18"/>
                <w:szCs w:val="18"/>
                <w:u w:val="none"/>
                <w:lang w:val="en-US" w:eastAsia="zh-CN" w:bidi="ar"/>
              </w:rPr>
              <w:t>吨勾臂车等多种车型</w:t>
            </w:r>
          </w:p>
        </w:tc>
      </w:tr>
      <w:tr w14:paraId="3AB3F24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4" w:hRule="atLeast"/>
        </w:trPr>
        <w:tc>
          <w:tcPr>
            <w:tcW w:w="322" w:type="pct"/>
            <w:tcBorders>
              <w:top w:val="single" w:color="000000" w:sz="4" w:space="0"/>
              <w:left w:val="single" w:color="000000" w:sz="4" w:space="0"/>
              <w:bottom w:val="single" w:color="000000" w:sz="4" w:space="0"/>
              <w:right w:val="single" w:color="000000" w:sz="4" w:space="0"/>
            </w:tcBorders>
            <w:noWrap/>
            <w:vAlign w:val="center"/>
          </w:tcPr>
          <w:p w14:paraId="70C7B332">
            <w:pPr>
              <w:spacing w:line="240" w:lineRule="auto"/>
              <w:ind w:firstLine="0" w:firstLineChars="0"/>
              <w:jc w:val="center"/>
              <w:rPr>
                <w:rFonts w:hint="default" w:ascii="Times New Roman" w:hAnsi="Times New Roman" w:eastAsia="宋体" w:cs="Times New Roman"/>
                <w:i w:val="0"/>
                <w:iCs w:val="0"/>
                <w:color w:val="000000"/>
                <w:sz w:val="20"/>
                <w:szCs w:val="20"/>
                <w:u w:val="none"/>
              </w:rPr>
            </w:pPr>
          </w:p>
        </w:tc>
        <w:tc>
          <w:tcPr>
            <w:tcW w:w="1086" w:type="pct"/>
            <w:tcBorders>
              <w:top w:val="single" w:color="000000" w:sz="4" w:space="0"/>
              <w:left w:val="single" w:color="000000" w:sz="4" w:space="0"/>
              <w:bottom w:val="single" w:color="000000" w:sz="4" w:space="0"/>
              <w:right w:val="single" w:color="000000" w:sz="4" w:space="0"/>
            </w:tcBorders>
            <w:noWrap/>
            <w:vAlign w:val="center"/>
          </w:tcPr>
          <w:p w14:paraId="76E861F9">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20"/>
                <w:szCs w:val="20"/>
                <w:u w:val="none"/>
              </w:rPr>
            </w:pPr>
            <w:r>
              <w:rPr>
                <w:rFonts w:hint="eastAsia" w:ascii="宋体" w:hAnsi="宋体" w:eastAsia="宋体" w:cs="宋体"/>
                <w:i w:val="0"/>
                <w:iCs w:val="0"/>
                <w:color w:val="000000"/>
                <w:kern w:val="0"/>
                <w:sz w:val="18"/>
                <w:szCs w:val="18"/>
                <w:u w:val="none"/>
                <w:lang w:val="en-US" w:eastAsia="zh-CN" w:bidi="ar"/>
              </w:rPr>
              <w:t>充电设施</w:t>
            </w:r>
          </w:p>
        </w:tc>
        <w:tc>
          <w:tcPr>
            <w:tcW w:w="1008" w:type="dxa"/>
            <w:tcBorders>
              <w:top w:val="single" w:color="000000" w:sz="4" w:space="0"/>
              <w:left w:val="single" w:color="000000" w:sz="4" w:space="0"/>
              <w:bottom w:val="single" w:color="000000" w:sz="4" w:space="0"/>
              <w:right w:val="single" w:color="000000" w:sz="4" w:space="0"/>
            </w:tcBorders>
            <w:noWrap/>
            <w:vAlign w:val="center"/>
          </w:tcPr>
          <w:p w14:paraId="1AB1CB25">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20"/>
                <w:szCs w:val="20"/>
                <w:u w:val="none"/>
              </w:rPr>
            </w:pPr>
            <w:r>
              <w:rPr>
                <w:rFonts w:hint="eastAsia" w:ascii="宋体" w:hAnsi="宋体" w:eastAsia="宋体" w:cs="宋体"/>
                <w:i w:val="0"/>
                <w:iCs w:val="0"/>
                <w:color w:val="000000"/>
                <w:kern w:val="0"/>
                <w:sz w:val="18"/>
                <w:szCs w:val="18"/>
                <w:u w:val="none"/>
                <w:lang w:val="en-US" w:eastAsia="zh-CN" w:bidi="ar"/>
              </w:rPr>
              <w:t>套</w:t>
            </w:r>
          </w:p>
        </w:tc>
        <w:tc>
          <w:tcPr>
            <w:tcW w:w="648" w:type="dxa"/>
            <w:tcBorders>
              <w:top w:val="single" w:color="000000" w:sz="4" w:space="0"/>
              <w:left w:val="single" w:color="000000" w:sz="4" w:space="0"/>
              <w:bottom w:val="single" w:color="000000" w:sz="4" w:space="0"/>
              <w:right w:val="single" w:color="000000" w:sz="4" w:space="0"/>
            </w:tcBorders>
            <w:noWrap/>
            <w:vAlign w:val="center"/>
          </w:tcPr>
          <w:p w14:paraId="77FACD8C">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20"/>
                <w:szCs w:val="20"/>
                <w:u w:val="none"/>
              </w:rPr>
            </w:pPr>
            <w:r>
              <w:rPr>
                <w:rFonts w:hint="default" w:ascii="Times New Roman" w:hAnsi="Times New Roman" w:eastAsia="宋体" w:cs="Times New Roman"/>
                <w:i w:val="0"/>
                <w:iCs w:val="0"/>
                <w:color w:val="000000"/>
                <w:kern w:val="0"/>
                <w:sz w:val="18"/>
                <w:szCs w:val="18"/>
                <w:u w:val="none"/>
                <w:lang w:val="en-US" w:eastAsia="zh-CN" w:bidi="ar"/>
              </w:rPr>
              <w:t xml:space="preserve">5 </w:t>
            </w:r>
          </w:p>
        </w:tc>
        <w:tc>
          <w:tcPr>
            <w:tcW w:w="1487" w:type="dxa"/>
            <w:tcBorders>
              <w:top w:val="single" w:color="000000" w:sz="4" w:space="0"/>
              <w:left w:val="single" w:color="000000" w:sz="4" w:space="0"/>
              <w:bottom w:val="single" w:color="000000" w:sz="4" w:space="0"/>
              <w:right w:val="single" w:color="000000" w:sz="4" w:space="0"/>
            </w:tcBorders>
            <w:noWrap/>
            <w:vAlign w:val="center"/>
          </w:tcPr>
          <w:p w14:paraId="302A30EE">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20"/>
                <w:szCs w:val="20"/>
                <w:u w:val="none"/>
              </w:rPr>
            </w:pPr>
            <w:r>
              <w:rPr>
                <w:rFonts w:hint="default" w:ascii="Times New Roman" w:hAnsi="Times New Roman" w:eastAsia="宋体" w:cs="Times New Roman"/>
                <w:i w:val="0"/>
                <w:iCs w:val="0"/>
                <w:color w:val="000000"/>
                <w:kern w:val="0"/>
                <w:sz w:val="18"/>
                <w:szCs w:val="18"/>
                <w:u w:val="none"/>
                <w:lang w:val="en-US" w:eastAsia="zh-CN" w:bidi="ar"/>
              </w:rPr>
              <w:t xml:space="preserve">44.00 </w:t>
            </w:r>
          </w:p>
        </w:tc>
        <w:tc>
          <w:tcPr>
            <w:tcW w:w="2977" w:type="dxa"/>
            <w:tcBorders>
              <w:top w:val="single" w:color="000000" w:sz="4" w:space="0"/>
              <w:left w:val="single" w:color="000000" w:sz="4" w:space="0"/>
              <w:bottom w:val="single" w:color="000000" w:sz="4" w:space="0"/>
              <w:right w:val="single" w:color="000000" w:sz="4" w:space="0"/>
            </w:tcBorders>
            <w:noWrap/>
            <w:vAlign w:val="center"/>
          </w:tcPr>
          <w:p w14:paraId="38D1B763">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快充</w:t>
            </w:r>
          </w:p>
        </w:tc>
      </w:tr>
      <w:tr w14:paraId="4CB5AF9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4" w:hRule="atLeast"/>
        </w:trPr>
        <w:tc>
          <w:tcPr>
            <w:tcW w:w="322" w:type="pct"/>
            <w:tcBorders>
              <w:top w:val="single" w:color="000000" w:sz="4" w:space="0"/>
              <w:left w:val="single" w:color="000000" w:sz="4" w:space="0"/>
              <w:bottom w:val="single" w:color="000000" w:sz="4" w:space="0"/>
              <w:right w:val="single" w:color="000000" w:sz="4" w:space="0"/>
            </w:tcBorders>
            <w:noWrap/>
            <w:vAlign w:val="center"/>
          </w:tcPr>
          <w:p w14:paraId="6F8A7752">
            <w:pPr>
              <w:spacing w:line="240" w:lineRule="auto"/>
              <w:ind w:firstLine="0" w:firstLineChars="0"/>
              <w:jc w:val="center"/>
              <w:rPr>
                <w:rFonts w:hint="default" w:ascii="Times New Roman" w:hAnsi="Times New Roman" w:eastAsia="宋体" w:cs="Times New Roman"/>
                <w:i w:val="0"/>
                <w:iCs w:val="0"/>
                <w:color w:val="000000"/>
                <w:sz w:val="20"/>
                <w:szCs w:val="20"/>
                <w:u w:val="none"/>
              </w:rPr>
            </w:pPr>
          </w:p>
        </w:tc>
        <w:tc>
          <w:tcPr>
            <w:tcW w:w="1086" w:type="pct"/>
            <w:tcBorders>
              <w:top w:val="single" w:color="000000" w:sz="4" w:space="0"/>
              <w:left w:val="single" w:color="000000" w:sz="4" w:space="0"/>
              <w:bottom w:val="single" w:color="000000" w:sz="4" w:space="0"/>
              <w:right w:val="single" w:color="000000" w:sz="4" w:space="0"/>
            </w:tcBorders>
            <w:noWrap/>
            <w:vAlign w:val="center"/>
          </w:tcPr>
          <w:p w14:paraId="35503D0A">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20"/>
                <w:szCs w:val="20"/>
                <w:u w:val="none"/>
              </w:rPr>
            </w:pPr>
            <w:r>
              <w:rPr>
                <w:rFonts w:hint="eastAsia" w:ascii="宋体" w:hAnsi="宋体" w:eastAsia="宋体" w:cs="宋体"/>
                <w:i w:val="0"/>
                <w:iCs w:val="0"/>
                <w:color w:val="000000"/>
                <w:kern w:val="0"/>
                <w:sz w:val="18"/>
                <w:szCs w:val="18"/>
                <w:u w:val="none"/>
                <w:lang w:val="en-US" w:eastAsia="zh-CN" w:bidi="ar"/>
              </w:rPr>
              <w:t>柴油发电机</w:t>
            </w:r>
          </w:p>
        </w:tc>
        <w:tc>
          <w:tcPr>
            <w:tcW w:w="1008" w:type="dxa"/>
            <w:tcBorders>
              <w:top w:val="single" w:color="000000" w:sz="4" w:space="0"/>
              <w:left w:val="single" w:color="000000" w:sz="4" w:space="0"/>
              <w:bottom w:val="single" w:color="000000" w:sz="4" w:space="0"/>
              <w:right w:val="single" w:color="000000" w:sz="4" w:space="0"/>
            </w:tcBorders>
            <w:noWrap/>
            <w:vAlign w:val="center"/>
          </w:tcPr>
          <w:p w14:paraId="07380A50">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20"/>
                <w:szCs w:val="20"/>
                <w:u w:val="none"/>
              </w:rPr>
            </w:pPr>
            <w:r>
              <w:rPr>
                <w:rFonts w:hint="eastAsia" w:ascii="宋体" w:hAnsi="宋体" w:eastAsia="宋体" w:cs="宋体"/>
                <w:i w:val="0"/>
                <w:iCs w:val="0"/>
                <w:color w:val="000000"/>
                <w:kern w:val="0"/>
                <w:sz w:val="18"/>
                <w:szCs w:val="18"/>
                <w:u w:val="none"/>
                <w:lang w:val="en-US" w:eastAsia="zh-CN" w:bidi="ar"/>
              </w:rPr>
              <w:t>台</w:t>
            </w:r>
          </w:p>
        </w:tc>
        <w:tc>
          <w:tcPr>
            <w:tcW w:w="648" w:type="dxa"/>
            <w:tcBorders>
              <w:top w:val="single" w:color="000000" w:sz="4" w:space="0"/>
              <w:left w:val="single" w:color="000000" w:sz="4" w:space="0"/>
              <w:bottom w:val="single" w:color="000000" w:sz="4" w:space="0"/>
              <w:right w:val="single" w:color="000000" w:sz="4" w:space="0"/>
            </w:tcBorders>
            <w:noWrap/>
            <w:vAlign w:val="center"/>
          </w:tcPr>
          <w:p w14:paraId="41B685B7">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20"/>
                <w:szCs w:val="20"/>
                <w:u w:val="none"/>
              </w:rPr>
            </w:pPr>
            <w:r>
              <w:rPr>
                <w:rFonts w:hint="default" w:ascii="Times New Roman" w:hAnsi="Times New Roman" w:eastAsia="宋体" w:cs="Times New Roman"/>
                <w:i w:val="0"/>
                <w:iCs w:val="0"/>
                <w:color w:val="000000"/>
                <w:kern w:val="0"/>
                <w:sz w:val="18"/>
                <w:szCs w:val="18"/>
                <w:u w:val="none"/>
                <w:lang w:val="en-US" w:eastAsia="zh-CN" w:bidi="ar"/>
              </w:rPr>
              <w:t xml:space="preserve">1 </w:t>
            </w:r>
          </w:p>
        </w:tc>
        <w:tc>
          <w:tcPr>
            <w:tcW w:w="1487" w:type="dxa"/>
            <w:tcBorders>
              <w:top w:val="single" w:color="000000" w:sz="4" w:space="0"/>
              <w:left w:val="single" w:color="000000" w:sz="4" w:space="0"/>
              <w:bottom w:val="single" w:color="000000" w:sz="4" w:space="0"/>
              <w:right w:val="single" w:color="000000" w:sz="4" w:space="0"/>
            </w:tcBorders>
            <w:noWrap/>
            <w:vAlign w:val="center"/>
          </w:tcPr>
          <w:p w14:paraId="22D3A561">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20"/>
                <w:szCs w:val="20"/>
                <w:u w:val="none"/>
              </w:rPr>
            </w:pPr>
            <w:r>
              <w:rPr>
                <w:rFonts w:hint="default" w:ascii="Times New Roman" w:hAnsi="Times New Roman" w:eastAsia="宋体" w:cs="Times New Roman"/>
                <w:i w:val="0"/>
                <w:iCs w:val="0"/>
                <w:color w:val="000000"/>
                <w:kern w:val="0"/>
                <w:sz w:val="18"/>
                <w:szCs w:val="18"/>
                <w:u w:val="none"/>
                <w:lang w:val="en-US" w:eastAsia="zh-CN" w:bidi="ar"/>
              </w:rPr>
              <w:t xml:space="preserve">22.00 </w:t>
            </w:r>
          </w:p>
        </w:tc>
        <w:tc>
          <w:tcPr>
            <w:tcW w:w="2977" w:type="dxa"/>
            <w:tcBorders>
              <w:top w:val="single" w:color="000000" w:sz="4" w:space="0"/>
              <w:left w:val="single" w:color="000000" w:sz="4" w:space="0"/>
              <w:bottom w:val="single" w:color="000000" w:sz="4" w:space="0"/>
              <w:right w:val="single" w:color="000000" w:sz="4" w:space="0"/>
            </w:tcBorders>
            <w:noWrap/>
            <w:vAlign w:val="center"/>
          </w:tcPr>
          <w:p w14:paraId="76D83115">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color w:val="000000"/>
                <w:kern w:val="0"/>
                <w:sz w:val="18"/>
                <w:szCs w:val="18"/>
                <w:u w:val="none"/>
                <w:lang w:val="en-US" w:eastAsia="zh-CN" w:bidi="ar"/>
              </w:rPr>
              <w:t>100kw</w:t>
            </w:r>
          </w:p>
        </w:tc>
      </w:tr>
      <w:tr w14:paraId="062FB12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4" w:hRule="atLeast"/>
        </w:trPr>
        <w:tc>
          <w:tcPr>
            <w:tcW w:w="322" w:type="pct"/>
            <w:tcBorders>
              <w:top w:val="single" w:color="000000" w:sz="4" w:space="0"/>
              <w:left w:val="single" w:color="000000" w:sz="4" w:space="0"/>
              <w:bottom w:val="single" w:color="000000" w:sz="4" w:space="0"/>
              <w:right w:val="single" w:color="000000" w:sz="4" w:space="0"/>
            </w:tcBorders>
            <w:noWrap/>
            <w:vAlign w:val="center"/>
          </w:tcPr>
          <w:p w14:paraId="541CE56F">
            <w:pPr>
              <w:spacing w:line="240" w:lineRule="auto"/>
              <w:ind w:firstLine="0" w:firstLineChars="0"/>
              <w:jc w:val="center"/>
              <w:rPr>
                <w:rFonts w:hint="default" w:ascii="Times New Roman" w:hAnsi="Times New Roman" w:eastAsia="宋体" w:cs="Times New Roman"/>
                <w:i w:val="0"/>
                <w:iCs w:val="0"/>
                <w:color w:val="000000"/>
                <w:sz w:val="20"/>
                <w:szCs w:val="20"/>
                <w:u w:val="none"/>
              </w:rPr>
            </w:pPr>
          </w:p>
        </w:tc>
        <w:tc>
          <w:tcPr>
            <w:tcW w:w="1086" w:type="pct"/>
            <w:tcBorders>
              <w:top w:val="single" w:color="000000" w:sz="4" w:space="0"/>
              <w:left w:val="single" w:color="000000" w:sz="4" w:space="0"/>
              <w:bottom w:val="single" w:color="000000" w:sz="4" w:space="0"/>
              <w:right w:val="single" w:color="000000" w:sz="4" w:space="0"/>
            </w:tcBorders>
            <w:noWrap/>
            <w:vAlign w:val="center"/>
          </w:tcPr>
          <w:p w14:paraId="55B23109">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20"/>
                <w:szCs w:val="20"/>
                <w:u w:val="none"/>
              </w:rPr>
            </w:pPr>
            <w:r>
              <w:rPr>
                <w:rFonts w:hint="eastAsia" w:ascii="宋体" w:hAnsi="宋体" w:eastAsia="宋体" w:cs="宋体"/>
                <w:i w:val="0"/>
                <w:iCs w:val="0"/>
                <w:color w:val="000000"/>
                <w:kern w:val="0"/>
                <w:sz w:val="18"/>
                <w:szCs w:val="18"/>
                <w:u w:val="none"/>
                <w:lang w:val="en-US" w:eastAsia="zh-CN" w:bidi="ar"/>
              </w:rPr>
              <w:t>皮卡</w:t>
            </w:r>
          </w:p>
        </w:tc>
        <w:tc>
          <w:tcPr>
            <w:tcW w:w="1008" w:type="dxa"/>
            <w:tcBorders>
              <w:top w:val="single" w:color="000000" w:sz="4" w:space="0"/>
              <w:left w:val="single" w:color="000000" w:sz="4" w:space="0"/>
              <w:bottom w:val="single" w:color="000000" w:sz="4" w:space="0"/>
              <w:right w:val="single" w:color="000000" w:sz="4" w:space="0"/>
            </w:tcBorders>
            <w:noWrap/>
            <w:vAlign w:val="center"/>
          </w:tcPr>
          <w:p w14:paraId="0F33C6CA">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20"/>
                <w:szCs w:val="20"/>
                <w:u w:val="none"/>
              </w:rPr>
            </w:pPr>
            <w:r>
              <w:rPr>
                <w:rFonts w:hint="eastAsia" w:ascii="宋体" w:hAnsi="宋体" w:eastAsia="宋体" w:cs="宋体"/>
                <w:i w:val="0"/>
                <w:iCs w:val="0"/>
                <w:color w:val="000000"/>
                <w:kern w:val="0"/>
                <w:sz w:val="18"/>
                <w:szCs w:val="18"/>
                <w:u w:val="none"/>
                <w:lang w:val="en-US" w:eastAsia="zh-CN" w:bidi="ar"/>
              </w:rPr>
              <w:t>辆</w:t>
            </w:r>
          </w:p>
        </w:tc>
        <w:tc>
          <w:tcPr>
            <w:tcW w:w="648" w:type="dxa"/>
            <w:tcBorders>
              <w:top w:val="single" w:color="000000" w:sz="4" w:space="0"/>
              <w:left w:val="single" w:color="000000" w:sz="4" w:space="0"/>
              <w:bottom w:val="single" w:color="000000" w:sz="4" w:space="0"/>
              <w:right w:val="single" w:color="000000" w:sz="4" w:space="0"/>
            </w:tcBorders>
            <w:noWrap/>
            <w:vAlign w:val="center"/>
          </w:tcPr>
          <w:p w14:paraId="4590B158">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20"/>
                <w:szCs w:val="20"/>
                <w:u w:val="none"/>
              </w:rPr>
            </w:pPr>
            <w:r>
              <w:rPr>
                <w:rFonts w:hint="default" w:ascii="Times New Roman" w:hAnsi="Times New Roman" w:eastAsia="宋体" w:cs="Times New Roman"/>
                <w:i w:val="0"/>
                <w:iCs w:val="0"/>
                <w:color w:val="000000"/>
                <w:kern w:val="0"/>
                <w:sz w:val="18"/>
                <w:szCs w:val="18"/>
                <w:u w:val="none"/>
                <w:lang w:val="en-US" w:eastAsia="zh-CN" w:bidi="ar"/>
              </w:rPr>
              <w:t xml:space="preserve">1 </w:t>
            </w:r>
          </w:p>
        </w:tc>
        <w:tc>
          <w:tcPr>
            <w:tcW w:w="1487" w:type="dxa"/>
            <w:tcBorders>
              <w:top w:val="single" w:color="000000" w:sz="4" w:space="0"/>
              <w:left w:val="single" w:color="000000" w:sz="4" w:space="0"/>
              <w:bottom w:val="single" w:color="000000" w:sz="4" w:space="0"/>
              <w:right w:val="single" w:color="000000" w:sz="4" w:space="0"/>
            </w:tcBorders>
            <w:noWrap/>
            <w:vAlign w:val="center"/>
          </w:tcPr>
          <w:p w14:paraId="08AD4167">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20"/>
                <w:szCs w:val="20"/>
                <w:u w:val="none"/>
              </w:rPr>
            </w:pPr>
            <w:r>
              <w:rPr>
                <w:rFonts w:hint="default" w:ascii="Times New Roman" w:hAnsi="Times New Roman" w:eastAsia="宋体" w:cs="Times New Roman"/>
                <w:i w:val="0"/>
                <w:iCs w:val="0"/>
                <w:color w:val="000000"/>
                <w:kern w:val="0"/>
                <w:sz w:val="18"/>
                <w:szCs w:val="18"/>
                <w:u w:val="none"/>
                <w:lang w:val="en-US" w:eastAsia="zh-CN" w:bidi="ar"/>
              </w:rPr>
              <w:t xml:space="preserve">27.00 </w:t>
            </w:r>
          </w:p>
        </w:tc>
        <w:tc>
          <w:tcPr>
            <w:tcW w:w="2977" w:type="dxa"/>
            <w:tcBorders>
              <w:top w:val="single" w:color="000000" w:sz="4" w:space="0"/>
              <w:left w:val="single" w:color="000000" w:sz="4" w:space="0"/>
              <w:bottom w:val="single" w:color="000000" w:sz="4" w:space="0"/>
              <w:right w:val="single" w:color="000000" w:sz="4" w:space="0"/>
            </w:tcBorders>
            <w:noWrap/>
            <w:vAlign w:val="center"/>
          </w:tcPr>
          <w:p w14:paraId="02ED3067">
            <w:pPr>
              <w:spacing w:line="240" w:lineRule="auto"/>
              <w:ind w:firstLine="0" w:firstLineChars="0"/>
              <w:jc w:val="center"/>
              <w:rPr>
                <w:rFonts w:hint="eastAsia" w:ascii="宋体" w:hAnsi="宋体" w:eastAsia="宋体" w:cs="宋体"/>
                <w:i w:val="0"/>
                <w:iCs w:val="0"/>
                <w:color w:val="000000"/>
                <w:sz w:val="18"/>
                <w:szCs w:val="18"/>
                <w:u w:val="none"/>
              </w:rPr>
            </w:pPr>
          </w:p>
        </w:tc>
      </w:tr>
      <w:tr w14:paraId="433E7F2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4" w:hRule="atLeast"/>
        </w:trPr>
        <w:tc>
          <w:tcPr>
            <w:tcW w:w="322" w:type="pct"/>
            <w:tcBorders>
              <w:top w:val="single" w:color="000000" w:sz="4" w:space="0"/>
              <w:left w:val="single" w:color="000000" w:sz="4" w:space="0"/>
              <w:bottom w:val="single" w:color="000000" w:sz="4" w:space="0"/>
              <w:right w:val="single" w:color="000000" w:sz="4" w:space="0"/>
            </w:tcBorders>
            <w:noWrap/>
            <w:vAlign w:val="center"/>
          </w:tcPr>
          <w:p w14:paraId="598F14DD">
            <w:pPr>
              <w:spacing w:line="240" w:lineRule="auto"/>
              <w:ind w:firstLine="0" w:firstLineChars="0"/>
              <w:jc w:val="center"/>
              <w:rPr>
                <w:rFonts w:hint="eastAsia" w:ascii="宋体" w:hAnsi="宋体" w:eastAsia="宋体" w:cs="宋体"/>
                <w:b/>
                <w:bCs/>
                <w:i w:val="0"/>
                <w:iCs w:val="0"/>
                <w:color w:val="000000"/>
                <w:sz w:val="20"/>
                <w:szCs w:val="20"/>
                <w:u w:val="none"/>
              </w:rPr>
            </w:pPr>
          </w:p>
        </w:tc>
        <w:tc>
          <w:tcPr>
            <w:tcW w:w="1086" w:type="pct"/>
            <w:tcBorders>
              <w:top w:val="single" w:color="000000" w:sz="4" w:space="0"/>
              <w:left w:val="single" w:color="000000" w:sz="4" w:space="0"/>
              <w:bottom w:val="single" w:color="000000" w:sz="4" w:space="0"/>
              <w:right w:val="single" w:color="000000" w:sz="4" w:space="0"/>
            </w:tcBorders>
            <w:noWrap/>
            <w:vAlign w:val="center"/>
          </w:tcPr>
          <w:p w14:paraId="6B94B405">
            <w:pPr>
              <w:keepNext w:val="0"/>
              <w:keepLines w:val="0"/>
              <w:widowControl/>
              <w:suppressLineNumbers w:val="0"/>
              <w:spacing w:line="240" w:lineRule="auto"/>
              <w:ind w:firstLine="0" w:firstLineChars="0"/>
              <w:jc w:val="center"/>
              <w:textAlignment w:val="center"/>
              <w:rPr>
                <w:rFonts w:hint="eastAsia" w:ascii="宋体" w:hAnsi="宋体" w:eastAsia="宋体" w:cs="宋体"/>
                <w:b/>
                <w:bCs/>
                <w:i w:val="0"/>
                <w:iCs w:val="0"/>
                <w:color w:val="000000"/>
                <w:sz w:val="20"/>
                <w:szCs w:val="20"/>
                <w:u w:val="none"/>
              </w:rPr>
            </w:pPr>
            <w:r>
              <w:rPr>
                <w:rFonts w:hint="eastAsia" w:ascii="宋体" w:hAnsi="宋体" w:eastAsia="宋体" w:cs="宋体"/>
                <w:i w:val="0"/>
                <w:iCs w:val="0"/>
                <w:color w:val="000000"/>
                <w:kern w:val="0"/>
                <w:sz w:val="18"/>
                <w:szCs w:val="18"/>
                <w:u w:val="none"/>
                <w:lang w:val="en-US" w:eastAsia="zh-CN" w:bidi="ar"/>
              </w:rPr>
              <w:t>作业车</w:t>
            </w:r>
          </w:p>
        </w:tc>
        <w:tc>
          <w:tcPr>
            <w:tcW w:w="1008" w:type="dxa"/>
            <w:tcBorders>
              <w:top w:val="single" w:color="000000" w:sz="4" w:space="0"/>
              <w:left w:val="single" w:color="000000" w:sz="4" w:space="0"/>
              <w:bottom w:val="single" w:color="000000" w:sz="4" w:space="0"/>
              <w:right w:val="single" w:color="000000" w:sz="4" w:space="0"/>
            </w:tcBorders>
            <w:noWrap/>
            <w:vAlign w:val="center"/>
          </w:tcPr>
          <w:p w14:paraId="360CECB1">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b/>
                <w:bCs/>
                <w:i w:val="0"/>
                <w:iCs w:val="0"/>
                <w:color w:val="000000"/>
                <w:sz w:val="20"/>
                <w:szCs w:val="20"/>
                <w:u w:val="none"/>
              </w:rPr>
            </w:pPr>
            <w:r>
              <w:rPr>
                <w:rFonts w:hint="eastAsia" w:ascii="宋体" w:hAnsi="宋体" w:eastAsia="宋体" w:cs="宋体"/>
                <w:i w:val="0"/>
                <w:iCs w:val="0"/>
                <w:color w:val="000000"/>
                <w:kern w:val="0"/>
                <w:sz w:val="18"/>
                <w:szCs w:val="18"/>
                <w:u w:val="none"/>
                <w:lang w:val="en-US" w:eastAsia="zh-CN" w:bidi="ar"/>
              </w:rPr>
              <w:t>套</w:t>
            </w:r>
          </w:p>
        </w:tc>
        <w:tc>
          <w:tcPr>
            <w:tcW w:w="648" w:type="dxa"/>
            <w:tcBorders>
              <w:top w:val="single" w:color="000000" w:sz="4" w:space="0"/>
              <w:left w:val="single" w:color="000000" w:sz="4" w:space="0"/>
              <w:bottom w:val="single" w:color="000000" w:sz="4" w:space="0"/>
              <w:right w:val="single" w:color="000000" w:sz="4" w:space="0"/>
            </w:tcBorders>
            <w:noWrap/>
            <w:vAlign w:val="center"/>
          </w:tcPr>
          <w:p w14:paraId="3C5482E6">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b/>
                <w:bCs/>
                <w:i w:val="0"/>
                <w:iCs w:val="0"/>
                <w:color w:val="000000"/>
                <w:sz w:val="20"/>
                <w:szCs w:val="20"/>
                <w:u w:val="none"/>
              </w:rPr>
            </w:pPr>
            <w:r>
              <w:rPr>
                <w:rFonts w:hint="default" w:ascii="Times New Roman" w:hAnsi="Times New Roman" w:eastAsia="宋体" w:cs="Times New Roman"/>
                <w:i w:val="0"/>
                <w:iCs w:val="0"/>
                <w:color w:val="000000"/>
                <w:kern w:val="0"/>
                <w:sz w:val="18"/>
                <w:szCs w:val="18"/>
                <w:u w:val="none"/>
                <w:lang w:val="en-US" w:eastAsia="zh-CN" w:bidi="ar"/>
              </w:rPr>
              <w:t xml:space="preserve">1 </w:t>
            </w:r>
          </w:p>
        </w:tc>
        <w:tc>
          <w:tcPr>
            <w:tcW w:w="1487" w:type="dxa"/>
            <w:tcBorders>
              <w:top w:val="single" w:color="000000" w:sz="4" w:space="0"/>
              <w:left w:val="single" w:color="000000" w:sz="4" w:space="0"/>
              <w:bottom w:val="single" w:color="000000" w:sz="4" w:space="0"/>
              <w:right w:val="single" w:color="000000" w:sz="4" w:space="0"/>
            </w:tcBorders>
            <w:noWrap/>
            <w:vAlign w:val="center"/>
          </w:tcPr>
          <w:p w14:paraId="429BABE5">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b/>
                <w:bCs/>
                <w:i w:val="0"/>
                <w:iCs w:val="0"/>
                <w:color w:val="000000"/>
                <w:sz w:val="20"/>
                <w:szCs w:val="20"/>
                <w:u w:val="none"/>
              </w:rPr>
            </w:pPr>
            <w:r>
              <w:rPr>
                <w:rFonts w:hint="default" w:ascii="Times New Roman" w:hAnsi="Times New Roman" w:eastAsia="宋体" w:cs="Times New Roman"/>
                <w:i w:val="0"/>
                <w:iCs w:val="0"/>
                <w:color w:val="000000"/>
                <w:kern w:val="0"/>
                <w:sz w:val="18"/>
                <w:szCs w:val="18"/>
                <w:u w:val="none"/>
                <w:lang w:val="en-US" w:eastAsia="zh-CN" w:bidi="ar"/>
              </w:rPr>
              <w:t xml:space="preserve">27.00 </w:t>
            </w:r>
          </w:p>
        </w:tc>
        <w:tc>
          <w:tcPr>
            <w:tcW w:w="2977" w:type="dxa"/>
            <w:tcBorders>
              <w:top w:val="single" w:color="000000" w:sz="4" w:space="0"/>
              <w:left w:val="single" w:color="000000" w:sz="4" w:space="0"/>
              <w:bottom w:val="single" w:color="000000" w:sz="4" w:space="0"/>
              <w:right w:val="single" w:color="000000" w:sz="4" w:space="0"/>
            </w:tcBorders>
            <w:noWrap/>
            <w:vAlign w:val="center"/>
          </w:tcPr>
          <w:p w14:paraId="33CF9B22">
            <w:pPr>
              <w:spacing w:line="240" w:lineRule="auto"/>
              <w:ind w:firstLine="0" w:firstLineChars="0"/>
              <w:jc w:val="center"/>
              <w:rPr>
                <w:rFonts w:hint="default" w:ascii="Times New Roman" w:hAnsi="Times New Roman" w:eastAsia="宋体" w:cs="Times New Roman"/>
                <w:b/>
                <w:bCs/>
                <w:i w:val="0"/>
                <w:iCs w:val="0"/>
                <w:color w:val="000000"/>
                <w:sz w:val="18"/>
                <w:szCs w:val="18"/>
                <w:u w:val="none"/>
              </w:rPr>
            </w:pPr>
          </w:p>
        </w:tc>
      </w:tr>
      <w:tr w14:paraId="53E9676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4" w:hRule="atLeast"/>
        </w:trPr>
        <w:tc>
          <w:tcPr>
            <w:tcW w:w="322" w:type="pct"/>
            <w:tcBorders>
              <w:top w:val="single" w:color="000000" w:sz="4" w:space="0"/>
              <w:left w:val="single" w:color="000000" w:sz="4" w:space="0"/>
              <w:bottom w:val="single" w:color="000000" w:sz="4" w:space="0"/>
              <w:right w:val="single" w:color="000000" w:sz="4" w:space="0"/>
            </w:tcBorders>
            <w:noWrap/>
            <w:vAlign w:val="center"/>
          </w:tcPr>
          <w:p w14:paraId="0ABC48DC">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20"/>
                <w:szCs w:val="20"/>
                <w:u w:val="none"/>
              </w:rPr>
            </w:pPr>
            <w:r>
              <w:rPr>
                <w:rFonts w:hint="eastAsia" w:ascii="宋体" w:hAnsi="宋体" w:eastAsia="宋体" w:cs="宋体"/>
                <w:i w:val="0"/>
                <w:iCs w:val="0"/>
                <w:color w:val="000000"/>
                <w:kern w:val="0"/>
                <w:sz w:val="18"/>
                <w:szCs w:val="18"/>
                <w:u w:val="none"/>
                <w:lang w:val="en-US" w:eastAsia="zh-CN" w:bidi="ar"/>
              </w:rPr>
              <w:t>二</w:t>
            </w:r>
          </w:p>
        </w:tc>
        <w:tc>
          <w:tcPr>
            <w:tcW w:w="1086" w:type="pct"/>
            <w:tcBorders>
              <w:top w:val="single" w:color="000000" w:sz="4" w:space="0"/>
              <w:left w:val="single" w:color="000000" w:sz="4" w:space="0"/>
              <w:bottom w:val="single" w:color="000000" w:sz="4" w:space="0"/>
              <w:right w:val="single" w:color="000000" w:sz="4" w:space="0"/>
            </w:tcBorders>
            <w:noWrap w:val="0"/>
            <w:vAlign w:val="center"/>
          </w:tcPr>
          <w:p w14:paraId="588FEF3F">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20"/>
                <w:szCs w:val="20"/>
                <w:u w:val="none"/>
              </w:rPr>
            </w:pPr>
            <w:r>
              <w:rPr>
                <w:rFonts w:hint="eastAsia" w:ascii="宋体" w:hAnsi="宋体" w:eastAsia="宋体" w:cs="宋体"/>
                <w:i w:val="0"/>
                <w:iCs w:val="0"/>
                <w:color w:val="000000"/>
                <w:kern w:val="0"/>
                <w:sz w:val="18"/>
                <w:szCs w:val="18"/>
                <w:u w:val="none"/>
                <w:lang w:val="en-US" w:eastAsia="zh-CN" w:bidi="ar"/>
              </w:rPr>
              <w:t>大件垃圾分解设备</w:t>
            </w:r>
          </w:p>
        </w:tc>
        <w:tc>
          <w:tcPr>
            <w:tcW w:w="1008" w:type="dxa"/>
            <w:tcBorders>
              <w:top w:val="single" w:color="000000" w:sz="4" w:space="0"/>
              <w:left w:val="single" w:color="000000" w:sz="4" w:space="0"/>
              <w:bottom w:val="single" w:color="000000" w:sz="4" w:space="0"/>
              <w:right w:val="single" w:color="000000" w:sz="4" w:space="0"/>
            </w:tcBorders>
            <w:noWrap/>
            <w:vAlign w:val="center"/>
          </w:tcPr>
          <w:p w14:paraId="149A9B50">
            <w:pPr>
              <w:spacing w:line="240" w:lineRule="auto"/>
              <w:ind w:firstLine="0" w:firstLineChars="0"/>
              <w:jc w:val="center"/>
              <w:rPr>
                <w:rFonts w:hint="default" w:ascii="Times New Roman" w:hAnsi="Times New Roman" w:eastAsia="宋体" w:cs="Times New Roman"/>
                <w:i w:val="0"/>
                <w:iCs w:val="0"/>
                <w:color w:val="000000"/>
                <w:sz w:val="20"/>
                <w:szCs w:val="20"/>
                <w:u w:val="none"/>
              </w:rPr>
            </w:pPr>
          </w:p>
        </w:tc>
        <w:tc>
          <w:tcPr>
            <w:tcW w:w="648" w:type="dxa"/>
            <w:tcBorders>
              <w:top w:val="single" w:color="000000" w:sz="4" w:space="0"/>
              <w:left w:val="single" w:color="000000" w:sz="4" w:space="0"/>
              <w:bottom w:val="single" w:color="000000" w:sz="4" w:space="0"/>
              <w:right w:val="single" w:color="000000" w:sz="4" w:space="0"/>
            </w:tcBorders>
            <w:noWrap/>
            <w:vAlign w:val="center"/>
          </w:tcPr>
          <w:p w14:paraId="38289F30">
            <w:pPr>
              <w:spacing w:line="240" w:lineRule="auto"/>
              <w:ind w:firstLine="0" w:firstLineChars="0"/>
              <w:jc w:val="center"/>
              <w:rPr>
                <w:rFonts w:hint="default" w:ascii="Times New Roman" w:hAnsi="Times New Roman" w:eastAsia="宋体" w:cs="Times New Roman"/>
                <w:i w:val="0"/>
                <w:iCs w:val="0"/>
                <w:color w:val="000000"/>
                <w:sz w:val="20"/>
                <w:szCs w:val="20"/>
                <w:u w:val="none"/>
              </w:rPr>
            </w:pPr>
          </w:p>
        </w:tc>
        <w:tc>
          <w:tcPr>
            <w:tcW w:w="1487" w:type="dxa"/>
            <w:tcBorders>
              <w:top w:val="single" w:color="000000" w:sz="4" w:space="0"/>
              <w:left w:val="single" w:color="000000" w:sz="4" w:space="0"/>
              <w:bottom w:val="single" w:color="000000" w:sz="4" w:space="0"/>
              <w:right w:val="single" w:color="000000" w:sz="4" w:space="0"/>
            </w:tcBorders>
            <w:noWrap/>
            <w:vAlign w:val="center"/>
          </w:tcPr>
          <w:p w14:paraId="4F187569">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20"/>
                <w:szCs w:val="20"/>
                <w:u w:val="none"/>
              </w:rPr>
            </w:pPr>
            <w:r>
              <w:rPr>
                <w:rFonts w:hint="default" w:ascii="Times New Roman" w:hAnsi="Times New Roman" w:eastAsia="宋体" w:cs="Times New Roman"/>
                <w:i w:val="0"/>
                <w:iCs w:val="0"/>
                <w:color w:val="000000"/>
                <w:kern w:val="0"/>
                <w:sz w:val="18"/>
                <w:szCs w:val="18"/>
                <w:u w:val="none"/>
                <w:lang w:val="en-US" w:eastAsia="zh-CN" w:bidi="ar"/>
              </w:rPr>
              <w:t xml:space="preserve">1411.10 </w:t>
            </w:r>
          </w:p>
        </w:tc>
        <w:tc>
          <w:tcPr>
            <w:tcW w:w="2977" w:type="dxa"/>
            <w:tcBorders>
              <w:top w:val="single" w:color="000000" w:sz="4" w:space="0"/>
              <w:left w:val="single" w:color="000000" w:sz="4" w:space="0"/>
              <w:bottom w:val="single" w:color="000000" w:sz="4" w:space="0"/>
              <w:right w:val="single" w:color="000000" w:sz="4" w:space="0"/>
            </w:tcBorders>
            <w:noWrap/>
            <w:vAlign w:val="center"/>
          </w:tcPr>
          <w:p w14:paraId="776FABA8">
            <w:pPr>
              <w:spacing w:line="240" w:lineRule="auto"/>
              <w:ind w:firstLine="0" w:firstLineChars="0"/>
              <w:jc w:val="center"/>
              <w:rPr>
                <w:rFonts w:hint="default" w:ascii="Times New Roman" w:hAnsi="Times New Roman" w:eastAsia="宋体" w:cs="Times New Roman"/>
                <w:i w:val="0"/>
                <w:iCs w:val="0"/>
                <w:color w:val="000000"/>
                <w:sz w:val="18"/>
                <w:szCs w:val="18"/>
                <w:u w:val="none"/>
              </w:rPr>
            </w:pPr>
          </w:p>
        </w:tc>
      </w:tr>
      <w:tr w14:paraId="41AC0C6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4" w:hRule="atLeast"/>
        </w:trPr>
        <w:tc>
          <w:tcPr>
            <w:tcW w:w="322" w:type="pct"/>
            <w:tcBorders>
              <w:top w:val="single" w:color="000000" w:sz="4" w:space="0"/>
              <w:left w:val="single" w:color="000000" w:sz="4" w:space="0"/>
              <w:bottom w:val="single" w:color="000000" w:sz="4" w:space="0"/>
              <w:right w:val="single" w:color="000000" w:sz="4" w:space="0"/>
            </w:tcBorders>
            <w:noWrap/>
            <w:vAlign w:val="center"/>
          </w:tcPr>
          <w:p w14:paraId="4FCEF14C">
            <w:pPr>
              <w:spacing w:line="240" w:lineRule="auto"/>
              <w:ind w:firstLine="0" w:firstLineChars="0"/>
              <w:jc w:val="center"/>
              <w:rPr>
                <w:rFonts w:hint="default" w:ascii="Times New Roman" w:hAnsi="Times New Roman" w:eastAsia="宋体" w:cs="Times New Roman"/>
                <w:i w:val="0"/>
                <w:iCs w:val="0"/>
                <w:color w:val="000000"/>
                <w:sz w:val="20"/>
                <w:szCs w:val="20"/>
                <w:u w:val="none"/>
              </w:rPr>
            </w:pPr>
          </w:p>
        </w:tc>
        <w:tc>
          <w:tcPr>
            <w:tcW w:w="1086" w:type="pct"/>
            <w:tcBorders>
              <w:top w:val="single" w:color="000000" w:sz="4" w:space="0"/>
              <w:left w:val="single" w:color="000000" w:sz="4" w:space="0"/>
              <w:bottom w:val="single" w:color="000000" w:sz="4" w:space="0"/>
              <w:right w:val="single" w:color="000000" w:sz="4" w:space="0"/>
            </w:tcBorders>
            <w:noWrap w:val="0"/>
            <w:vAlign w:val="center"/>
          </w:tcPr>
          <w:p w14:paraId="497FA62D">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20"/>
                <w:szCs w:val="20"/>
                <w:u w:val="none"/>
              </w:rPr>
            </w:pPr>
            <w:r>
              <w:rPr>
                <w:rFonts w:hint="eastAsia" w:ascii="宋体" w:hAnsi="宋体" w:eastAsia="宋体" w:cs="宋体"/>
                <w:i w:val="0"/>
                <w:iCs w:val="0"/>
                <w:color w:val="000000"/>
                <w:kern w:val="0"/>
                <w:sz w:val="18"/>
                <w:szCs w:val="18"/>
                <w:u w:val="none"/>
                <w:lang w:val="en-US" w:eastAsia="zh-CN" w:bidi="ar"/>
              </w:rPr>
              <w:t>污水提升泵</w:t>
            </w:r>
          </w:p>
        </w:tc>
        <w:tc>
          <w:tcPr>
            <w:tcW w:w="1008" w:type="dxa"/>
            <w:tcBorders>
              <w:top w:val="single" w:color="000000" w:sz="4" w:space="0"/>
              <w:left w:val="single" w:color="000000" w:sz="4" w:space="0"/>
              <w:bottom w:val="single" w:color="000000" w:sz="4" w:space="0"/>
              <w:right w:val="single" w:color="000000" w:sz="4" w:space="0"/>
            </w:tcBorders>
            <w:noWrap/>
            <w:vAlign w:val="center"/>
          </w:tcPr>
          <w:p w14:paraId="572683D0">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20"/>
                <w:szCs w:val="20"/>
                <w:u w:val="none"/>
              </w:rPr>
            </w:pPr>
            <w:r>
              <w:rPr>
                <w:rFonts w:hint="eastAsia" w:ascii="宋体" w:hAnsi="宋体" w:eastAsia="宋体" w:cs="宋体"/>
                <w:i w:val="0"/>
                <w:iCs w:val="0"/>
                <w:color w:val="000000"/>
                <w:kern w:val="0"/>
                <w:sz w:val="18"/>
                <w:szCs w:val="18"/>
                <w:u w:val="none"/>
                <w:lang w:val="en-US" w:eastAsia="zh-CN" w:bidi="ar"/>
              </w:rPr>
              <w:t>台</w:t>
            </w:r>
          </w:p>
        </w:tc>
        <w:tc>
          <w:tcPr>
            <w:tcW w:w="648" w:type="dxa"/>
            <w:tcBorders>
              <w:top w:val="single" w:color="000000" w:sz="4" w:space="0"/>
              <w:left w:val="single" w:color="000000" w:sz="4" w:space="0"/>
              <w:bottom w:val="single" w:color="000000" w:sz="4" w:space="0"/>
              <w:right w:val="single" w:color="000000" w:sz="4" w:space="0"/>
            </w:tcBorders>
            <w:noWrap/>
            <w:vAlign w:val="center"/>
          </w:tcPr>
          <w:p w14:paraId="0E863876">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20"/>
                <w:szCs w:val="20"/>
                <w:u w:val="none"/>
              </w:rPr>
            </w:pPr>
            <w:r>
              <w:rPr>
                <w:rFonts w:hint="default" w:ascii="Times New Roman" w:hAnsi="Times New Roman" w:eastAsia="宋体" w:cs="Times New Roman"/>
                <w:i w:val="0"/>
                <w:iCs w:val="0"/>
                <w:color w:val="000000"/>
                <w:kern w:val="0"/>
                <w:sz w:val="18"/>
                <w:szCs w:val="18"/>
                <w:u w:val="none"/>
                <w:lang w:val="en-US" w:eastAsia="zh-CN" w:bidi="ar"/>
              </w:rPr>
              <w:t xml:space="preserve">4 </w:t>
            </w:r>
          </w:p>
        </w:tc>
        <w:tc>
          <w:tcPr>
            <w:tcW w:w="1487" w:type="dxa"/>
            <w:tcBorders>
              <w:top w:val="single" w:color="000000" w:sz="4" w:space="0"/>
              <w:left w:val="single" w:color="000000" w:sz="4" w:space="0"/>
              <w:bottom w:val="single" w:color="000000" w:sz="4" w:space="0"/>
              <w:right w:val="single" w:color="000000" w:sz="4" w:space="0"/>
            </w:tcBorders>
            <w:noWrap/>
            <w:vAlign w:val="center"/>
          </w:tcPr>
          <w:p w14:paraId="76D46486">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20"/>
                <w:szCs w:val="20"/>
                <w:u w:val="none"/>
              </w:rPr>
            </w:pPr>
            <w:r>
              <w:rPr>
                <w:rFonts w:hint="default" w:ascii="Times New Roman" w:hAnsi="Times New Roman" w:eastAsia="宋体" w:cs="Times New Roman"/>
                <w:i w:val="0"/>
                <w:iCs w:val="0"/>
                <w:color w:val="000000"/>
                <w:kern w:val="0"/>
                <w:sz w:val="18"/>
                <w:szCs w:val="18"/>
                <w:u w:val="none"/>
                <w:lang w:val="en-US" w:eastAsia="zh-CN" w:bidi="ar"/>
              </w:rPr>
              <w:t xml:space="preserve">2.92 </w:t>
            </w:r>
          </w:p>
        </w:tc>
        <w:tc>
          <w:tcPr>
            <w:tcW w:w="2977" w:type="dxa"/>
            <w:tcBorders>
              <w:top w:val="single" w:color="000000" w:sz="4" w:space="0"/>
              <w:left w:val="single" w:color="000000" w:sz="4" w:space="0"/>
              <w:bottom w:val="single" w:color="000000" w:sz="4" w:space="0"/>
              <w:right w:val="single" w:color="000000" w:sz="4" w:space="0"/>
            </w:tcBorders>
            <w:noWrap/>
            <w:vAlign w:val="center"/>
          </w:tcPr>
          <w:p w14:paraId="421B9293">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color w:val="000000"/>
                <w:kern w:val="0"/>
                <w:sz w:val="18"/>
                <w:szCs w:val="18"/>
                <w:u w:val="none"/>
                <w:lang w:val="en-US" w:eastAsia="zh-CN" w:bidi="ar"/>
              </w:rPr>
              <w:t>SS316Q=7</w:t>
            </w:r>
            <w:r>
              <w:rPr>
                <w:rFonts w:hint="eastAsia" w:cs="Times New Roman"/>
                <w:i w:val="0"/>
                <w:iCs w:val="0"/>
                <w:color w:val="000000"/>
                <w:kern w:val="0"/>
                <w:sz w:val="18"/>
                <w:szCs w:val="18"/>
                <w:u w:val="none"/>
                <w:lang w:val="en-US" w:eastAsia="zh-CN" w:bidi="ar"/>
              </w:rPr>
              <w:t>m³</w:t>
            </w:r>
            <w:r>
              <w:rPr>
                <w:rFonts w:hint="default" w:ascii="Times New Roman" w:hAnsi="Times New Roman" w:eastAsia="宋体" w:cs="Times New Roman"/>
                <w:i w:val="0"/>
                <w:iCs w:val="0"/>
                <w:color w:val="000000"/>
                <w:kern w:val="0"/>
                <w:sz w:val="18"/>
                <w:szCs w:val="18"/>
                <w:u w:val="none"/>
                <w:lang w:val="en-US" w:eastAsia="zh-CN" w:bidi="ar"/>
              </w:rPr>
              <w:t>/hH=7mN=0.37KW</w:t>
            </w:r>
          </w:p>
        </w:tc>
      </w:tr>
      <w:tr w14:paraId="659C10D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4" w:hRule="atLeast"/>
        </w:trPr>
        <w:tc>
          <w:tcPr>
            <w:tcW w:w="322" w:type="pct"/>
            <w:tcBorders>
              <w:top w:val="single" w:color="000000" w:sz="4" w:space="0"/>
              <w:left w:val="single" w:color="000000" w:sz="4" w:space="0"/>
              <w:bottom w:val="single" w:color="000000" w:sz="4" w:space="0"/>
              <w:right w:val="single" w:color="000000" w:sz="4" w:space="0"/>
            </w:tcBorders>
            <w:noWrap/>
            <w:vAlign w:val="center"/>
          </w:tcPr>
          <w:p w14:paraId="0A20F6E0">
            <w:pPr>
              <w:spacing w:line="240" w:lineRule="auto"/>
              <w:ind w:firstLine="0" w:firstLineChars="0"/>
              <w:jc w:val="center"/>
              <w:rPr>
                <w:rFonts w:hint="default" w:ascii="Times New Roman" w:hAnsi="Times New Roman" w:eastAsia="宋体" w:cs="Times New Roman"/>
                <w:i w:val="0"/>
                <w:iCs w:val="0"/>
                <w:color w:val="000000"/>
                <w:sz w:val="20"/>
                <w:szCs w:val="20"/>
                <w:u w:val="none"/>
              </w:rPr>
            </w:pPr>
          </w:p>
        </w:tc>
        <w:tc>
          <w:tcPr>
            <w:tcW w:w="1086" w:type="pct"/>
            <w:tcBorders>
              <w:top w:val="single" w:color="000000" w:sz="4" w:space="0"/>
              <w:left w:val="single" w:color="000000" w:sz="4" w:space="0"/>
              <w:bottom w:val="single" w:color="000000" w:sz="4" w:space="0"/>
              <w:right w:val="single" w:color="000000" w:sz="4" w:space="0"/>
            </w:tcBorders>
            <w:noWrap w:val="0"/>
            <w:vAlign w:val="center"/>
          </w:tcPr>
          <w:p w14:paraId="6D750533">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20"/>
                <w:szCs w:val="20"/>
                <w:u w:val="none"/>
              </w:rPr>
            </w:pPr>
            <w:r>
              <w:rPr>
                <w:rFonts w:hint="eastAsia" w:ascii="宋体" w:hAnsi="宋体" w:eastAsia="宋体" w:cs="宋体"/>
                <w:i w:val="0"/>
                <w:iCs w:val="0"/>
                <w:color w:val="000000"/>
                <w:kern w:val="0"/>
                <w:sz w:val="18"/>
                <w:szCs w:val="18"/>
                <w:u w:val="none"/>
                <w:lang w:val="en-US" w:eastAsia="zh-CN" w:bidi="ar"/>
              </w:rPr>
              <w:t>液位控制系统</w:t>
            </w:r>
          </w:p>
        </w:tc>
        <w:tc>
          <w:tcPr>
            <w:tcW w:w="1008" w:type="dxa"/>
            <w:tcBorders>
              <w:top w:val="single" w:color="000000" w:sz="4" w:space="0"/>
              <w:left w:val="single" w:color="000000" w:sz="4" w:space="0"/>
              <w:bottom w:val="single" w:color="000000" w:sz="4" w:space="0"/>
              <w:right w:val="single" w:color="000000" w:sz="4" w:space="0"/>
            </w:tcBorders>
            <w:noWrap/>
            <w:vAlign w:val="center"/>
          </w:tcPr>
          <w:p w14:paraId="4937B6DA">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20"/>
                <w:szCs w:val="20"/>
                <w:u w:val="none"/>
              </w:rPr>
            </w:pPr>
            <w:r>
              <w:rPr>
                <w:rFonts w:hint="eastAsia" w:ascii="宋体" w:hAnsi="宋体" w:eastAsia="宋体" w:cs="宋体"/>
                <w:i w:val="0"/>
                <w:iCs w:val="0"/>
                <w:color w:val="000000"/>
                <w:kern w:val="0"/>
                <w:sz w:val="18"/>
                <w:szCs w:val="18"/>
                <w:u w:val="none"/>
                <w:lang w:val="en-US" w:eastAsia="zh-CN" w:bidi="ar"/>
              </w:rPr>
              <w:t>套</w:t>
            </w:r>
          </w:p>
        </w:tc>
        <w:tc>
          <w:tcPr>
            <w:tcW w:w="648" w:type="dxa"/>
            <w:tcBorders>
              <w:top w:val="single" w:color="000000" w:sz="4" w:space="0"/>
              <w:left w:val="single" w:color="000000" w:sz="4" w:space="0"/>
              <w:bottom w:val="single" w:color="000000" w:sz="4" w:space="0"/>
              <w:right w:val="single" w:color="000000" w:sz="4" w:space="0"/>
            </w:tcBorders>
            <w:noWrap/>
            <w:vAlign w:val="center"/>
          </w:tcPr>
          <w:p w14:paraId="429E7398">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20"/>
                <w:szCs w:val="20"/>
                <w:u w:val="none"/>
              </w:rPr>
            </w:pPr>
            <w:r>
              <w:rPr>
                <w:rFonts w:hint="default" w:ascii="Times New Roman" w:hAnsi="Times New Roman" w:eastAsia="宋体" w:cs="Times New Roman"/>
                <w:i w:val="0"/>
                <w:iCs w:val="0"/>
                <w:color w:val="000000"/>
                <w:kern w:val="0"/>
                <w:sz w:val="18"/>
                <w:szCs w:val="18"/>
                <w:u w:val="none"/>
                <w:lang w:val="en-US" w:eastAsia="zh-CN" w:bidi="ar"/>
              </w:rPr>
              <w:t xml:space="preserve">2 </w:t>
            </w:r>
          </w:p>
        </w:tc>
        <w:tc>
          <w:tcPr>
            <w:tcW w:w="1487" w:type="dxa"/>
            <w:tcBorders>
              <w:top w:val="single" w:color="000000" w:sz="4" w:space="0"/>
              <w:left w:val="single" w:color="000000" w:sz="4" w:space="0"/>
              <w:bottom w:val="single" w:color="000000" w:sz="4" w:space="0"/>
              <w:right w:val="single" w:color="000000" w:sz="4" w:space="0"/>
            </w:tcBorders>
            <w:noWrap/>
            <w:vAlign w:val="center"/>
          </w:tcPr>
          <w:p w14:paraId="76684747">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20"/>
                <w:szCs w:val="20"/>
                <w:u w:val="none"/>
              </w:rPr>
            </w:pPr>
            <w:r>
              <w:rPr>
                <w:rFonts w:hint="default" w:ascii="Times New Roman" w:hAnsi="Times New Roman" w:eastAsia="宋体" w:cs="Times New Roman"/>
                <w:i w:val="0"/>
                <w:iCs w:val="0"/>
                <w:color w:val="000000"/>
                <w:kern w:val="0"/>
                <w:sz w:val="18"/>
                <w:szCs w:val="18"/>
                <w:u w:val="none"/>
                <w:lang w:val="en-US" w:eastAsia="zh-CN" w:bidi="ar"/>
              </w:rPr>
              <w:t xml:space="preserve">0.55 </w:t>
            </w:r>
          </w:p>
        </w:tc>
        <w:tc>
          <w:tcPr>
            <w:tcW w:w="2977" w:type="dxa"/>
            <w:tcBorders>
              <w:top w:val="single" w:color="000000" w:sz="4" w:space="0"/>
              <w:left w:val="single" w:color="000000" w:sz="4" w:space="0"/>
              <w:bottom w:val="single" w:color="000000" w:sz="4" w:space="0"/>
              <w:right w:val="single" w:color="000000" w:sz="4" w:space="0"/>
            </w:tcBorders>
            <w:noWrap/>
            <w:vAlign w:val="center"/>
          </w:tcPr>
          <w:p w14:paraId="479FF9AE">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color w:val="000000"/>
                <w:kern w:val="0"/>
                <w:sz w:val="18"/>
                <w:szCs w:val="18"/>
                <w:u w:val="none"/>
                <w:lang w:val="en-US" w:eastAsia="zh-CN" w:bidi="ar"/>
              </w:rPr>
              <w:t>SWP-TLC</w:t>
            </w:r>
          </w:p>
        </w:tc>
      </w:tr>
      <w:tr w14:paraId="0D7B6B2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4" w:hRule="atLeast"/>
        </w:trPr>
        <w:tc>
          <w:tcPr>
            <w:tcW w:w="322" w:type="pct"/>
            <w:tcBorders>
              <w:top w:val="single" w:color="000000" w:sz="4" w:space="0"/>
              <w:left w:val="single" w:color="000000" w:sz="4" w:space="0"/>
              <w:bottom w:val="single" w:color="000000" w:sz="4" w:space="0"/>
              <w:right w:val="single" w:color="000000" w:sz="4" w:space="0"/>
            </w:tcBorders>
            <w:noWrap/>
            <w:vAlign w:val="center"/>
          </w:tcPr>
          <w:p w14:paraId="4FEC1F0A">
            <w:pPr>
              <w:spacing w:line="240" w:lineRule="auto"/>
              <w:ind w:firstLine="0" w:firstLineChars="0"/>
              <w:jc w:val="center"/>
              <w:rPr>
                <w:rFonts w:hint="default" w:ascii="Times New Roman" w:hAnsi="Times New Roman" w:eastAsia="宋体" w:cs="Times New Roman"/>
                <w:i w:val="0"/>
                <w:iCs w:val="0"/>
                <w:color w:val="000000"/>
                <w:sz w:val="20"/>
                <w:szCs w:val="20"/>
                <w:u w:val="none"/>
              </w:rPr>
            </w:pPr>
          </w:p>
        </w:tc>
        <w:tc>
          <w:tcPr>
            <w:tcW w:w="1086" w:type="pct"/>
            <w:tcBorders>
              <w:top w:val="single" w:color="000000" w:sz="4" w:space="0"/>
              <w:left w:val="single" w:color="000000" w:sz="4" w:space="0"/>
              <w:bottom w:val="single" w:color="000000" w:sz="4" w:space="0"/>
              <w:right w:val="single" w:color="000000" w:sz="4" w:space="0"/>
            </w:tcBorders>
            <w:noWrap w:val="0"/>
            <w:vAlign w:val="center"/>
          </w:tcPr>
          <w:p w14:paraId="099A30C4">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20"/>
                <w:szCs w:val="20"/>
                <w:u w:val="none"/>
              </w:rPr>
            </w:pPr>
            <w:r>
              <w:rPr>
                <w:rFonts w:hint="eastAsia" w:ascii="宋体" w:hAnsi="宋体" w:eastAsia="宋体" w:cs="宋体"/>
                <w:i w:val="0"/>
                <w:iCs w:val="0"/>
                <w:color w:val="000000"/>
                <w:kern w:val="0"/>
                <w:sz w:val="18"/>
                <w:szCs w:val="18"/>
                <w:u w:val="none"/>
                <w:lang w:val="en-US" w:eastAsia="zh-CN" w:bidi="ar"/>
              </w:rPr>
              <w:t>潜水搅拌器</w:t>
            </w:r>
          </w:p>
        </w:tc>
        <w:tc>
          <w:tcPr>
            <w:tcW w:w="1008" w:type="dxa"/>
            <w:tcBorders>
              <w:top w:val="single" w:color="000000" w:sz="4" w:space="0"/>
              <w:left w:val="single" w:color="000000" w:sz="4" w:space="0"/>
              <w:bottom w:val="single" w:color="000000" w:sz="4" w:space="0"/>
              <w:right w:val="single" w:color="000000" w:sz="4" w:space="0"/>
            </w:tcBorders>
            <w:noWrap/>
            <w:vAlign w:val="center"/>
          </w:tcPr>
          <w:p w14:paraId="2B670451">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20"/>
                <w:szCs w:val="20"/>
                <w:u w:val="none"/>
              </w:rPr>
            </w:pPr>
            <w:r>
              <w:rPr>
                <w:rFonts w:hint="eastAsia" w:ascii="宋体" w:hAnsi="宋体" w:eastAsia="宋体" w:cs="宋体"/>
                <w:i w:val="0"/>
                <w:iCs w:val="0"/>
                <w:color w:val="000000"/>
                <w:kern w:val="0"/>
                <w:sz w:val="18"/>
                <w:szCs w:val="18"/>
                <w:u w:val="none"/>
                <w:lang w:val="en-US" w:eastAsia="zh-CN" w:bidi="ar"/>
              </w:rPr>
              <w:t>台</w:t>
            </w:r>
          </w:p>
        </w:tc>
        <w:tc>
          <w:tcPr>
            <w:tcW w:w="648" w:type="dxa"/>
            <w:tcBorders>
              <w:top w:val="single" w:color="000000" w:sz="4" w:space="0"/>
              <w:left w:val="single" w:color="000000" w:sz="4" w:space="0"/>
              <w:bottom w:val="single" w:color="000000" w:sz="4" w:space="0"/>
              <w:right w:val="single" w:color="000000" w:sz="4" w:space="0"/>
            </w:tcBorders>
            <w:noWrap/>
            <w:vAlign w:val="center"/>
          </w:tcPr>
          <w:p w14:paraId="6E1F1F53">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20"/>
                <w:szCs w:val="20"/>
                <w:u w:val="none"/>
              </w:rPr>
            </w:pPr>
            <w:r>
              <w:rPr>
                <w:rFonts w:hint="default" w:ascii="Times New Roman" w:hAnsi="Times New Roman" w:eastAsia="宋体" w:cs="Times New Roman"/>
                <w:i w:val="0"/>
                <w:iCs w:val="0"/>
                <w:color w:val="000000"/>
                <w:kern w:val="0"/>
                <w:sz w:val="18"/>
                <w:szCs w:val="18"/>
                <w:u w:val="none"/>
                <w:lang w:val="en-US" w:eastAsia="zh-CN" w:bidi="ar"/>
              </w:rPr>
              <w:t xml:space="preserve">2 </w:t>
            </w:r>
          </w:p>
        </w:tc>
        <w:tc>
          <w:tcPr>
            <w:tcW w:w="1487" w:type="dxa"/>
            <w:tcBorders>
              <w:top w:val="single" w:color="000000" w:sz="4" w:space="0"/>
              <w:left w:val="single" w:color="000000" w:sz="4" w:space="0"/>
              <w:bottom w:val="single" w:color="000000" w:sz="4" w:space="0"/>
              <w:right w:val="single" w:color="000000" w:sz="4" w:space="0"/>
            </w:tcBorders>
            <w:noWrap/>
            <w:vAlign w:val="center"/>
          </w:tcPr>
          <w:p w14:paraId="2488AA9F">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20"/>
                <w:szCs w:val="20"/>
                <w:u w:val="none"/>
              </w:rPr>
            </w:pPr>
            <w:r>
              <w:rPr>
                <w:rFonts w:hint="default" w:ascii="Times New Roman" w:hAnsi="Times New Roman" w:eastAsia="宋体" w:cs="Times New Roman"/>
                <w:i w:val="0"/>
                <w:iCs w:val="0"/>
                <w:color w:val="000000"/>
                <w:kern w:val="0"/>
                <w:sz w:val="18"/>
                <w:szCs w:val="18"/>
                <w:u w:val="none"/>
                <w:lang w:val="en-US" w:eastAsia="zh-CN" w:bidi="ar"/>
              </w:rPr>
              <w:t xml:space="preserve">4.90 </w:t>
            </w:r>
          </w:p>
        </w:tc>
        <w:tc>
          <w:tcPr>
            <w:tcW w:w="2977" w:type="dxa"/>
            <w:tcBorders>
              <w:top w:val="single" w:color="000000" w:sz="4" w:space="0"/>
              <w:left w:val="single" w:color="000000" w:sz="4" w:space="0"/>
              <w:bottom w:val="single" w:color="000000" w:sz="4" w:space="0"/>
              <w:right w:val="single" w:color="000000" w:sz="4" w:space="0"/>
            </w:tcBorders>
            <w:noWrap/>
            <w:vAlign w:val="center"/>
          </w:tcPr>
          <w:p w14:paraId="78C80604">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color w:val="000000"/>
                <w:kern w:val="0"/>
                <w:sz w:val="18"/>
                <w:szCs w:val="18"/>
                <w:u w:val="none"/>
                <w:lang w:val="en-US" w:eastAsia="zh-CN" w:bidi="ar"/>
              </w:rPr>
              <w:t>SS316N=0.37KW</w:t>
            </w:r>
          </w:p>
        </w:tc>
      </w:tr>
      <w:tr w14:paraId="7ABD139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4" w:hRule="atLeast"/>
        </w:trPr>
        <w:tc>
          <w:tcPr>
            <w:tcW w:w="322" w:type="pct"/>
            <w:tcBorders>
              <w:top w:val="single" w:color="000000" w:sz="4" w:space="0"/>
              <w:left w:val="single" w:color="000000" w:sz="4" w:space="0"/>
              <w:bottom w:val="single" w:color="000000" w:sz="4" w:space="0"/>
              <w:right w:val="single" w:color="000000" w:sz="4" w:space="0"/>
            </w:tcBorders>
            <w:noWrap/>
            <w:vAlign w:val="center"/>
          </w:tcPr>
          <w:p w14:paraId="153ED1F6">
            <w:pPr>
              <w:spacing w:line="240" w:lineRule="auto"/>
              <w:ind w:firstLine="0" w:firstLineChars="0"/>
              <w:jc w:val="center"/>
              <w:rPr>
                <w:rFonts w:hint="default" w:ascii="Times New Roman" w:hAnsi="Times New Roman" w:eastAsia="宋体" w:cs="Times New Roman"/>
                <w:i w:val="0"/>
                <w:iCs w:val="0"/>
                <w:color w:val="000000"/>
                <w:sz w:val="20"/>
                <w:szCs w:val="20"/>
                <w:u w:val="none"/>
              </w:rPr>
            </w:pPr>
          </w:p>
        </w:tc>
        <w:tc>
          <w:tcPr>
            <w:tcW w:w="1086" w:type="pct"/>
            <w:tcBorders>
              <w:top w:val="single" w:color="000000" w:sz="4" w:space="0"/>
              <w:left w:val="single" w:color="000000" w:sz="4" w:space="0"/>
              <w:bottom w:val="single" w:color="000000" w:sz="4" w:space="0"/>
              <w:right w:val="single" w:color="000000" w:sz="4" w:space="0"/>
            </w:tcBorders>
            <w:noWrap w:val="0"/>
            <w:vAlign w:val="center"/>
          </w:tcPr>
          <w:p w14:paraId="474F4CE8">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20"/>
                <w:szCs w:val="20"/>
                <w:u w:val="none"/>
              </w:rPr>
            </w:pPr>
            <w:r>
              <w:rPr>
                <w:rFonts w:hint="eastAsia" w:ascii="宋体" w:hAnsi="宋体" w:eastAsia="宋体" w:cs="宋体"/>
                <w:i w:val="0"/>
                <w:iCs w:val="0"/>
                <w:color w:val="000000"/>
                <w:kern w:val="0"/>
                <w:sz w:val="18"/>
                <w:szCs w:val="18"/>
                <w:u w:val="none"/>
                <w:lang w:val="en-US" w:eastAsia="zh-CN" w:bidi="ar"/>
              </w:rPr>
              <w:t>沉淀池设备</w:t>
            </w:r>
          </w:p>
        </w:tc>
        <w:tc>
          <w:tcPr>
            <w:tcW w:w="1008" w:type="dxa"/>
            <w:tcBorders>
              <w:top w:val="single" w:color="000000" w:sz="4" w:space="0"/>
              <w:left w:val="single" w:color="000000" w:sz="4" w:space="0"/>
              <w:bottom w:val="single" w:color="000000" w:sz="4" w:space="0"/>
              <w:right w:val="single" w:color="000000" w:sz="4" w:space="0"/>
            </w:tcBorders>
            <w:noWrap/>
            <w:vAlign w:val="center"/>
          </w:tcPr>
          <w:p w14:paraId="3775CEAF">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20"/>
                <w:szCs w:val="20"/>
                <w:u w:val="none"/>
              </w:rPr>
            </w:pPr>
            <w:r>
              <w:rPr>
                <w:rFonts w:hint="eastAsia" w:ascii="宋体" w:hAnsi="宋体" w:eastAsia="宋体" w:cs="宋体"/>
                <w:i w:val="0"/>
                <w:iCs w:val="0"/>
                <w:color w:val="000000"/>
                <w:kern w:val="0"/>
                <w:sz w:val="18"/>
                <w:szCs w:val="18"/>
                <w:u w:val="none"/>
                <w:lang w:val="en-US" w:eastAsia="zh-CN" w:bidi="ar"/>
              </w:rPr>
              <w:t>套</w:t>
            </w:r>
          </w:p>
        </w:tc>
        <w:tc>
          <w:tcPr>
            <w:tcW w:w="648" w:type="dxa"/>
            <w:tcBorders>
              <w:top w:val="single" w:color="000000" w:sz="4" w:space="0"/>
              <w:left w:val="single" w:color="000000" w:sz="4" w:space="0"/>
              <w:bottom w:val="single" w:color="000000" w:sz="4" w:space="0"/>
              <w:right w:val="single" w:color="000000" w:sz="4" w:space="0"/>
            </w:tcBorders>
            <w:noWrap/>
            <w:vAlign w:val="center"/>
          </w:tcPr>
          <w:p w14:paraId="4372CF75">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20"/>
                <w:szCs w:val="20"/>
                <w:u w:val="none"/>
              </w:rPr>
            </w:pPr>
            <w:r>
              <w:rPr>
                <w:rFonts w:hint="default" w:ascii="Times New Roman" w:hAnsi="Times New Roman" w:eastAsia="宋体" w:cs="Times New Roman"/>
                <w:i w:val="0"/>
                <w:iCs w:val="0"/>
                <w:color w:val="000000"/>
                <w:kern w:val="0"/>
                <w:sz w:val="18"/>
                <w:szCs w:val="18"/>
                <w:u w:val="none"/>
                <w:lang w:val="en-US" w:eastAsia="zh-CN" w:bidi="ar"/>
              </w:rPr>
              <w:t xml:space="preserve">1 </w:t>
            </w:r>
          </w:p>
        </w:tc>
        <w:tc>
          <w:tcPr>
            <w:tcW w:w="1487" w:type="dxa"/>
            <w:tcBorders>
              <w:top w:val="single" w:color="000000" w:sz="4" w:space="0"/>
              <w:left w:val="single" w:color="000000" w:sz="4" w:space="0"/>
              <w:bottom w:val="single" w:color="000000" w:sz="4" w:space="0"/>
              <w:right w:val="single" w:color="000000" w:sz="4" w:space="0"/>
            </w:tcBorders>
            <w:noWrap/>
            <w:vAlign w:val="center"/>
          </w:tcPr>
          <w:p w14:paraId="4612BE75">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20"/>
                <w:szCs w:val="20"/>
                <w:u w:val="none"/>
              </w:rPr>
            </w:pPr>
            <w:r>
              <w:rPr>
                <w:rFonts w:hint="default" w:ascii="Times New Roman" w:hAnsi="Times New Roman" w:eastAsia="宋体" w:cs="Times New Roman"/>
                <w:i w:val="0"/>
                <w:iCs w:val="0"/>
                <w:color w:val="000000"/>
                <w:kern w:val="0"/>
                <w:sz w:val="18"/>
                <w:szCs w:val="18"/>
                <w:u w:val="none"/>
                <w:lang w:val="en-US" w:eastAsia="zh-CN" w:bidi="ar"/>
              </w:rPr>
              <w:t xml:space="preserve">5.00 </w:t>
            </w:r>
          </w:p>
        </w:tc>
        <w:tc>
          <w:tcPr>
            <w:tcW w:w="2977" w:type="dxa"/>
            <w:tcBorders>
              <w:top w:val="single" w:color="000000" w:sz="4" w:space="0"/>
              <w:left w:val="single" w:color="000000" w:sz="4" w:space="0"/>
              <w:bottom w:val="single" w:color="000000" w:sz="4" w:space="0"/>
              <w:right w:val="single" w:color="000000" w:sz="4" w:space="0"/>
            </w:tcBorders>
            <w:noWrap/>
            <w:vAlign w:val="center"/>
          </w:tcPr>
          <w:p w14:paraId="17773286">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含中心筒、出水堰等</w:t>
            </w:r>
          </w:p>
        </w:tc>
      </w:tr>
      <w:tr w14:paraId="6D96486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4" w:hRule="atLeast"/>
        </w:trPr>
        <w:tc>
          <w:tcPr>
            <w:tcW w:w="322" w:type="pct"/>
            <w:tcBorders>
              <w:top w:val="single" w:color="000000" w:sz="4" w:space="0"/>
              <w:left w:val="single" w:color="000000" w:sz="4" w:space="0"/>
              <w:bottom w:val="single" w:color="000000" w:sz="4" w:space="0"/>
              <w:right w:val="single" w:color="000000" w:sz="4" w:space="0"/>
            </w:tcBorders>
            <w:noWrap/>
            <w:vAlign w:val="center"/>
          </w:tcPr>
          <w:p w14:paraId="5169E991">
            <w:pPr>
              <w:spacing w:line="240" w:lineRule="auto"/>
              <w:ind w:firstLine="0" w:firstLineChars="0"/>
              <w:jc w:val="center"/>
              <w:rPr>
                <w:rFonts w:hint="default" w:ascii="Times New Roman" w:hAnsi="Times New Roman" w:eastAsia="宋体" w:cs="Times New Roman"/>
                <w:i w:val="0"/>
                <w:iCs w:val="0"/>
                <w:color w:val="000000"/>
                <w:sz w:val="20"/>
                <w:szCs w:val="20"/>
                <w:u w:val="none"/>
              </w:rPr>
            </w:pPr>
          </w:p>
        </w:tc>
        <w:tc>
          <w:tcPr>
            <w:tcW w:w="1086" w:type="pct"/>
            <w:tcBorders>
              <w:top w:val="single" w:color="000000" w:sz="4" w:space="0"/>
              <w:left w:val="single" w:color="000000" w:sz="4" w:space="0"/>
              <w:bottom w:val="single" w:color="000000" w:sz="4" w:space="0"/>
              <w:right w:val="single" w:color="000000" w:sz="4" w:space="0"/>
            </w:tcBorders>
            <w:noWrap w:val="0"/>
            <w:vAlign w:val="center"/>
          </w:tcPr>
          <w:p w14:paraId="2DA3705B">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20"/>
                <w:szCs w:val="20"/>
                <w:u w:val="none"/>
              </w:rPr>
            </w:pPr>
            <w:r>
              <w:rPr>
                <w:rFonts w:hint="eastAsia" w:ascii="宋体" w:hAnsi="宋体" w:eastAsia="宋体" w:cs="宋体"/>
                <w:i w:val="0"/>
                <w:iCs w:val="0"/>
                <w:color w:val="000000"/>
                <w:kern w:val="0"/>
                <w:sz w:val="18"/>
                <w:szCs w:val="18"/>
                <w:u w:val="none"/>
                <w:lang w:val="en-US" w:eastAsia="zh-CN" w:bidi="ar"/>
              </w:rPr>
              <w:t>气浮系统</w:t>
            </w:r>
          </w:p>
        </w:tc>
        <w:tc>
          <w:tcPr>
            <w:tcW w:w="1008" w:type="dxa"/>
            <w:tcBorders>
              <w:top w:val="single" w:color="000000" w:sz="4" w:space="0"/>
              <w:left w:val="single" w:color="000000" w:sz="4" w:space="0"/>
              <w:bottom w:val="single" w:color="000000" w:sz="4" w:space="0"/>
              <w:right w:val="single" w:color="000000" w:sz="4" w:space="0"/>
            </w:tcBorders>
            <w:noWrap/>
            <w:vAlign w:val="center"/>
          </w:tcPr>
          <w:p w14:paraId="56AA70E4">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20"/>
                <w:szCs w:val="20"/>
                <w:u w:val="none"/>
              </w:rPr>
            </w:pPr>
            <w:r>
              <w:rPr>
                <w:rFonts w:hint="eastAsia" w:ascii="宋体" w:hAnsi="宋体" w:eastAsia="宋体" w:cs="宋体"/>
                <w:i w:val="0"/>
                <w:iCs w:val="0"/>
                <w:color w:val="000000"/>
                <w:kern w:val="0"/>
                <w:sz w:val="18"/>
                <w:szCs w:val="18"/>
                <w:u w:val="none"/>
                <w:lang w:val="en-US" w:eastAsia="zh-CN" w:bidi="ar"/>
              </w:rPr>
              <w:t>套</w:t>
            </w:r>
          </w:p>
        </w:tc>
        <w:tc>
          <w:tcPr>
            <w:tcW w:w="648" w:type="dxa"/>
            <w:tcBorders>
              <w:top w:val="single" w:color="000000" w:sz="4" w:space="0"/>
              <w:left w:val="single" w:color="000000" w:sz="4" w:space="0"/>
              <w:bottom w:val="single" w:color="000000" w:sz="4" w:space="0"/>
              <w:right w:val="single" w:color="000000" w:sz="4" w:space="0"/>
            </w:tcBorders>
            <w:noWrap/>
            <w:vAlign w:val="center"/>
          </w:tcPr>
          <w:p w14:paraId="62077E0C">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20"/>
                <w:szCs w:val="20"/>
                <w:u w:val="none"/>
              </w:rPr>
            </w:pPr>
            <w:r>
              <w:rPr>
                <w:rFonts w:hint="default" w:ascii="Times New Roman" w:hAnsi="Times New Roman" w:eastAsia="宋体" w:cs="Times New Roman"/>
                <w:i w:val="0"/>
                <w:iCs w:val="0"/>
                <w:color w:val="000000"/>
                <w:kern w:val="0"/>
                <w:sz w:val="18"/>
                <w:szCs w:val="18"/>
                <w:u w:val="none"/>
                <w:lang w:val="en-US" w:eastAsia="zh-CN" w:bidi="ar"/>
              </w:rPr>
              <w:t xml:space="preserve">1 </w:t>
            </w:r>
          </w:p>
        </w:tc>
        <w:tc>
          <w:tcPr>
            <w:tcW w:w="1487" w:type="dxa"/>
            <w:tcBorders>
              <w:top w:val="single" w:color="000000" w:sz="4" w:space="0"/>
              <w:left w:val="single" w:color="000000" w:sz="4" w:space="0"/>
              <w:bottom w:val="single" w:color="000000" w:sz="4" w:space="0"/>
              <w:right w:val="single" w:color="000000" w:sz="4" w:space="0"/>
            </w:tcBorders>
            <w:noWrap/>
            <w:vAlign w:val="center"/>
          </w:tcPr>
          <w:p w14:paraId="06AA313C">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20"/>
                <w:szCs w:val="20"/>
                <w:u w:val="none"/>
              </w:rPr>
            </w:pPr>
            <w:r>
              <w:rPr>
                <w:rFonts w:hint="default" w:ascii="Times New Roman" w:hAnsi="Times New Roman" w:eastAsia="宋体" w:cs="Times New Roman"/>
                <w:i w:val="0"/>
                <w:iCs w:val="0"/>
                <w:color w:val="000000"/>
                <w:kern w:val="0"/>
                <w:sz w:val="18"/>
                <w:szCs w:val="18"/>
                <w:u w:val="none"/>
                <w:lang w:val="en-US" w:eastAsia="zh-CN" w:bidi="ar"/>
              </w:rPr>
              <w:t xml:space="preserve">15.60 </w:t>
            </w:r>
          </w:p>
        </w:tc>
        <w:tc>
          <w:tcPr>
            <w:tcW w:w="2977" w:type="dxa"/>
            <w:tcBorders>
              <w:top w:val="single" w:color="000000" w:sz="4" w:space="0"/>
              <w:left w:val="single" w:color="000000" w:sz="4" w:space="0"/>
              <w:bottom w:val="single" w:color="000000" w:sz="4" w:space="0"/>
              <w:right w:val="single" w:color="000000" w:sz="4" w:space="0"/>
            </w:tcBorders>
            <w:noWrap/>
            <w:vAlign w:val="center"/>
          </w:tcPr>
          <w:p w14:paraId="401F48F1">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color w:val="000000"/>
                <w:kern w:val="0"/>
                <w:sz w:val="18"/>
                <w:szCs w:val="18"/>
                <w:u w:val="none"/>
                <w:lang w:val="en-US" w:eastAsia="zh-CN" w:bidi="ar"/>
              </w:rPr>
              <w:t>RHQF/50</w:t>
            </w:r>
            <w:r>
              <w:rPr>
                <w:rFonts w:hint="eastAsia" w:cs="Times New Roman"/>
                <w:i w:val="0"/>
                <w:iCs w:val="0"/>
                <w:color w:val="000000"/>
                <w:kern w:val="0"/>
                <w:sz w:val="18"/>
                <w:szCs w:val="18"/>
                <w:u w:val="none"/>
                <w:lang w:val="en-US" w:eastAsia="zh-CN" w:bidi="ar"/>
              </w:rPr>
              <w:t>，</w:t>
            </w:r>
            <w:r>
              <w:rPr>
                <w:rFonts w:hint="default" w:ascii="Times New Roman" w:hAnsi="Times New Roman" w:eastAsia="宋体" w:cs="Times New Roman"/>
                <w:i w:val="0"/>
                <w:iCs w:val="0"/>
                <w:color w:val="000000"/>
                <w:kern w:val="0"/>
                <w:sz w:val="18"/>
                <w:szCs w:val="18"/>
                <w:u w:val="none"/>
                <w:lang w:val="en-US" w:eastAsia="zh-CN" w:bidi="ar"/>
              </w:rPr>
              <w:t>N=6.5KW</w:t>
            </w:r>
            <w:r>
              <w:rPr>
                <w:rFonts w:hint="eastAsia" w:ascii="宋体" w:hAnsi="宋体" w:eastAsia="宋体" w:cs="宋体"/>
                <w:i w:val="0"/>
                <w:iCs w:val="0"/>
                <w:color w:val="000000"/>
                <w:kern w:val="0"/>
                <w:sz w:val="18"/>
                <w:szCs w:val="18"/>
                <w:u w:val="none"/>
                <w:lang w:val="en-US" w:eastAsia="zh-CN" w:bidi="ar"/>
              </w:rPr>
              <w:t>（成套设备）</w:t>
            </w:r>
          </w:p>
        </w:tc>
      </w:tr>
      <w:tr w14:paraId="49C8FCE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4" w:hRule="atLeast"/>
        </w:trPr>
        <w:tc>
          <w:tcPr>
            <w:tcW w:w="322" w:type="pct"/>
            <w:tcBorders>
              <w:top w:val="single" w:color="000000" w:sz="4" w:space="0"/>
              <w:left w:val="single" w:color="000000" w:sz="4" w:space="0"/>
              <w:bottom w:val="single" w:color="000000" w:sz="4" w:space="0"/>
              <w:right w:val="single" w:color="000000" w:sz="4" w:space="0"/>
            </w:tcBorders>
            <w:noWrap/>
            <w:vAlign w:val="center"/>
          </w:tcPr>
          <w:p w14:paraId="28F6EFC5">
            <w:pPr>
              <w:spacing w:line="240" w:lineRule="auto"/>
              <w:ind w:firstLine="0" w:firstLineChars="0"/>
              <w:jc w:val="center"/>
              <w:rPr>
                <w:rFonts w:hint="default" w:ascii="Times New Roman" w:hAnsi="Times New Roman" w:eastAsia="宋体" w:cs="Times New Roman"/>
                <w:i w:val="0"/>
                <w:iCs w:val="0"/>
                <w:color w:val="000000"/>
                <w:sz w:val="20"/>
                <w:szCs w:val="20"/>
                <w:u w:val="none"/>
              </w:rPr>
            </w:pPr>
          </w:p>
        </w:tc>
        <w:tc>
          <w:tcPr>
            <w:tcW w:w="1086" w:type="pct"/>
            <w:tcBorders>
              <w:top w:val="single" w:color="000000" w:sz="4" w:space="0"/>
              <w:left w:val="single" w:color="000000" w:sz="4" w:space="0"/>
              <w:bottom w:val="single" w:color="000000" w:sz="4" w:space="0"/>
              <w:right w:val="single" w:color="000000" w:sz="4" w:space="0"/>
            </w:tcBorders>
            <w:noWrap w:val="0"/>
            <w:vAlign w:val="center"/>
          </w:tcPr>
          <w:p w14:paraId="4164EF01">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20"/>
                <w:szCs w:val="20"/>
                <w:u w:val="none"/>
              </w:rPr>
            </w:pPr>
            <w:r>
              <w:rPr>
                <w:rFonts w:hint="eastAsia" w:ascii="宋体" w:hAnsi="宋体" w:eastAsia="宋体" w:cs="宋体"/>
                <w:i w:val="0"/>
                <w:iCs w:val="0"/>
                <w:color w:val="000000"/>
                <w:kern w:val="0"/>
                <w:sz w:val="18"/>
                <w:szCs w:val="18"/>
                <w:u w:val="none"/>
                <w:lang w:val="en-US" w:eastAsia="zh-CN" w:bidi="ar"/>
              </w:rPr>
              <w:t>气浮提升泵</w:t>
            </w:r>
          </w:p>
        </w:tc>
        <w:tc>
          <w:tcPr>
            <w:tcW w:w="1008" w:type="dxa"/>
            <w:tcBorders>
              <w:top w:val="single" w:color="000000" w:sz="4" w:space="0"/>
              <w:left w:val="single" w:color="000000" w:sz="4" w:space="0"/>
              <w:bottom w:val="single" w:color="000000" w:sz="4" w:space="0"/>
              <w:right w:val="single" w:color="000000" w:sz="4" w:space="0"/>
            </w:tcBorders>
            <w:noWrap/>
            <w:vAlign w:val="center"/>
          </w:tcPr>
          <w:p w14:paraId="413D5DF4">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20"/>
                <w:szCs w:val="20"/>
                <w:u w:val="none"/>
              </w:rPr>
            </w:pPr>
            <w:r>
              <w:rPr>
                <w:rFonts w:hint="eastAsia" w:ascii="宋体" w:hAnsi="宋体" w:eastAsia="宋体" w:cs="宋体"/>
                <w:i w:val="0"/>
                <w:iCs w:val="0"/>
                <w:color w:val="000000"/>
                <w:kern w:val="0"/>
                <w:sz w:val="18"/>
                <w:szCs w:val="18"/>
                <w:u w:val="none"/>
                <w:lang w:val="en-US" w:eastAsia="zh-CN" w:bidi="ar"/>
              </w:rPr>
              <w:t>台</w:t>
            </w:r>
          </w:p>
        </w:tc>
        <w:tc>
          <w:tcPr>
            <w:tcW w:w="648" w:type="dxa"/>
            <w:tcBorders>
              <w:top w:val="single" w:color="000000" w:sz="4" w:space="0"/>
              <w:left w:val="single" w:color="000000" w:sz="4" w:space="0"/>
              <w:bottom w:val="single" w:color="000000" w:sz="4" w:space="0"/>
              <w:right w:val="single" w:color="000000" w:sz="4" w:space="0"/>
            </w:tcBorders>
            <w:noWrap/>
            <w:vAlign w:val="center"/>
          </w:tcPr>
          <w:p w14:paraId="0BDE40E0">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20"/>
                <w:szCs w:val="20"/>
                <w:u w:val="none"/>
              </w:rPr>
            </w:pPr>
            <w:r>
              <w:rPr>
                <w:rFonts w:hint="default" w:ascii="Times New Roman" w:hAnsi="Times New Roman" w:eastAsia="宋体" w:cs="Times New Roman"/>
                <w:i w:val="0"/>
                <w:iCs w:val="0"/>
                <w:color w:val="000000"/>
                <w:kern w:val="0"/>
                <w:sz w:val="18"/>
                <w:szCs w:val="18"/>
                <w:u w:val="none"/>
                <w:lang w:val="en-US" w:eastAsia="zh-CN" w:bidi="ar"/>
              </w:rPr>
              <w:t xml:space="preserve">2 </w:t>
            </w:r>
          </w:p>
        </w:tc>
        <w:tc>
          <w:tcPr>
            <w:tcW w:w="1487" w:type="dxa"/>
            <w:tcBorders>
              <w:top w:val="single" w:color="000000" w:sz="4" w:space="0"/>
              <w:left w:val="single" w:color="000000" w:sz="4" w:space="0"/>
              <w:bottom w:val="single" w:color="000000" w:sz="4" w:space="0"/>
              <w:right w:val="single" w:color="000000" w:sz="4" w:space="0"/>
            </w:tcBorders>
            <w:noWrap/>
            <w:vAlign w:val="center"/>
          </w:tcPr>
          <w:p w14:paraId="2D672D16">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20"/>
                <w:szCs w:val="20"/>
                <w:u w:val="none"/>
              </w:rPr>
            </w:pPr>
            <w:r>
              <w:rPr>
                <w:rFonts w:hint="default" w:ascii="Times New Roman" w:hAnsi="Times New Roman" w:eastAsia="宋体" w:cs="Times New Roman"/>
                <w:i w:val="0"/>
                <w:iCs w:val="0"/>
                <w:color w:val="000000"/>
                <w:kern w:val="0"/>
                <w:sz w:val="18"/>
                <w:szCs w:val="18"/>
                <w:u w:val="none"/>
                <w:lang w:val="en-US" w:eastAsia="zh-CN" w:bidi="ar"/>
              </w:rPr>
              <w:t xml:space="preserve">1.70 </w:t>
            </w:r>
          </w:p>
        </w:tc>
        <w:tc>
          <w:tcPr>
            <w:tcW w:w="2977" w:type="dxa"/>
            <w:tcBorders>
              <w:top w:val="single" w:color="000000" w:sz="4" w:space="0"/>
              <w:left w:val="single" w:color="000000" w:sz="4" w:space="0"/>
              <w:bottom w:val="single" w:color="000000" w:sz="4" w:space="0"/>
              <w:right w:val="single" w:color="000000" w:sz="4" w:space="0"/>
            </w:tcBorders>
            <w:noWrap/>
            <w:vAlign w:val="center"/>
          </w:tcPr>
          <w:p w14:paraId="13002CFD">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color w:val="000000"/>
                <w:kern w:val="0"/>
                <w:sz w:val="18"/>
                <w:szCs w:val="18"/>
                <w:u w:val="none"/>
                <w:lang w:val="en-US" w:eastAsia="zh-CN" w:bidi="ar"/>
              </w:rPr>
              <w:t>SS316Q=8</w:t>
            </w:r>
            <w:r>
              <w:rPr>
                <w:rFonts w:hint="eastAsia" w:cs="Times New Roman"/>
                <w:i w:val="0"/>
                <w:iCs w:val="0"/>
                <w:color w:val="000000"/>
                <w:kern w:val="0"/>
                <w:sz w:val="18"/>
                <w:szCs w:val="18"/>
                <w:u w:val="none"/>
                <w:lang w:val="en-US" w:eastAsia="zh-CN" w:bidi="ar"/>
              </w:rPr>
              <w:t>m³</w:t>
            </w:r>
            <w:r>
              <w:rPr>
                <w:rFonts w:hint="default" w:ascii="Times New Roman" w:hAnsi="Times New Roman" w:eastAsia="宋体" w:cs="Times New Roman"/>
                <w:i w:val="0"/>
                <w:iCs w:val="0"/>
                <w:color w:val="000000"/>
                <w:kern w:val="0"/>
                <w:sz w:val="18"/>
                <w:szCs w:val="18"/>
                <w:u w:val="none"/>
                <w:lang w:val="en-US" w:eastAsia="zh-CN" w:bidi="ar"/>
              </w:rPr>
              <w:t>/hH=15mN=0.75KW</w:t>
            </w:r>
          </w:p>
        </w:tc>
      </w:tr>
      <w:tr w14:paraId="2441C7D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4" w:hRule="atLeast"/>
        </w:trPr>
        <w:tc>
          <w:tcPr>
            <w:tcW w:w="322" w:type="pct"/>
            <w:tcBorders>
              <w:top w:val="single" w:color="000000" w:sz="4" w:space="0"/>
              <w:left w:val="single" w:color="000000" w:sz="4" w:space="0"/>
              <w:bottom w:val="single" w:color="000000" w:sz="4" w:space="0"/>
              <w:right w:val="single" w:color="000000" w:sz="4" w:space="0"/>
            </w:tcBorders>
            <w:noWrap/>
            <w:vAlign w:val="center"/>
          </w:tcPr>
          <w:p w14:paraId="66B6EB73">
            <w:pPr>
              <w:spacing w:line="240" w:lineRule="auto"/>
              <w:ind w:firstLine="0" w:firstLineChars="0"/>
              <w:jc w:val="center"/>
              <w:rPr>
                <w:rFonts w:hint="default" w:ascii="Times New Roman" w:hAnsi="Times New Roman" w:eastAsia="宋体" w:cs="Times New Roman"/>
                <w:i w:val="0"/>
                <w:iCs w:val="0"/>
                <w:color w:val="000000"/>
                <w:sz w:val="20"/>
                <w:szCs w:val="20"/>
                <w:u w:val="none"/>
              </w:rPr>
            </w:pPr>
          </w:p>
        </w:tc>
        <w:tc>
          <w:tcPr>
            <w:tcW w:w="1086" w:type="pct"/>
            <w:tcBorders>
              <w:top w:val="single" w:color="000000" w:sz="4" w:space="0"/>
              <w:left w:val="single" w:color="000000" w:sz="4" w:space="0"/>
              <w:bottom w:val="single" w:color="000000" w:sz="4" w:space="0"/>
              <w:right w:val="single" w:color="000000" w:sz="4" w:space="0"/>
            </w:tcBorders>
            <w:noWrap w:val="0"/>
            <w:vAlign w:val="center"/>
          </w:tcPr>
          <w:p w14:paraId="64FFEFB5">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20"/>
                <w:szCs w:val="20"/>
                <w:u w:val="none"/>
              </w:rPr>
            </w:pPr>
            <w:r>
              <w:rPr>
                <w:rFonts w:hint="eastAsia" w:ascii="宋体" w:hAnsi="宋体" w:eastAsia="宋体" w:cs="宋体"/>
                <w:i w:val="0"/>
                <w:iCs w:val="0"/>
                <w:color w:val="000000"/>
                <w:kern w:val="0"/>
                <w:sz w:val="18"/>
                <w:szCs w:val="18"/>
                <w:u w:val="none"/>
                <w:lang w:val="en-US" w:eastAsia="zh-CN" w:bidi="ar"/>
              </w:rPr>
              <w:t>多级高效生化系统</w:t>
            </w:r>
          </w:p>
        </w:tc>
        <w:tc>
          <w:tcPr>
            <w:tcW w:w="1008" w:type="dxa"/>
            <w:tcBorders>
              <w:top w:val="single" w:color="000000" w:sz="4" w:space="0"/>
              <w:left w:val="single" w:color="000000" w:sz="4" w:space="0"/>
              <w:bottom w:val="single" w:color="000000" w:sz="4" w:space="0"/>
              <w:right w:val="single" w:color="000000" w:sz="4" w:space="0"/>
            </w:tcBorders>
            <w:noWrap/>
            <w:vAlign w:val="center"/>
          </w:tcPr>
          <w:p w14:paraId="268BE558">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20"/>
                <w:szCs w:val="20"/>
                <w:u w:val="none"/>
              </w:rPr>
            </w:pPr>
            <w:r>
              <w:rPr>
                <w:rFonts w:hint="eastAsia" w:ascii="宋体" w:hAnsi="宋体" w:eastAsia="宋体" w:cs="宋体"/>
                <w:i w:val="0"/>
                <w:iCs w:val="0"/>
                <w:color w:val="000000"/>
                <w:kern w:val="0"/>
                <w:sz w:val="18"/>
                <w:szCs w:val="18"/>
                <w:u w:val="none"/>
                <w:lang w:val="en-US" w:eastAsia="zh-CN" w:bidi="ar"/>
              </w:rPr>
              <w:t>套</w:t>
            </w:r>
          </w:p>
        </w:tc>
        <w:tc>
          <w:tcPr>
            <w:tcW w:w="648" w:type="dxa"/>
            <w:tcBorders>
              <w:top w:val="single" w:color="000000" w:sz="4" w:space="0"/>
              <w:left w:val="single" w:color="000000" w:sz="4" w:space="0"/>
              <w:bottom w:val="single" w:color="000000" w:sz="4" w:space="0"/>
              <w:right w:val="single" w:color="000000" w:sz="4" w:space="0"/>
            </w:tcBorders>
            <w:noWrap/>
            <w:vAlign w:val="center"/>
          </w:tcPr>
          <w:p w14:paraId="3D99C6AE">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20"/>
                <w:szCs w:val="20"/>
                <w:u w:val="none"/>
              </w:rPr>
            </w:pPr>
            <w:r>
              <w:rPr>
                <w:rFonts w:hint="default" w:ascii="Times New Roman" w:hAnsi="Times New Roman" w:eastAsia="宋体" w:cs="Times New Roman"/>
                <w:i w:val="0"/>
                <w:iCs w:val="0"/>
                <w:color w:val="000000"/>
                <w:kern w:val="0"/>
                <w:sz w:val="18"/>
                <w:szCs w:val="18"/>
                <w:u w:val="none"/>
                <w:lang w:val="en-US" w:eastAsia="zh-CN" w:bidi="ar"/>
              </w:rPr>
              <w:t xml:space="preserve">2 </w:t>
            </w:r>
          </w:p>
        </w:tc>
        <w:tc>
          <w:tcPr>
            <w:tcW w:w="1487" w:type="dxa"/>
            <w:tcBorders>
              <w:top w:val="single" w:color="000000" w:sz="4" w:space="0"/>
              <w:left w:val="single" w:color="000000" w:sz="4" w:space="0"/>
              <w:bottom w:val="single" w:color="000000" w:sz="4" w:space="0"/>
              <w:right w:val="single" w:color="000000" w:sz="4" w:space="0"/>
            </w:tcBorders>
            <w:noWrap/>
            <w:vAlign w:val="center"/>
          </w:tcPr>
          <w:p w14:paraId="730BB34E">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20"/>
                <w:szCs w:val="20"/>
                <w:u w:val="none"/>
              </w:rPr>
            </w:pPr>
            <w:r>
              <w:rPr>
                <w:rFonts w:hint="default" w:ascii="Times New Roman" w:hAnsi="Times New Roman" w:eastAsia="宋体" w:cs="Times New Roman"/>
                <w:i w:val="0"/>
                <w:iCs w:val="0"/>
                <w:color w:val="000000"/>
                <w:kern w:val="0"/>
                <w:sz w:val="18"/>
                <w:szCs w:val="18"/>
                <w:u w:val="none"/>
                <w:lang w:val="en-US" w:eastAsia="zh-CN" w:bidi="ar"/>
              </w:rPr>
              <w:t xml:space="preserve">520.00 </w:t>
            </w:r>
          </w:p>
        </w:tc>
        <w:tc>
          <w:tcPr>
            <w:tcW w:w="2977" w:type="dxa"/>
            <w:tcBorders>
              <w:top w:val="single" w:color="000000" w:sz="4" w:space="0"/>
              <w:left w:val="single" w:color="000000" w:sz="4" w:space="0"/>
              <w:bottom w:val="single" w:color="000000" w:sz="4" w:space="0"/>
              <w:right w:val="single" w:color="000000" w:sz="4" w:space="0"/>
            </w:tcBorders>
            <w:noWrap/>
            <w:vAlign w:val="center"/>
          </w:tcPr>
          <w:p w14:paraId="20F793B1">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color w:val="000000"/>
                <w:kern w:val="0"/>
                <w:sz w:val="18"/>
                <w:szCs w:val="18"/>
                <w:u w:val="none"/>
                <w:lang w:val="en-US" w:eastAsia="zh-CN" w:bidi="ar"/>
              </w:rPr>
              <w:t>RHFX/4000/6000</w:t>
            </w:r>
            <w:r>
              <w:rPr>
                <w:rFonts w:hint="eastAsia" w:cs="Times New Roman"/>
                <w:i w:val="0"/>
                <w:iCs w:val="0"/>
                <w:color w:val="000000"/>
                <w:kern w:val="0"/>
                <w:sz w:val="18"/>
                <w:szCs w:val="18"/>
                <w:u w:val="none"/>
                <w:lang w:val="en-US" w:eastAsia="zh-CN" w:bidi="ar"/>
              </w:rPr>
              <w:t>，</w:t>
            </w:r>
            <w:r>
              <w:rPr>
                <w:rFonts w:hint="default" w:ascii="Times New Roman" w:hAnsi="Times New Roman" w:eastAsia="宋体" w:cs="Times New Roman"/>
                <w:i w:val="0"/>
                <w:iCs w:val="0"/>
                <w:color w:val="000000"/>
                <w:kern w:val="0"/>
                <w:sz w:val="18"/>
                <w:szCs w:val="18"/>
                <w:u w:val="none"/>
                <w:lang w:val="en-US" w:eastAsia="zh-CN" w:bidi="ar"/>
              </w:rPr>
              <w:t>H=10000mm</w:t>
            </w:r>
          </w:p>
        </w:tc>
      </w:tr>
      <w:tr w14:paraId="3C91A95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4" w:hRule="atLeast"/>
        </w:trPr>
        <w:tc>
          <w:tcPr>
            <w:tcW w:w="322" w:type="pct"/>
            <w:tcBorders>
              <w:top w:val="single" w:color="000000" w:sz="4" w:space="0"/>
              <w:left w:val="single" w:color="000000" w:sz="4" w:space="0"/>
              <w:bottom w:val="single" w:color="000000" w:sz="4" w:space="0"/>
              <w:right w:val="single" w:color="000000" w:sz="4" w:space="0"/>
            </w:tcBorders>
            <w:noWrap/>
            <w:vAlign w:val="center"/>
          </w:tcPr>
          <w:p w14:paraId="5F58DFDB">
            <w:pPr>
              <w:spacing w:line="240" w:lineRule="auto"/>
              <w:ind w:firstLine="0" w:firstLineChars="0"/>
              <w:jc w:val="center"/>
              <w:rPr>
                <w:rFonts w:hint="default" w:ascii="Times New Roman" w:hAnsi="Times New Roman" w:eastAsia="宋体" w:cs="Times New Roman"/>
                <w:i w:val="0"/>
                <w:iCs w:val="0"/>
                <w:color w:val="000000"/>
                <w:sz w:val="20"/>
                <w:szCs w:val="20"/>
                <w:u w:val="none"/>
              </w:rPr>
            </w:pPr>
          </w:p>
        </w:tc>
        <w:tc>
          <w:tcPr>
            <w:tcW w:w="1086" w:type="pct"/>
            <w:tcBorders>
              <w:top w:val="single" w:color="000000" w:sz="4" w:space="0"/>
              <w:left w:val="single" w:color="000000" w:sz="4" w:space="0"/>
              <w:bottom w:val="single" w:color="000000" w:sz="4" w:space="0"/>
              <w:right w:val="single" w:color="000000" w:sz="4" w:space="0"/>
            </w:tcBorders>
            <w:noWrap w:val="0"/>
            <w:vAlign w:val="center"/>
          </w:tcPr>
          <w:p w14:paraId="31C59E40">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20"/>
                <w:szCs w:val="20"/>
                <w:u w:val="none"/>
              </w:rPr>
            </w:pPr>
            <w:r>
              <w:rPr>
                <w:rFonts w:hint="eastAsia" w:ascii="宋体" w:hAnsi="宋体" w:eastAsia="宋体" w:cs="宋体"/>
                <w:i w:val="0"/>
                <w:iCs w:val="0"/>
                <w:color w:val="000000"/>
                <w:kern w:val="0"/>
                <w:sz w:val="18"/>
                <w:szCs w:val="18"/>
                <w:u w:val="none"/>
                <w:lang w:val="en-US" w:eastAsia="zh-CN" w:bidi="ar"/>
              </w:rPr>
              <w:t>碳源自动投加系统</w:t>
            </w:r>
          </w:p>
        </w:tc>
        <w:tc>
          <w:tcPr>
            <w:tcW w:w="1008" w:type="dxa"/>
            <w:tcBorders>
              <w:top w:val="single" w:color="000000" w:sz="4" w:space="0"/>
              <w:left w:val="single" w:color="000000" w:sz="4" w:space="0"/>
              <w:bottom w:val="single" w:color="000000" w:sz="4" w:space="0"/>
              <w:right w:val="single" w:color="000000" w:sz="4" w:space="0"/>
            </w:tcBorders>
            <w:noWrap/>
            <w:vAlign w:val="center"/>
          </w:tcPr>
          <w:p w14:paraId="71B9C896">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20"/>
                <w:szCs w:val="20"/>
                <w:u w:val="none"/>
              </w:rPr>
            </w:pPr>
            <w:r>
              <w:rPr>
                <w:rFonts w:hint="eastAsia" w:ascii="宋体" w:hAnsi="宋体" w:eastAsia="宋体" w:cs="宋体"/>
                <w:i w:val="0"/>
                <w:iCs w:val="0"/>
                <w:color w:val="000000"/>
                <w:kern w:val="0"/>
                <w:sz w:val="18"/>
                <w:szCs w:val="18"/>
                <w:u w:val="none"/>
                <w:lang w:val="en-US" w:eastAsia="zh-CN" w:bidi="ar"/>
              </w:rPr>
              <w:t>套</w:t>
            </w:r>
          </w:p>
        </w:tc>
        <w:tc>
          <w:tcPr>
            <w:tcW w:w="648" w:type="dxa"/>
            <w:tcBorders>
              <w:top w:val="single" w:color="000000" w:sz="4" w:space="0"/>
              <w:left w:val="single" w:color="000000" w:sz="4" w:space="0"/>
              <w:bottom w:val="single" w:color="000000" w:sz="4" w:space="0"/>
              <w:right w:val="single" w:color="000000" w:sz="4" w:space="0"/>
            </w:tcBorders>
            <w:noWrap/>
            <w:vAlign w:val="center"/>
          </w:tcPr>
          <w:p w14:paraId="50FB8E93">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20"/>
                <w:szCs w:val="20"/>
                <w:u w:val="none"/>
              </w:rPr>
            </w:pPr>
            <w:r>
              <w:rPr>
                <w:rFonts w:hint="default" w:ascii="Times New Roman" w:hAnsi="Times New Roman" w:eastAsia="宋体" w:cs="Times New Roman"/>
                <w:i w:val="0"/>
                <w:iCs w:val="0"/>
                <w:color w:val="000000"/>
                <w:kern w:val="0"/>
                <w:sz w:val="18"/>
                <w:szCs w:val="18"/>
                <w:u w:val="none"/>
                <w:lang w:val="en-US" w:eastAsia="zh-CN" w:bidi="ar"/>
              </w:rPr>
              <w:t xml:space="preserve">1 </w:t>
            </w:r>
          </w:p>
        </w:tc>
        <w:tc>
          <w:tcPr>
            <w:tcW w:w="1487" w:type="dxa"/>
            <w:tcBorders>
              <w:top w:val="single" w:color="000000" w:sz="4" w:space="0"/>
              <w:left w:val="single" w:color="000000" w:sz="4" w:space="0"/>
              <w:bottom w:val="single" w:color="000000" w:sz="4" w:space="0"/>
              <w:right w:val="single" w:color="000000" w:sz="4" w:space="0"/>
            </w:tcBorders>
            <w:noWrap/>
            <w:vAlign w:val="center"/>
          </w:tcPr>
          <w:p w14:paraId="76973FDB">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20"/>
                <w:szCs w:val="20"/>
                <w:u w:val="none"/>
              </w:rPr>
            </w:pPr>
            <w:r>
              <w:rPr>
                <w:rFonts w:hint="default" w:ascii="Times New Roman" w:hAnsi="Times New Roman" w:eastAsia="宋体" w:cs="Times New Roman"/>
                <w:i w:val="0"/>
                <w:iCs w:val="0"/>
                <w:color w:val="000000"/>
                <w:kern w:val="0"/>
                <w:sz w:val="18"/>
                <w:szCs w:val="18"/>
                <w:u w:val="none"/>
                <w:lang w:val="en-US" w:eastAsia="zh-CN" w:bidi="ar"/>
              </w:rPr>
              <w:t xml:space="preserve">1.20 </w:t>
            </w:r>
          </w:p>
        </w:tc>
        <w:tc>
          <w:tcPr>
            <w:tcW w:w="2977" w:type="dxa"/>
            <w:tcBorders>
              <w:top w:val="single" w:color="000000" w:sz="4" w:space="0"/>
              <w:left w:val="single" w:color="000000" w:sz="4" w:space="0"/>
              <w:bottom w:val="single" w:color="000000" w:sz="4" w:space="0"/>
              <w:right w:val="single" w:color="000000" w:sz="4" w:space="0"/>
            </w:tcBorders>
            <w:noWrap/>
            <w:vAlign w:val="center"/>
          </w:tcPr>
          <w:p w14:paraId="0C65D704">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color w:val="000000"/>
                <w:kern w:val="0"/>
                <w:sz w:val="18"/>
                <w:szCs w:val="18"/>
                <w:u w:val="none"/>
                <w:lang w:val="en-US" w:eastAsia="zh-CN" w:bidi="ar"/>
              </w:rPr>
              <w:t>JBY1/1-1.6/0.76</w:t>
            </w:r>
          </w:p>
        </w:tc>
      </w:tr>
      <w:tr w14:paraId="0C7704E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4" w:hRule="atLeast"/>
        </w:trPr>
        <w:tc>
          <w:tcPr>
            <w:tcW w:w="322" w:type="pct"/>
            <w:tcBorders>
              <w:top w:val="single" w:color="000000" w:sz="4" w:space="0"/>
              <w:left w:val="single" w:color="000000" w:sz="4" w:space="0"/>
              <w:bottom w:val="single" w:color="000000" w:sz="4" w:space="0"/>
              <w:right w:val="single" w:color="000000" w:sz="4" w:space="0"/>
            </w:tcBorders>
            <w:noWrap/>
            <w:vAlign w:val="center"/>
          </w:tcPr>
          <w:p w14:paraId="533861CE">
            <w:pPr>
              <w:spacing w:line="240" w:lineRule="auto"/>
              <w:ind w:firstLine="0" w:firstLineChars="0"/>
              <w:jc w:val="center"/>
              <w:rPr>
                <w:rFonts w:hint="default" w:ascii="Times New Roman" w:hAnsi="Times New Roman" w:eastAsia="宋体" w:cs="Times New Roman"/>
                <w:i w:val="0"/>
                <w:iCs w:val="0"/>
                <w:color w:val="000000"/>
                <w:sz w:val="20"/>
                <w:szCs w:val="20"/>
                <w:u w:val="none"/>
              </w:rPr>
            </w:pPr>
          </w:p>
        </w:tc>
        <w:tc>
          <w:tcPr>
            <w:tcW w:w="1086" w:type="pct"/>
            <w:tcBorders>
              <w:top w:val="single" w:color="000000" w:sz="4" w:space="0"/>
              <w:left w:val="single" w:color="000000" w:sz="4" w:space="0"/>
              <w:bottom w:val="single" w:color="000000" w:sz="4" w:space="0"/>
              <w:right w:val="single" w:color="000000" w:sz="4" w:space="0"/>
            </w:tcBorders>
            <w:noWrap w:val="0"/>
            <w:vAlign w:val="center"/>
          </w:tcPr>
          <w:p w14:paraId="3B36C934">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20"/>
                <w:szCs w:val="20"/>
                <w:u w:val="none"/>
              </w:rPr>
            </w:pPr>
            <w:r>
              <w:rPr>
                <w:rFonts w:hint="eastAsia" w:ascii="宋体" w:hAnsi="宋体" w:eastAsia="宋体" w:cs="宋体"/>
                <w:i w:val="0"/>
                <w:iCs w:val="0"/>
                <w:color w:val="000000"/>
                <w:kern w:val="0"/>
                <w:sz w:val="18"/>
                <w:szCs w:val="18"/>
                <w:u w:val="none"/>
                <w:lang w:val="en-US" w:eastAsia="zh-CN" w:bidi="ar"/>
              </w:rPr>
              <w:t>回流泵</w:t>
            </w:r>
          </w:p>
        </w:tc>
        <w:tc>
          <w:tcPr>
            <w:tcW w:w="1008" w:type="dxa"/>
            <w:tcBorders>
              <w:top w:val="single" w:color="000000" w:sz="4" w:space="0"/>
              <w:left w:val="single" w:color="000000" w:sz="4" w:space="0"/>
              <w:bottom w:val="single" w:color="000000" w:sz="4" w:space="0"/>
              <w:right w:val="single" w:color="000000" w:sz="4" w:space="0"/>
            </w:tcBorders>
            <w:noWrap/>
            <w:vAlign w:val="center"/>
          </w:tcPr>
          <w:p w14:paraId="04A11FA9">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20"/>
                <w:szCs w:val="20"/>
                <w:u w:val="none"/>
              </w:rPr>
            </w:pPr>
            <w:r>
              <w:rPr>
                <w:rFonts w:hint="eastAsia" w:ascii="宋体" w:hAnsi="宋体" w:eastAsia="宋体" w:cs="宋体"/>
                <w:i w:val="0"/>
                <w:iCs w:val="0"/>
                <w:color w:val="000000"/>
                <w:kern w:val="0"/>
                <w:sz w:val="18"/>
                <w:szCs w:val="18"/>
                <w:u w:val="none"/>
                <w:lang w:val="en-US" w:eastAsia="zh-CN" w:bidi="ar"/>
              </w:rPr>
              <w:t>台</w:t>
            </w:r>
          </w:p>
        </w:tc>
        <w:tc>
          <w:tcPr>
            <w:tcW w:w="648" w:type="dxa"/>
            <w:tcBorders>
              <w:top w:val="single" w:color="000000" w:sz="4" w:space="0"/>
              <w:left w:val="single" w:color="000000" w:sz="4" w:space="0"/>
              <w:bottom w:val="single" w:color="000000" w:sz="4" w:space="0"/>
              <w:right w:val="single" w:color="000000" w:sz="4" w:space="0"/>
            </w:tcBorders>
            <w:noWrap/>
            <w:vAlign w:val="center"/>
          </w:tcPr>
          <w:p w14:paraId="21ED6387">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20"/>
                <w:szCs w:val="20"/>
                <w:u w:val="none"/>
              </w:rPr>
            </w:pPr>
            <w:r>
              <w:rPr>
                <w:rFonts w:hint="default" w:ascii="Times New Roman" w:hAnsi="Times New Roman" w:eastAsia="宋体" w:cs="Times New Roman"/>
                <w:i w:val="0"/>
                <w:iCs w:val="0"/>
                <w:color w:val="000000"/>
                <w:kern w:val="0"/>
                <w:sz w:val="18"/>
                <w:szCs w:val="18"/>
                <w:u w:val="none"/>
                <w:lang w:val="en-US" w:eastAsia="zh-CN" w:bidi="ar"/>
              </w:rPr>
              <w:t xml:space="preserve">3 </w:t>
            </w:r>
          </w:p>
        </w:tc>
        <w:tc>
          <w:tcPr>
            <w:tcW w:w="1487" w:type="dxa"/>
            <w:tcBorders>
              <w:top w:val="single" w:color="000000" w:sz="4" w:space="0"/>
              <w:left w:val="single" w:color="000000" w:sz="4" w:space="0"/>
              <w:bottom w:val="single" w:color="000000" w:sz="4" w:space="0"/>
              <w:right w:val="single" w:color="000000" w:sz="4" w:space="0"/>
            </w:tcBorders>
            <w:noWrap/>
            <w:vAlign w:val="center"/>
          </w:tcPr>
          <w:p w14:paraId="2F31AB29">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20"/>
                <w:szCs w:val="20"/>
                <w:u w:val="none"/>
              </w:rPr>
            </w:pPr>
            <w:r>
              <w:rPr>
                <w:rFonts w:hint="default" w:ascii="Times New Roman" w:hAnsi="Times New Roman" w:eastAsia="宋体" w:cs="Times New Roman"/>
                <w:i w:val="0"/>
                <w:iCs w:val="0"/>
                <w:color w:val="000000"/>
                <w:kern w:val="0"/>
                <w:sz w:val="18"/>
                <w:szCs w:val="18"/>
                <w:u w:val="none"/>
                <w:lang w:val="en-US" w:eastAsia="zh-CN" w:bidi="ar"/>
              </w:rPr>
              <w:t xml:space="preserve">4.05 </w:t>
            </w:r>
          </w:p>
        </w:tc>
        <w:tc>
          <w:tcPr>
            <w:tcW w:w="2977" w:type="dxa"/>
            <w:tcBorders>
              <w:top w:val="single" w:color="000000" w:sz="4" w:space="0"/>
              <w:left w:val="single" w:color="000000" w:sz="4" w:space="0"/>
              <w:bottom w:val="single" w:color="000000" w:sz="4" w:space="0"/>
              <w:right w:val="single" w:color="000000" w:sz="4" w:space="0"/>
            </w:tcBorders>
            <w:noWrap/>
            <w:vAlign w:val="center"/>
          </w:tcPr>
          <w:p w14:paraId="7F271476">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color w:val="000000"/>
                <w:kern w:val="0"/>
                <w:sz w:val="18"/>
                <w:szCs w:val="18"/>
                <w:u w:val="none"/>
                <w:lang w:val="en-US" w:eastAsia="zh-CN" w:bidi="ar"/>
              </w:rPr>
              <w:t>SS316Q=30</w:t>
            </w:r>
            <w:r>
              <w:rPr>
                <w:rFonts w:hint="eastAsia" w:cs="Times New Roman"/>
                <w:i w:val="0"/>
                <w:iCs w:val="0"/>
                <w:color w:val="000000"/>
                <w:kern w:val="0"/>
                <w:sz w:val="18"/>
                <w:szCs w:val="18"/>
                <w:u w:val="none"/>
                <w:lang w:val="en-US" w:eastAsia="zh-CN" w:bidi="ar"/>
              </w:rPr>
              <w:t>m³</w:t>
            </w:r>
            <w:r>
              <w:rPr>
                <w:rFonts w:hint="default" w:ascii="Times New Roman" w:hAnsi="Times New Roman" w:eastAsia="宋体" w:cs="Times New Roman"/>
                <w:i w:val="0"/>
                <w:iCs w:val="0"/>
                <w:color w:val="000000"/>
                <w:kern w:val="0"/>
                <w:sz w:val="18"/>
                <w:szCs w:val="18"/>
                <w:u w:val="none"/>
                <w:lang w:val="en-US" w:eastAsia="zh-CN" w:bidi="ar"/>
              </w:rPr>
              <w:t>/hH=17mN=2.2kw</w:t>
            </w:r>
          </w:p>
        </w:tc>
      </w:tr>
      <w:tr w14:paraId="6ED14A1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4" w:hRule="atLeast"/>
        </w:trPr>
        <w:tc>
          <w:tcPr>
            <w:tcW w:w="322" w:type="pct"/>
            <w:tcBorders>
              <w:top w:val="single" w:color="000000" w:sz="4" w:space="0"/>
              <w:left w:val="single" w:color="000000" w:sz="4" w:space="0"/>
              <w:bottom w:val="single" w:color="000000" w:sz="4" w:space="0"/>
              <w:right w:val="single" w:color="000000" w:sz="4" w:space="0"/>
            </w:tcBorders>
            <w:noWrap/>
            <w:vAlign w:val="center"/>
          </w:tcPr>
          <w:p w14:paraId="18E418C3">
            <w:pPr>
              <w:spacing w:line="240" w:lineRule="auto"/>
              <w:ind w:firstLine="0" w:firstLineChars="0"/>
              <w:jc w:val="center"/>
              <w:rPr>
                <w:rFonts w:hint="default" w:ascii="Times New Roman" w:hAnsi="Times New Roman" w:eastAsia="宋体" w:cs="Times New Roman"/>
                <w:i w:val="0"/>
                <w:iCs w:val="0"/>
                <w:color w:val="000000"/>
                <w:sz w:val="20"/>
                <w:szCs w:val="20"/>
                <w:u w:val="none"/>
              </w:rPr>
            </w:pPr>
          </w:p>
        </w:tc>
        <w:tc>
          <w:tcPr>
            <w:tcW w:w="1086" w:type="pct"/>
            <w:tcBorders>
              <w:top w:val="single" w:color="000000" w:sz="4" w:space="0"/>
              <w:left w:val="single" w:color="000000" w:sz="4" w:space="0"/>
              <w:bottom w:val="single" w:color="000000" w:sz="4" w:space="0"/>
              <w:right w:val="single" w:color="000000" w:sz="4" w:space="0"/>
            </w:tcBorders>
            <w:noWrap w:val="0"/>
            <w:vAlign w:val="center"/>
          </w:tcPr>
          <w:p w14:paraId="17D395BA">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20"/>
                <w:szCs w:val="20"/>
                <w:u w:val="none"/>
              </w:rPr>
            </w:pPr>
            <w:r>
              <w:rPr>
                <w:rFonts w:hint="eastAsia" w:ascii="宋体" w:hAnsi="宋体" w:eastAsia="宋体" w:cs="宋体"/>
                <w:i w:val="0"/>
                <w:iCs w:val="0"/>
                <w:color w:val="000000"/>
                <w:kern w:val="0"/>
                <w:sz w:val="18"/>
                <w:szCs w:val="18"/>
                <w:u w:val="none"/>
                <w:lang w:val="en-US" w:eastAsia="zh-CN" w:bidi="ar"/>
              </w:rPr>
              <w:t>曝气风机</w:t>
            </w:r>
          </w:p>
        </w:tc>
        <w:tc>
          <w:tcPr>
            <w:tcW w:w="1008" w:type="dxa"/>
            <w:tcBorders>
              <w:top w:val="single" w:color="000000" w:sz="4" w:space="0"/>
              <w:left w:val="single" w:color="000000" w:sz="4" w:space="0"/>
              <w:bottom w:val="single" w:color="000000" w:sz="4" w:space="0"/>
              <w:right w:val="single" w:color="000000" w:sz="4" w:space="0"/>
            </w:tcBorders>
            <w:noWrap/>
            <w:vAlign w:val="center"/>
          </w:tcPr>
          <w:p w14:paraId="6BEB694E">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20"/>
                <w:szCs w:val="20"/>
                <w:u w:val="none"/>
              </w:rPr>
            </w:pPr>
            <w:r>
              <w:rPr>
                <w:rFonts w:hint="eastAsia" w:ascii="宋体" w:hAnsi="宋体" w:eastAsia="宋体" w:cs="宋体"/>
                <w:i w:val="0"/>
                <w:iCs w:val="0"/>
                <w:color w:val="000000"/>
                <w:kern w:val="0"/>
                <w:sz w:val="18"/>
                <w:szCs w:val="18"/>
                <w:u w:val="none"/>
                <w:lang w:val="en-US" w:eastAsia="zh-CN" w:bidi="ar"/>
              </w:rPr>
              <w:t>台</w:t>
            </w:r>
          </w:p>
        </w:tc>
        <w:tc>
          <w:tcPr>
            <w:tcW w:w="648" w:type="dxa"/>
            <w:tcBorders>
              <w:top w:val="single" w:color="000000" w:sz="4" w:space="0"/>
              <w:left w:val="single" w:color="000000" w:sz="4" w:space="0"/>
              <w:bottom w:val="single" w:color="000000" w:sz="4" w:space="0"/>
              <w:right w:val="single" w:color="000000" w:sz="4" w:space="0"/>
            </w:tcBorders>
            <w:noWrap/>
            <w:vAlign w:val="center"/>
          </w:tcPr>
          <w:p w14:paraId="26F9BCFB">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20"/>
                <w:szCs w:val="20"/>
                <w:u w:val="none"/>
              </w:rPr>
            </w:pPr>
            <w:r>
              <w:rPr>
                <w:rFonts w:hint="default" w:ascii="Times New Roman" w:hAnsi="Times New Roman" w:eastAsia="宋体" w:cs="Times New Roman"/>
                <w:i w:val="0"/>
                <w:iCs w:val="0"/>
                <w:color w:val="000000"/>
                <w:kern w:val="0"/>
                <w:sz w:val="18"/>
                <w:szCs w:val="18"/>
                <w:u w:val="none"/>
                <w:lang w:val="en-US" w:eastAsia="zh-CN" w:bidi="ar"/>
              </w:rPr>
              <w:t xml:space="preserve">3 </w:t>
            </w:r>
          </w:p>
        </w:tc>
        <w:tc>
          <w:tcPr>
            <w:tcW w:w="1487" w:type="dxa"/>
            <w:tcBorders>
              <w:top w:val="single" w:color="000000" w:sz="4" w:space="0"/>
              <w:left w:val="single" w:color="000000" w:sz="4" w:space="0"/>
              <w:bottom w:val="single" w:color="000000" w:sz="4" w:space="0"/>
              <w:right w:val="single" w:color="000000" w:sz="4" w:space="0"/>
            </w:tcBorders>
            <w:noWrap/>
            <w:vAlign w:val="center"/>
          </w:tcPr>
          <w:p w14:paraId="52E8BA5B">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20"/>
                <w:szCs w:val="20"/>
                <w:u w:val="none"/>
              </w:rPr>
            </w:pPr>
            <w:r>
              <w:rPr>
                <w:rFonts w:hint="default" w:ascii="Times New Roman" w:hAnsi="Times New Roman" w:eastAsia="宋体" w:cs="Times New Roman"/>
                <w:i w:val="0"/>
                <w:iCs w:val="0"/>
                <w:color w:val="000000"/>
                <w:kern w:val="0"/>
                <w:sz w:val="18"/>
                <w:szCs w:val="18"/>
                <w:u w:val="none"/>
                <w:lang w:val="en-US" w:eastAsia="zh-CN" w:bidi="ar"/>
              </w:rPr>
              <w:t xml:space="preserve">20.10 </w:t>
            </w:r>
          </w:p>
        </w:tc>
        <w:tc>
          <w:tcPr>
            <w:tcW w:w="2977" w:type="dxa"/>
            <w:tcBorders>
              <w:top w:val="single" w:color="000000" w:sz="4" w:space="0"/>
              <w:left w:val="single" w:color="000000" w:sz="4" w:space="0"/>
              <w:bottom w:val="single" w:color="000000" w:sz="4" w:space="0"/>
              <w:right w:val="single" w:color="000000" w:sz="4" w:space="0"/>
            </w:tcBorders>
            <w:noWrap/>
            <w:vAlign w:val="center"/>
          </w:tcPr>
          <w:p w14:paraId="3EFE0B67">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color w:val="000000"/>
                <w:kern w:val="0"/>
                <w:sz w:val="18"/>
                <w:szCs w:val="18"/>
                <w:u w:val="none"/>
                <w:lang w:val="en-US" w:eastAsia="zh-CN" w:bidi="ar"/>
              </w:rPr>
              <w:t>Q=11.03</w:t>
            </w:r>
            <w:r>
              <w:rPr>
                <w:rFonts w:hint="eastAsia" w:cs="Times New Roman"/>
                <w:i w:val="0"/>
                <w:iCs w:val="0"/>
                <w:color w:val="000000"/>
                <w:kern w:val="0"/>
                <w:sz w:val="18"/>
                <w:szCs w:val="18"/>
                <w:u w:val="none"/>
                <w:lang w:val="en-US" w:eastAsia="zh-CN" w:bidi="ar"/>
              </w:rPr>
              <w:t>m³</w:t>
            </w:r>
            <w:r>
              <w:rPr>
                <w:rFonts w:hint="default" w:ascii="Times New Roman" w:hAnsi="Times New Roman" w:eastAsia="宋体" w:cs="Times New Roman"/>
                <w:i w:val="0"/>
                <w:iCs w:val="0"/>
                <w:color w:val="000000"/>
                <w:kern w:val="0"/>
                <w:sz w:val="18"/>
                <w:szCs w:val="18"/>
                <w:u w:val="none"/>
                <w:lang w:val="en-US" w:eastAsia="zh-CN" w:bidi="ar"/>
              </w:rPr>
              <w:t>/hN=37kwP=0.08Mpa</w:t>
            </w:r>
          </w:p>
        </w:tc>
      </w:tr>
      <w:tr w14:paraId="1A4C5D6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4" w:hRule="atLeast"/>
        </w:trPr>
        <w:tc>
          <w:tcPr>
            <w:tcW w:w="322" w:type="pct"/>
            <w:tcBorders>
              <w:top w:val="single" w:color="000000" w:sz="4" w:space="0"/>
              <w:left w:val="single" w:color="000000" w:sz="4" w:space="0"/>
              <w:bottom w:val="single" w:color="000000" w:sz="4" w:space="0"/>
              <w:right w:val="single" w:color="000000" w:sz="4" w:space="0"/>
            </w:tcBorders>
            <w:noWrap/>
            <w:vAlign w:val="center"/>
          </w:tcPr>
          <w:p w14:paraId="4459D505">
            <w:pPr>
              <w:spacing w:line="240" w:lineRule="auto"/>
              <w:ind w:firstLine="0" w:firstLineChars="0"/>
              <w:jc w:val="center"/>
              <w:rPr>
                <w:rFonts w:hint="default" w:ascii="Times New Roman" w:hAnsi="Times New Roman" w:eastAsia="宋体" w:cs="Times New Roman"/>
                <w:i w:val="0"/>
                <w:iCs w:val="0"/>
                <w:color w:val="000000"/>
                <w:sz w:val="20"/>
                <w:szCs w:val="20"/>
                <w:u w:val="none"/>
              </w:rPr>
            </w:pPr>
          </w:p>
        </w:tc>
        <w:tc>
          <w:tcPr>
            <w:tcW w:w="1086" w:type="pct"/>
            <w:tcBorders>
              <w:top w:val="single" w:color="000000" w:sz="4" w:space="0"/>
              <w:left w:val="single" w:color="000000" w:sz="4" w:space="0"/>
              <w:bottom w:val="single" w:color="000000" w:sz="4" w:space="0"/>
              <w:right w:val="single" w:color="000000" w:sz="4" w:space="0"/>
            </w:tcBorders>
            <w:noWrap w:val="0"/>
            <w:vAlign w:val="center"/>
          </w:tcPr>
          <w:p w14:paraId="40DCA025">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20"/>
                <w:szCs w:val="20"/>
                <w:u w:val="none"/>
              </w:rPr>
            </w:pPr>
            <w:r>
              <w:rPr>
                <w:rFonts w:hint="eastAsia" w:ascii="宋体" w:hAnsi="宋体" w:eastAsia="宋体" w:cs="宋体"/>
                <w:i w:val="0"/>
                <w:iCs w:val="0"/>
                <w:color w:val="000000"/>
                <w:kern w:val="0"/>
                <w:sz w:val="18"/>
                <w:szCs w:val="18"/>
                <w:u w:val="none"/>
                <w:lang w:val="en-US" w:eastAsia="zh-CN" w:bidi="ar"/>
              </w:rPr>
              <w:t>污泥提升泵</w:t>
            </w:r>
          </w:p>
        </w:tc>
        <w:tc>
          <w:tcPr>
            <w:tcW w:w="1008" w:type="dxa"/>
            <w:tcBorders>
              <w:top w:val="single" w:color="000000" w:sz="4" w:space="0"/>
              <w:left w:val="single" w:color="000000" w:sz="4" w:space="0"/>
              <w:bottom w:val="single" w:color="000000" w:sz="4" w:space="0"/>
              <w:right w:val="single" w:color="000000" w:sz="4" w:space="0"/>
            </w:tcBorders>
            <w:noWrap/>
            <w:vAlign w:val="center"/>
          </w:tcPr>
          <w:p w14:paraId="7D0AE2A0">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20"/>
                <w:szCs w:val="20"/>
                <w:u w:val="none"/>
              </w:rPr>
            </w:pPr>
            <w:r>
              <w:rPr>
                <w:rFonts w:hint="eastAsia" w:ascii="宋体" w:hAnsi="宋体" w:eastAsia="宋体" w:cs="宋体"/>
                <w:i w:val="0"/>
                <w:iCs w:val="0"/>
                <w:color w:val="000000"/>
                <w:kern w:val="0"/>
                <w:sz w:val="18"/>
                <w:szCs w:val="18"/>
                <w:u w:val="none"/>
                <w:lang w:val="en-US" w:eastAsia="zh-CN" w:bidi="ar"/>
              </w:rPr>
              <w:t>台</w:t>
            </w:r>
          </w:p>
        </w:tc>
        <w:tc>
          <w:tcPr>
            <w:tcW w:w="648" w:type="dxa"/>
            <w:tcBorders>
              <w:top w:val="single" w:color="000000" w:sz="4" w:space="0"/>
              <w:left w:val="single" w:color="000000" w:sz="4" w:space="0"/>
              <w:bottom w:val="single" w:color="000000" w:sz="4" w:space="0"/>
              <w:right w:val="single" w:color="000000" w:sz="4" w:space="0"/>
            </w:tcBorders>
            <w:noWrap/>
            <w:vAlign w:val="center"/>
          </w:tcPr>
          <w:p w14:paraId="5EC96C77">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20"/>
                <w:szCs w:val="20"/>
                <w:u w:val="none"/>
              </w:rPr>
            </w:pPr>
            <w:r>
              <w:rPr>
                <w:rFonts w:hint="default" w:ascii="Times New Roman" w:hAnsi="Times New Roman" w:eastAsia="宋体" w:cs="Times New Roman"/>
                <w:i w:val="0"/>
                <w:iCs w:val="0"/>
                <w:color w:val="000000"/>
                <w:kern w:val="0"/>
                <w:sz w:val="18"/>
                <w:szCs w:val="18"/>
                <w:u w:val="none"/>
                <w:lang w:val="en-US" w:eastAsia="zh-CN" w:bidi="ar"/>
              </w:rPr>
              <w:t xml:space="preserve">2 </w:t>
            </w:r>
          </w:p>
        </w:tc>
        <w:tc>
          <w:tcPr>
            <w:tcW w:w="1487" w:type="dxa"/>
            <w:tcBorders>
              <w:top w:val="single" w:color="000000" w:sz="4" w:space="0"/>
              <w:left w:val="single" w:color="000000" w:sz="4" w:space="0"/>
              <w:bottom w:val="single" w:color="000000" w:sz="4" w:space="0"/>
              <w:right w:val="single" w:color="000000" w:sz="4" w:space="0"/>
            </w:tcBorders>
            <w:noWrap/>
            <w:vAlign w:val="center"/>
          </w:tcPr>
          <w:p w14:paraId="7D0C3471">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20"/>
                <w:szCs w:val="20"/>
                <w:u w:val="none"/>
              </w:rPr>
            </w:pPr>
            <w:r>
              <w:rPr>
                <w:rFonts w:hint="default" w:ascii="Times New Roman" w:hAnsi="Times New Roman" w:eastAsia="宋体" w:cs="Times New Roman"/>
                <w:i w:val="0"/>
                <w:iCs w:val="0"/>
                <w:color w:val="000000"/>
                <w:kern w:val="0"/>
                <w:sz w:val="18"/>
                <w:szCs w:val="18"/>
                <w:u w:val="none"/>
                <w:lang w:val="en-US" w:eastAsia="zh-CN" w:bidi="ar"/>
              </w:rPr>
              <w:t xml:space="preserve">1.70 </w:t>
            </w:r>
          </w:p>
        </w:tc>
        <w:tc>
          <w:tcPr>
            <w:tcW w:w="2977" w:type="dxa"/>
            <w:tcBorders>
              <w:top w:val="single" w:color="000000" w:sz="4" w:space="0"/>
              <w:left w:val="single" w:color="000000" w:sz="4" w:space="0"/>
              <w:bottom w:val="single" w:color="000000" w:sz="4" w:space="0"/>
              <w:right w:val="single" w:color="000000" w:sz="4" w:space="0"/>
            </w:tcBorders>
            <w:noWrap/>
            <w:vAlign w:val="center"/>
          </w:tcPr>
          <w:p w14:paraId="73155361">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color w:val="000000"/>
                <w:kern w:val="0"/>
                <w:sz w:val="18"/>
                <w:szCs w:val="18"/>
                <w:u w:val="none"/>
                <w:lang w:val="en-US" w:eastAsia="zh-CN" w:bidi="ar"/>
              </w:rPr>
              <w:t>SS316Q=15</w:t>
            </w:r>
            <w:r>
              <w:rPr>
                <w:rFonts w:hint="eastAsia" w:cs="Times New Roman"/>
                <w:i w:val="0"/>
                <w:iCs w:val="0"/>
                <w:color w:val="000000"/>
                <w:kern w:val="0"/>
                <w:sz w:val="18"/>
                <w:szCs w:val="18"/>
                <w:u w:val="none"/>
                <w:lang w:val="en-US" w:eastAsia="zh-CN" w:bidi="ar"/>
              </w:rPr>
              <w:t>m³</w:t>
            </w:r>
            <w:r>
              <w:rPr>
                <w:rFonts w:hint="default" w:ascii="Times New Roman" w:hAnsi="Times New Roman" w:eastAsia="宋体" w:cs="Times New Roman"/>
                <w:i w:val="0"/>
                <w:iCs w:val="0"/>
                <w:color w:val="000000"/>
                <w:kern w:val="0"/>
                <w:sz w:val="18"/>
                <w:szCs w:val="18"/>
                <w:u w:val="none"/>
                <w:lang w:val="en-US" w:eastAsia="zh-CN" w:bidi="ar"/>
              </w:rPr>
              <w:t>/h</w:t>
            </w:r>
            <w:r>
              <w:rPr>
                <w:rFonts w:hint="eastAsia" w:cs="Times New Roman"/>
                <w:i w:val="0"/>
                <w:iCs w:val="0"/>
                <w:color w:val="000000"/>
                <w:kern w:val="0"/>
                <w:sz w:val="18"/>
                <w:szCs w:val="18"/>
                <w:u w:val="none"/>
                <w:lang w:val="en-US" w:eastAsia="zh-CN" w:bidi="ar"/>
              </w:rPr>
              <w:t>，</w:t>
            </w:r>
            <w:r>
              <w:rPr>
                <w:rFonts w:hint="default" w:ascii="Times New Roman" w:hAnsi="Times New Roman" w:eastAsia="宋体" w:cs="Times New Roman"/>
                <w:i w:val="0"/>
                <w:iCs w:val="0"/>
                <w:color w:val="000000"/>
                <w:kern w:val="0"/>
                <w:sz w:val="18"/>
                <w:szCs w:val="18"/>
                <w:u w:val="none"/>
                <w:lang w:val="en-US" w:eastAsia="zh-CN" w:bidi="ar"/>
              </w:rPr>
              <w:t>H=15m</w:t>
            </w:r>
            <w:r>
              <w:rPr>
                <w:rFonts w:hint="eastAsia" w:cs="Times New Roman"/>
                <w:i w:val="0"/>
                <w:iCs w:val="0"/>
                <w:color w:val="000000"/>
                <w:kern w:val="0"/>
                <w:sz w:val="18"/>
                <w:szCs w:val="18"/>
                <w:u w:val="none"/>
                <w:lang w:val="en-US" w:eastAsia="zh-CN" w:bidi="ar"/>
              </w:rPr>
              <w:t>，</w:t>
            </w:r>
            <w:r>
              <w:rPr>
                <w:rFonts w:hint="default" w:ascii="Times New Roman" w:hAnsi="Times New Roman" w:eastAsia="宋体" w:cs="Times New Roman"/>
                <w:i w:val="0"/>
                <w:iCs w:val="0"/>
                <w:color w:val="000000"/>
                <w:kern w:val="0"/>
                <w:sz w:val="18"/>
                <w:szCs w:val="18"/>
                <w:u w:val="none"/>
                <w:lang w:val="en-US" w:eastAsia="zh-CN" w:bidi="ar"/>
              </w:rPr>
              <w:t>N=0.75kw</w:t>
            </w:r>
          </w:p>
        </w:tc>
      </w:tr>
      <w:tr w14:paraId="6A7B4CF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4" w:hRule="atLeast"/>
        </w:trPr>
        <w:tc>
          <w:tcPr>
            <w:tcW w:w="322" w:type="pct"/>
            <w:tcBorders>
              <w:top w:val="single" w:color="000000" w:sz="4" w:space="0"/>
              <w:left w:val="single" w:color="000000" w:sz="4" w:space="0"/>
              <w:bottom w:val="single" w:color="000000" w:sz="4" w:space="0"/>
              <w:right w:val="single" w:color="000000" w:sz="4" w:space="0"/>
            </w:tcBorders>
            <w:noWrap/>
            <w:vAlign w:val="center"/>
          </w:tcPr>
          <w:p w14:paraId="2FF41B0E">
            <w:pPr>
              <w:spacing w:line="240" w:lineRule="auto"/>
              <w:ind w:firstLine="0" w:firstLineChars="0"/>
              <w:jc w:val="center"/>
              <w:rPr>
                <w:rFonts w:hint="default" w:ascii="Times New Roman" w:hAnsi="Times New Roman" w:eastAsia="宋体" w:cs="Times New Roman"/>
                <w:i w:val="0"/>
                <w:iCs w:val="0"/>
                <w:color w:val="000000"/>
                <w:sz w:val="20"/>
                <w:szCs w:val="20"/>
                <w:u w:val="none"/>
              </w:rPr>
            </w:pPr>
          </w:p>
        </w:tc>
        <w:tc>
          <w:tcPr>
            <w:tcW w:w="1086" w:type="pct"/>
            <w:tcBorders>
              <w:top w:val="single" w:color="000000" w:sz="4" w:space="0"/>
              <w:left w:val="single" w:color="000000" w:sz="4" w:space="0"/>
              <w:bottom w:val="single" w:color="000000" w:sz="4" w:space="0"/>
              <w:right w:val="single" w:color="000000" w:sz="4" w:space="0"/>
            </w:tcBorders>
            <w:noWrap w:val="0"/>
            <w:vAlign w:val="center"/>
          </w:tcPr>
          <w:p w14:paraId="2524C26A">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20"/>
                <w:szCs w:val="20"/>
                <w:u w:val="none"/>
              </w:rPr>
            </w:pPr>
            <w:r>
              <w:rPr>
                <w:rFonts w:hint="eastAsia" w:ascii="宋体" w:hAnsi="宋体" w:eastAsia="宋体" w:cs="宋体"/>
                <w:i w:val="0"/>
                <w:iCs w:val="0"/>
                <w:color w:val="000000"/>
                <w:kern w:val="0"/>
                <w:sz w:val="18"/>
                <w:szCs w:val="18"/>
                <w:u w:val="none"/>
                <w:lang w:val="en-US" w:eastAsia="zh-CN" w:bidi="ar"/>
              </w:rPr>
              <w:t>消泡剂自动投加系统</w:t>
            </w:r>
          </w:p>
        </w:tc>
        <w:tc>
          <w:tcPr>
            <w:tcW w:w="1008" w:type="dxa"/>
            <w:tcBorders>
              <w:top w:val="single" w:color="000000" w:sz="4" w:space="0"/>
              <w:left w:val="single" w:color="000000" w:sz="4" w:space="0"/>
              <w:bottom w:val="single" w:color="000000" w:sz="4" w:space="0"/>
              <w:right w:val="single" w:color="000000" w:sz="4" w:space="0"/>
            </w:tcBorders>
            <w:noWrap/>
            <w:vAlign w:val="center"/>
          </w:tcPr>
          <w:p w14:paraId="2D0A3561">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20"/>
                <w:szCs w:val="20"/>
                <w:u w:val="none"/>
              </w:rPr>
            </w:pPr>
            <w:r>
              <w:rPr>
                <w:rFonts w:hint="eastAsia" w:ascii="宋体" w:hAnsi="宋体" w:eastAsia="宋体" w:cs="宋体"/>
                <w:i w:val="0"/>
                <w:iCs w:val="0"/>
                <w:color w:val="000000"/>
                <w:kern w:val="0"/>
                <w:sz w:val="18"/>
                <w:szCs w:val="18"/>
                <w:u w:val="none"/>
                <w:lang w:val="en-US" w:eastAsia="zh-CN" w:bidi="ar"/>
              </w:rPr>
              <w:t>套</w:t>
            </w:r>
          </w:p>
        </w:tc>
        <w:tc>
          <w:tcPr>
            <w:tcW w:w="648" w:type="dxa"/>
            <w:tcBorders>
              <w:top w:val="single" w:color="000000" w:sz="4" w:space="0"/>
              <w:left w:val="single" w:color="000000" w:sz="4" w:space="0"/>
              <w:bottom w:val="single" w:color="000000" w:sz="4" w:space="0"/>
              <w:right w:val="single" w:color="000000" w:sz="4" w:space="0"/>
            </w:tcBorders>
            <w:noWrap/>
            <w:vAlign w:val="center"/>
          </w:tcPr>
          <w:p w14:paraId="2DDF2505">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20"/>
                <w:szCs w:val="20"/>
                <w:u w:val="none"/>
              </w:rPr>
            </w:pPr>
            <w:r>
              <w:rPr>
                <w:rFonts w:hint="default" w:ascii="Times New Roman" w:hAnsi="Times New Roman" w:eastAsia="宋体" w:cs="Times New Roman"/>
                <w:i w:val="0"/>
                <w:iCs w:val="0"/>
                <w:color w:val="000000"/>
                <w:kern w:val="0"/>
                <w:sz w:val="18"/>
                <w:szCs w:val="18"/>
                <w:u w:val="none"/>
                <w:lang w:val="en-US" w:eastAsia="zh-CN" w:bidi="ar"/>
              </w:rPr>
              <w:t xml:space="preserve">1 </w:t>
            </w:r>
          </w:p>
        </w:tc>
        <w:tc>
          <w:tcPr>
            <w:tcW w:w="1487" w:type="dxa"/>
            <w:tcBorders>
              <w:top w:val="single" w:color="000000" w:sz="4" w:space="0"/>
              <w:left w:val="single" w:color="000000" w:sz="4" w:space="0"/>
              <w:bottom w:val="single" w:color="000000" w:sz="4" w:space="0"/>
              <w:right w:val="single" w:color="000000" w:sz="4" w:space="0"/>
            </w:tcBorders>
            <w:noWrap/>
            <w:vAlign w:val="center"/>
          </w:tcPr>
          <w:p w14:paraId="0BCE89B8">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20"/>
                <w:szCs w:val="20"/>
                <w:u w:val="none"/>
              </w:rPr>
            </w:pPr>
            <w:r>
              <w:rPr>
                <w:rFonts w:hint="default" w:ascii="Times New Roman" w:hAnsi="Times New Roman" w:eastAsia="宋体" w:cs="Times New Roman"/>
                <w:i w:val="0"/>
                <w:iCs w:val="0"/>
                <w:color w:val="000000"/>
                <w:kern w:val="0"/>
                <w:sz w:val="18"/>
                <w:szCs w:val="18"/>
                <w:u w:val="none"/>
                <w:lang w:val="en-US" w:eastAsia="zh-CN" w:bidi="ar"/>
              </w:rPr>
              <w:t xml:space="preserve">1.20 </w:t>
            </w:r>
          </w:p>
        </w:tc>
        <w:tc>
          <w:tcPr>
            <w:tcW w:w="2977" w:type="dxa"/>
            <w:tcBorders>
              <w:top w:val="single" w:color="000000" w:sz="4" w:space="0"/>
              <w:left w:val="single" w:color="000000" w:sz="4" w:space="0"/>
              <w:bottom w:val="single" w:color="000000" w:sz="4" w:space="0"/>
              <w:right w:val="single" w:color="000000" w:sz="4" w:space="0"/>
            </w:tcBorders>
            <w:noWrap/>
            <w:vAlign w:val="center"/>
          </w:tcPr>
          <w:p w14:paraId="23E36F75">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color w:val="000000"/>
                <w:kern w:val="0"/>
                <w:sz w:val="18"/>
                <w:szCs w:val="18"/>
                <w:u w:val="none"/>
                <w:lang w:val="en-US" w:eastAsia="zh-CN" w:bidi="ar"/>
              </w:rPr>
              <w:t>JBY1/1-1.6/0.76</w:t>
            </w:r>
            <w:r>
              <w:rPr>
                <w:rFonts w:hint="eastAsia" w:ascii="宋体" w:hAnsi="宋体" w:eastAsia="宋体" w:cs="宋体"/>
                <w:i w:val="0"/>
                <w:iCs w:val="0"/>
                <w:color w:val="000000"/>
                <w:kern w:val="0"/>
                <w:sz w:val="18"/>
                <w:szCs w:val="18"/>
                <w:u w:val="none"/>
                <w:lang w:val="en-US" w:eastAsia="zh-CN" w:bidi="ar"/>
              </w:rPr>
              <w:t>（成套设备）</w:t>
            </w:r>
          </w:p>
        </w:tc>
      </w:tr>
      <w:tr w14:paraId="4D58904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4" w:hRule="atLeast"/>
        </w:trPr>
        <w:tc>
          <w:tcPr>
            <w:tcW w:w="322" w:type="pct"/>
            <w:tcBorders>
              <w:top w:val="single" w:color="000000" w:sz="4" w:space="0"/>
              <w:left w:val="single" w:color="000000" w:sz="4" w:space="0"/>
              <w:bottom w:val="single" w:color="000000" w:sz="4" w:space="0"/>
              <w:right w:val="single" w:color="000000" w:sz="4" w:space="0"/>
            </w:tcBorders>
            <w:noWrap/>
            <w:vAlign w:val="center"/>
          </w:tcPr>
          <w:p w14:paraId="6214F692">
            <w:pPr>
              <w:spacing w:line="240" w:lineRule="auto"/>
              <w:ind w:firstLine="0" w:firstLineChars="0"/>
              <w:jc w:val="center"/>
              <w:rPr>
                <w:rFonts w:hint="default" w:ascii="Times New Roman" w:hAnsi="Times New Roman" w:eastAsia="宋体" w:cs="Times New Roman"/>
                <w:i w:val="0"/>
                <w:iCs w:val="0"/>
                <w:color w:val="000000"/>
                <w:sz w:val="20"/>
                <w:szCs w:val="20"/>
                <w:u w:val="none"/>
              </w:rPr>
            </w:pPr>
          </w:p>
        </w:tc>
        <w:tc>
          <w:tcPr>
            <w:tcW w:w="1086" w:type="pct"/>
            <w:tcBorders>
              <w:top w:val="single" w:color="000000" w:sz="4" w:space="0"/>
              <w:left w:val="single" w:color="000000" w:sz="4" w:space="0"/>
              <w:bottom w:val="single" w:color="000000" w:sz="4" w:space="0"/>
              <w:right w:val="single" w:color="000000" w:sz="4" w:space="0"/>
            </w:tcBorders>
            <w:noWrap w:val="0"/>
            <w:vAlign w:val="center"/>
          </w:tcPr>
          <w:p w14:paraId="7C30F02D">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20"/>
                <w:szCs w:val="20"/>
                <w:u w:val="none"/>
              </w:rPr>
            </w:pPr>
            <w:r>
              <w:rPr>
                <w:rFonts w:hint="default" w:ascii="Times New Roman" w:hAnsi="Times New Roman" w:eastAsia="宋体" w:cs="Times New Roman"/>
                <w:i w:val="0"/>
                <w:iCs w:val="0"/>
                <w:color w:val="000000"/>
                <w:kern w:val="0"/>
                <w:sz w:val="18"/>
                <w:szCs w:val="18"/>
                <w:u w:val="none"/>
                <w:lang w:val="en-US" w:eastAsia="zh-CN" w:bidi="ar"/>
              </w:rPr>
              <w:t>TMBR</w:t>
            </w:r>
            <w:r>
              <w:rPr>
                <w:rFonts w:hint="eastAsia" w:ascii="宋体" w:hAnsi="宋体" w:eastAsia="宋体" w:cs="宋体"/>
                <w:i w:val="0"/>
                <w:iCs w:val="0"/>
                <w:color w:val="000000"/>
                <w:kern w:val="0"/>
                <w:sz w:val="18"/>
                <w:szCs w:val="18"/>
                <w:u w:val="none"/>
                <w:lang w:val="en-US" w:eastAsia="zh-CN" w:bidi="ar"/>
              </w:rPr>
              <w:t>管式膜生物反应系统</w:t>
            </w:r>
          </w:p>
        </w:tc>
        <w:tc>
          <w:tcPr>
            <w:tcW w:w="1008" w:type="dxa"/>
            <w:tcBorders>
              <w:top w:val="single" w:color="000000" w:sz="4" w:space="0"/>
              <w:left w:val="single" w:color="000000" w:sz="4" w:space="0"/>
              <w:bottom w:val="single" w:color="000000" w:sz="4" w:space="0"/>
              <w:right w:val="single" w:color="000000" w:sz="4" w:space="0"/>
            </w:tcBorders>
            <w:noWrap/>
            <w:vAlign w:val="center"/>
          </w:tcPr>
          <w:p w14:paraId="730DF9F1">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20"/>
                <w:szCs w:val="20"/>
                <w:u w:val="none"/>
              </w:rPr>
            </w:pPr>
            <w:r>
              <w:rPr>
                <w:rFonts w:hint="eastAsia" w:ascii="宋体" w:hAnsi="宋体" w:eastAsia="宋体" w:cs="宋体"/>
                <w:i w:val="0"/>
                <w:iCs w:val="0"/>
                <w:color w:val="000000"/>
                <w:kern w:val="0"/>
                <w:sz w:val="18"/>
                <w:szCs w:val="18"/>
                <w:u w:val="none"/>
                <w:lang w:val="en-US" w:eastAsia="zh-CN" w:bidi="ar"/>
              </w:rPr>
              <w:t>套</w:t>
            </w:r>
          </w:p>
        </w:tc>
        <w:tc>
          <w:tcPr>
            <w:tcW w:w="648" w:type="dxa"/>
            <w:tcBorders>
              <w:top w:val="single" w:color="000000" w:sz="4" w:space="0"/>
              <w:left w:val="single" w:color="000000" w:sz="4" w:space="0"/>
              <w:bottom w:val="single" w:color="000000" w:sz="4" w:space="0"/>
              <w:right w:val="single" w:color="000000" w:sz="4" w:space="0"/>
            </w:tcBorders>
            <w:noWrap/>
            <w:vAlign w:val="center"/>
          </w:tcPr>
          <w:p w14:paraId="3ED9F7FB">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20"/>
                <w:szCs w:val="20"/>
                <w:u w:val="none"/>
              </w:rPr>
            </w:pPr>
            <w:r>
              <w:rPr>
                <w:rFonts w:hint="default" w:ascii="Times New Roman" w:hAnsi="Times New Roman" w:eastAsia="宋体" w:cs="Times New Roman"/>
                <w:i w:val="0"/>
                <w:iCs w:val="0"/>
                <w:color w:val="000000"/>
                <w:kern w:val="0"/>
                <w:sz w:val="18"/>
                <w:szCs w:val="18"/>
                <w:u w:val="none"/>
                <w:lang w:val="en-US" w:eastAsia="zh-CN" w:bidi="ar"/>
              </w:rPr>
              <w:t xml:space="preserve">1 </w:t>
            </w:r>
          </w:p>
        </w:tc>
        <w:tc>
          <w:tcPr>
            <w:tcW w:w="1487" w:type="dxa"/>
            <w:tcBorders>
              <w:top w:val="single" w:color="000000" w:sz="4" w:space="0"/>
              <w:left w:val="single" w:color="000000" w:sz="4" w:space="0"/>
              <w:bottom w:val="single" w:color="000000" w:sz="4" w:space="0"/>
              <w:right w:val="single" w:color="000000" w:sz="4" w:space="0"/>
            </w:tcBorders>
            <w:noWrap/>
            <w:vAlign w:val="center"/>
          </w:tcPr>
          <w:p w14:paraId="40E502D7">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20"/>
                <w:szCs w:val="20"/>
                <w:u w:val="none"/>
              </w:rPr>
            </w:pPr>
            <w:r>
              <w:rPr>
                <w:rFonts w:hint="default" w:ascii="Times New Roman" w:hAnsi="Times New Roman" w:eastAsia="宋体" w:cs="Times New Roman"/>
                <w:i w:val="0"/>
                <w:iCs w:val="0"/>
                <w:color w:val="000000"/>
                <w:kern w:val="0"/>
                <w:sz w:val="18"/>
                <w:szCs w:val="18"/>
                <w:u w:val="none"/>
                <w:lang w:val="en-US" w:eastAsia="zh-CN" w:bidi="ar"/>
              </w:rPr>
              <w:t xml:space="preserve">110.00 </w:t>
            </w:r>
          </w:p>
        </w:tc>
        <w:tc>
          <w:tcPr>
            <w:tcW w:w="2977" w:type="dxa"/>
            <w:tcBorders>
              <w:top w:val="single" w:color="000000" w:sz="4" w:space="0"/>
              <w:left w:val="single" w:color="000000" w:sz="4" w:space="0"/>
              <w:bottom w:val="single" w:color="000000" w:sz="4" w:space="0"/>
              <w:right w:val="single" w:color="000000" w:sz="4" w:space="0"/>
            </w:tcBorders>
            <w:noWrap/>
            <w:vAlign w:val="center"/>
          </w:tcPr>
          <w:p w14:paraId="0A88A096">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color w:val="000000"/>
                <w:kern w:val="0"/>
                <w:sz w:val="18"/>
                <w:szCs w:val="18"/>
                <w:u w:val="none"/>
                <w:lang w:val="en-US" w:eastAsia="zh-CN" w:bidi="ar"/>
              </w:rPr>
              <w:t>TMBR/50</w:t>
            </w:r>
            <w:r>
              <w:rPr>
                <w:rFonts w:hint="eastAsia" w:ascii="宋体" w:hAnsi="宋体" w:eastAsia="宋体" w:cs="宋体"/>
                <w:i w:val="0"/>
                <w:iCs w:val="0"/>
                <w:color w:val="000000"/>
                <w:kern w:val="0"/>
                <w:sz w:val="18"/>
                <w:szCs w:val="18"/>
                <w:u w:val="none"/>
                <w:lang w:val="en-US" w:eastAsia="zh-CN" w:bidi="ar"/>
              </w:rPr>
              <w:t>，</w:t>
            </w:r>
            <w:r>
              <w:rPr>
                <w:rFonts w:hint="default" w:ascii="Times New Roman" w:hAnsi="Times New Roman" w:eastAsia="宋体" w:cs="Times New Roman"/>
                <w:i w:val="0"/>
                <w:iCs w:val="0"/>
                <w:color w:val="000000"/>
                <w:kern w:val="0"/>
                <w:sz w:val="18"/>
                <w:szCs w:val="18"/>
                <w:u w:val="none"/>
                <w:lang w:val="en-US" w:eastAsia="zh-CN" w:bidi="ar"/>
              </w:rPr>
              <w:t>6000×1000×1500mm</w:t>
            </w:r>
            <w:r>
              <w:rPr>
                <w:rFonts w:hint="eastAsia" w:ascii="宋体" w:hAnsi="宋体" w:eastAsia="宋体" w:cs="宋体"/>
                <w:i w:val="0"/>
                <w:iCs w:val="0"/>
                <w:color w:val="000000"/>
                <w:kern w:val="0"/>
                <w:sz w:val="18"/>
                <w:szCs w:val="18"/>
                <w:u w:val="none"/>
                <w:lang w:val="en-US" w:eastAsia="zh-CN" w:bidi="ar"/>
              </w:rPr>
              <w:t>（成套设备）</w:t>
            </w:r>
          </w:p>
        </w:tc>
      </w:tr>
      <w:tr w14:paraId="24C2D8A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4" w:hRule="atLeast"/>
        </w:trPr>
        <w:tc>
          <w:tcPr>
            <w:tcW w:w="322" w:type="pct"/>
            <w:tcBorders>
              <w:top w:val="single" w:color="000000" w:sz="4" w:space="0"/>
              <w:left w:val="single" w:color="000000" w:sz="4" w:space="0"/>
              <w:bottom w:val="single" w:color="000000" w:sz="4" w:space="0"/>
              <w:right w:val="single" w:color="000000" w:sz="4" w:space="0"/>
            </w:tcBorders>
            <w:noWrap/>
            <w:vAlign w:val="center"/>
          </w:tcPr>
          <w:p w14:paraId="3EBC887A">
            <w:pPr>
              <w:spacing w:line="240" w:lineRule="auto"/>
              <w:ind w:firstLine="0" w:firstLineChars="0"/>
              <w:jc w:val="center"/>
              <w:rPr>
                <w:rFonts w:hint="default" w:ascii="Times New Roman" w:hAnsi="Times New Roman" w:eastAsia="宋体" w:cs="Times New Roman"/>
                <w:i w:val="0"/>
                <w:iCs w:val="0"/>
                <w:color w:val="000000"/>
                <w:sz w:val="20"/>
                <w:szCs w:val="20"/>
                <w:u w:val="none"/>
              </w:rPr>
            </w:pPr>
          </w:p>
        </w:tc>
        <w:tc>
          <w:tcPr>
            <w:tcW w:w="1086" w:type="pct"/>
            <w:tcBorders>
              <w:top w:val="single" w:color="000000" w:sz="4" w:space="0"/>
              <w:left w:val="single" w:color="000000" w:sz="4" w:space="0"/>
              <w:bottom w:val="single" w:color="000000" w:sz="4" w:space="0"/>
              <w:right w:val="single" w:color="000000" w:sz="4" w:space="0"/>
            </w:tcBorders>
            <w:noWrap w:val="0"/>
            <w:vAlign w:val="center"/>
          </w:tcPr>
          <w:p w14:paraId="0C672783">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20"/>
                <w:szCs w:val="20"/>
                <w:u w:val="none"/>
              </w:rPr>
            </w:pPr>
            <w:r>
              <w:rPr>
                <w:rFonts w:hint="eastAsia" w:ascii="宋体" w:hAnsi="宋体" w:eastAsia="宋体" w:cs="宋体"/>
                <w:i w:val="0"/>
                <w:iCs w:val="0"/>
                <w:color w:val="000000"/>
                <w:kern w:val="0"/>
                <w:sz w:val="18"/>
                <w:szCs w:val="18"/>
                <w:u w:val="none"/>
                <w:lang w:val="en-US" w:eastAsia="zh-CN" w:bidi="ar"/>
              </w:rPr>
              <w:t>超滤回流泵</w:t>
            </w:r>
          </w:p>
        </w:tc>
        <w:tc>
          <w:tcPr>
            <w:tcW w:w="1008" w:type="dxa"/>
            <w:tcBorders>
              <w:top w:val="single" w:color="000000" w:sz="4" w:space="0"/>
              <w:left w:val="single" w:color="000000" w:sz="4" w:space="0"/>
              <w:bottom w:val="single" w:color="000000" w:sz="4" w:space="0"/>
              <w:right w:val="single" w:color="000000" w:sz="4" w:space="0"/>
            </w:tcBorders>
            <w:noWrap/>
            <w:vAlign w:val="center"/>
          </w:tcPr>
          <w:p w14:paraId="048F14D4">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20"/>
                <w:szCs w:val="20"/>
                <w:u w:val="none"/>
              </w:rPr>
            </w:pPr>
            <w:r>
              <w:rPr>
                <w:rFonts w:hint="eastAsia" w:ascii="宋体" w:hAnsi="宋体" w:eastAsia="宋体" w:cs="宋体"/>
                <w:i w:val="0"/>
                <w:iCs w:val="0"/>
                <w:color w:val="000000"/>
                <w:kern w:val="0"/>
                <w:sz w:val="18"/>
                <w:szCs w:val="18"/>
                <w:u w:val="none"/>
                <w:lang w:val="en-US" w:eastAsia="zh-CN" w:bidi="ar"/>
              </w:rPr>
              <w:t>台</w:t>
            </w:r>
          </w:p>
        </w:tc>
        <w:tc>
          <w:tcPr>
            <w:tcW w:w="648" w:type="dxa"/>
            <w:tcBorders>
              <w:top w:val="single" w:color="000000" w:sz="4" w:space="0"/>
              <w:left w:val="single" w:color="000000" w:sz="4" w:space="0"/>
              <w:bottom w:val="single" w:color="000000" w:sz="4" w:space="0"/>
              <w:right w:val="single" w:color="000000" w:sz="4" w:space="0"/>
            </w:tcBorders>
            <w:noWrap/>
            <w:vAlign w:val="center"/>
          </w:tcPr>
          <w:p w14:paraId="7EA97FCB">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20"/>
                <w:szCs w:val="20"/>
                <w:u w:val="none"/>
              </w:rPr>
            </w:pPr>
            <w:r>
              <w:rPr>
                <w:rFonts w:hint="default" w:ascii="Times New Roman" w:hAnsi="Times New Roman" w:eastAsia="宋体" w:cs="Times New Roman"/>
                <w:i w:val="0"/>
                <w:iCs w:val="0"/>
                <w:color w:val="000000"/>
                <w:kern w:val="0"/>
                <w:sz w:val="18"/>
                <w:szCs w:val="18"/>
                <w:u w:val="none"/>
                <w:lang w:val="en-US" w:eastAsia="zh-CN" w:bidi="ar"/>
              </w:rPr>
              <w:t xml:space="preserve">1 </w:t>
            </w:r>
          </w:p>
        </w:tc>
        <w:tc>
          <w:tcPr>
            <w:tcW w:w="1487" w:type="dxa"/>
            <w:tcBorders>
              <w:top w:val="single" w:color="000000" w:sz="4" w:space="0"/>
              <w:left w:val="single" w:color="000000" w:sz="4" w:space="0"/>
              <w:bottom w:val="single" w:color="000000" w:sz="4" w:space="0"/>
              <w:right w:val="single" w:color="000000" w:sz="4" w:space="0"/>
            </w:tcBorders>
            <w:noWrap/>
            <w:vAlign w:val="center"/>
          </w:tcPr>
          <w:p w14:paraId="32CB02C1">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20"/>
                <w:szCs w:val="20"/>
                <w:u w:val="none"/>
              </w:rPr>
            </w:pPr>
            <w:r>
              <w:rPr>
                <w:rFonts w:hint="default" w:ascii="Times New Roman" w:hAnsi="Times New Roman" w:eastAsia="宋体" w:cs="Times New Roman"/>
                <w:i w:val="0"/>
                <w:iCs w:val="0"/>
                <w:color w:val="000000"/>
                <w:kern w:val="0"/>
                <w:sz w:val="18"/>
                <w:szCs w:val="18"/>
                <w:u w:val="none"/>
                <w:lang w:val="en-US" w:eastAsia="zh-CN" w:bidi="ar"/>
              </w:rPr>
              <w:t xml:space="preserve">0.55 </w:t>
            </w:r>
          </w:p>
        </w:tc>
        <w:tc>
          <w:tcPr>
            <w:tcW w:w="2977" w:type="dxa"/>
            <w:tcBorders>
              <w:top w:val="single" w:color="000000" w:sz="4" w:space="0"/>
              <w:left w:val="single" w:color="000000" w:sz="4" w:space="0"/>
              <w:bottom w:val="single" w:color="000000" w:sz="4" w:space="0"/>
              <w:right w:val="single" w:color="000000" w:sz="4" w:space="0"/>
            </w:tcBorders>
            <w:noWrap/>
            <w:vAlign w:val="center"/>
          </w:tcPr>
          <w:p w14:paraId="1617D163">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color w:val="000000"/>
                <w:kern w:val="0"/>
                <w:sz w:val="18"/>
                <w:szCs w:val="18"/>
                <w:u w:val="none"/>
                <w:lang w:val="en-US" w:eastAsia="zh-CN" w:bidi="ar"/>
              </w:rPr>
              <w:t>Q=13</w:t>
            </w:r>
            <w:r>
              <w:rPr>
                <w:rFonts w:hint="eastAsia" w:cs="Times New Roman"/>
                <w:i w:val="0"/>
                <w:iCs w:val="0"/>
                <w:color w:val="000000"/>
                <w:kern w:val="0"/>
                <w:sz w:val="18"/>
                <w:szCs w:val="18"/>
                <w:u w:val="none"/>
                <w:lang w:val="en-US" w:eastAsia="zh-CN" w:bidi="ar"/>
              </w:rPr>
              <w:t>m³</w:t>
            </w:r>
            <w:r>
              <w:rPr>
                <w:rFonts w:hint="default" w:ascii="Times New Roman" w:hAnsi="Times New Roman" w:eastAsia="宋体" w:cs="Times New Roman"/>
                <w:i w:val="0"/>
                <w:iCs w:val="0"/>
                <w:color w:val="000000"/>
                <w:kern w:val="0"/>
                <w:sz w:val="18"/>
                <w:szCs w:val="18"/>
                <w:u w:val="none"/>
                <w:lang w:val="en-US" w:eastAsia="zh-CN" w:bidi="ar"/>
              </w:rPr>
              <w:t>/h</w:t>
            </w:r>
            <w:r>
              <w:rPr>
                <w:rFonts w:hint="eastAsia" w:ascii="宋体" w:hAnsi="宋体" w:eastAsia="宋体" w:cs="宋体"/>
                <w:i w:val="0"/>
                <w:iCs w:val="0"/>
                <w:color w:val="000000"/>
                <w:kern w:val="0"/>
                <w:sz w:val="18"/>
                <w:szCs w:val="18"/>
                <w:u w:val="none"/>
                <w:lang w:val="en-US" w:eastAsia="zh-CN" w:bidi="ar"/>
              </w:rPr>
              <w:t>，</w:t>
            </w:r>
            <w:r>
              <w:rPr>
                <w:rFonts w:hint="default" w:ascii="Times New Roman" w:hAnsi="Times New Roman" w:eastAsia="宋体" w:cs="Times New Roman"/>
                <w:i w:val="0"/>
                <w:iCs w:val="0"/>
                <w:color w:val="000000"/>
                <w:kern w:val="0"/>
                <w:sz w:val="18"/>
                <w:szCs w:val="18"/>
                <w:u w:val="none"/>
                <w:lang w:val="en-US" w:eastAsia="zh-CN" w:bidi="ar"/>
              </w:rPr>
              <w:t>H=20m</w:t>
            </w:r>
            <w:r>
              <w:rPr>
                <w:rFonts w:hint="eastAsia" w:cs="Times New Roman"/>
                <w:i w:val="0"/>
                <w:iCs w:val="0"/>
                <w:color w:val="000000"/>
                <w:kern w:val="0"/>
                <w:sz w:val="18"/>
                <w:szCs w:val="18"/>
                <w:u w:val="none"/>
                <w:lang w:val="en-US" w:eastAsia="zh-CN" w:bidi="ar"/>
              </w:rPr>
              <w:t>，</w:t>
            </w:r>
            <w:r>
              <w:rPr>
                <w:rFonts w:hint="default" w:ascii="Times New Roman" w:hAnsi="Times New Roman" w:eastAsia="宋体" w:cs="Times New Roman"/>
                <w:i w:val="0"/>
                <w:iCs w:val="0"/>
                <w:color w:val="000000"/>
                <w:kern w:val="0"/>
                <w:sz w:val="18"/>
                <w:szCs w:val="18"/>
                <w:u w:val="none"/>
                <w:lang w:val="en-US" w:eastAsia="zh-CN" w:bidi="ar"/>
              </w:rPr>
              <w:t>N=1.5kw</w:t>
            </w:r>
          </w:p>
        </w:tc>
      </w:tr>
      <w:tr w14:paraId="2D36DE8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4" w:hRule="atLeast"/>
        </w:trPr>
        <w:tc>
          <w:tcPr>
            <w:tcW w:w="322" w:type="pct"/>
            <w:tcBorders>
              <w:top w:val="single" w:color="000000" w:sz="4" w:space="0"/>
              <w:left w:val="single" w:color="000000" w:sz="4" w:space="0"/>
              <w:bottom w:val="single" w:color="000000" w:sz="4" w:space="0"/>
              <w:right w:val="single" w:color="000000" w:sz="4" w:space="0"/>
            </w:tcBorders>
            <w:noWrap/>
            <w:vAlign w:val="center"/>
          </w:tcPr>
          <w:p w14:paraId="0B48057E">
            <w:pPr>
              <w:spacing w:line="240" w:lineRule="auto"/>
              <w:ind w:firstLine="0" w:firstLineChars="0"/>
              <w:jc w:val="center"/>
              <w:rPr>
                <w:rFonts w:hint="default" w:ascii="Times New Roman" w:hAnsi="Times New Roman" w:eastAsia="宋体" w:cs="Times New Roman"/>
                <w:i w:val="0"/>
                <w:iCs w:val="0"/>
                <w:color w:val="000000"/>
                <w:sz w:val="20"/>
                <w:szCs w:val="20"/>
                <w:u w:val="none"/>
              </w:rPr>
            </w:pPr>
          </w:p>
        </w:tc>
        <w:tc>
          <w:tcPr>
            <w:tcW w:w="1086" w:type="pct"/>
            <w:tcBorders>
              <w:top w:val="single" w:color="000000" w:sz="4" w:space="0"/>
              <w:left w:val="single" w:color="000000" w:sz="4" w:space="0"/>
              <w:bottom w:val="single" w:color="000000" w:sz="4" w:space="0"/>
              <w:right w:val="single" w:color="000000" w:sz="4" w:space="0"/>
            </w:tcBorders>
            <w:noWrap w:val="0"/>
            <w:vAlign w:val="center"/>
          </w:tcPr>
          <w:p w14:paraId="21B68A9B">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20"/>
                <w:szCs w:val="20"/>
                <w:u w:val="none"/>
              </w:rPr>
            </w:pPr>
            <w:r>
              <w:rPr>
                <w:rFonts w:hint="eastAsia" w:ascii="宋体" w:hAnsi="宋体" w:eastAsia="宋体" w:cs="宋体"/>
                <w:i w:val="0"/>
                <w:iCs w:val="0"/>
                <w:color w:val="000000"/>
                <w:kern w:val="0"/>
                <w:sz w:val="18"/>
                <w:szCs w:val="18"/>
                <w:u w:val="none"/>
                <w:lang w:val="en-US" w:eastAsia="zh-CN" w:bidi="ar"/>
              </w:rPr>
              <w:t>超滤清洗泵</w:t>
            </w:r>
          </w:p>
        </w:tc>
        <w:tc>
          <w:tcPr>
            <w:tcW w:w="1008" w:type="dxa"/>
            <w:tcBorders>
              <w:top w:val="single" w:color="000000" w:sz="4" w:space="0"/>
              <w:left w:val="single" w:color="000000" w:sz="4" w:space="0"/>
              <w:bottom w:val="single" w:color="000000" w:sz="4" w:space="0"/>
              <w:right w:val="single" w:color="000000" w:sz="4" w:space="0"/>
            </w:tcBorders>
            <w:noWrap/>
            <w:vAlign w:val="center"/>
          </w:tcPr>
          <w:p w14:paraId="218E2D2B">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20"/>
                <w:szCs w:val="20"/>
                <w:u w:val="none"/>
              </w:rPr>
            </w:pPr>
            <w:r>
              <w:rPr>
                <w:rFonts w:hint="eastAsia" w:ascii="宋体" w:hAnsi="宋体" w:eastAsia="宋体" w:cs="宋体"/>
                <w:i w:val="0"/>
                <w:iCs w:val="0"/>
                <w:color w:val="000000"/>
                <w:kern w:val="0"/>
                <w:sz w:val="18"/>
                <w:szCs w:val="18"/>
                <w:u w:val="none"/>
                <w:lang w:val="en-US" w:eastAsia="zh-CN" w:bidi="ar"/>
              </w:rPr>
              <w:t>台</w:t>
            </w:r>
          </w:p>
        </w:tc>
        <w:tc>
          <w:tcPr>
            <w:tcW w:w="648" w:type="dxa"/>
            <w:tcBorders>
              <w:top w:val="single" w:color="000000" w:sz="4" w:space="0"/>
              <w:left w:val="single" w:color="000000" w:sz="4" w:space="0"/>
              <w:bottom w:val="single" w:color="000000" w:sz="4" w:space="0"/>
              <w:right w:val="single" w:color="000000" w:sz="4" w:space="0"/>
            </w:tcBorders>
            <w:noWrap/>
            <w:vAlign w:val="center"/>
          </w:tcPr>
          <w:p w14:paraId="2448E00A">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20"/>
                <w:szCs w:val="20"/>
                <w:u w:val="none"/>
              </w:rPr>
            </w:pPr>
            <w:r>
              <w:rPr>
                <w:rFonts w:hint="default" w:ascii="Times New Roman" w:hAnsi="Times New Roman" w:eastAsia="宋体" w:cs="Times New Roman"/>
                <w:i w:val="0"/>
                <w:iCs w:val="0"/>
                <w:color w:val="000000"/>
                <w:kern w:val="0"/>
                <w:sz w:val="18"/>
                <w:szCs w:val="18"/>
                <w:u w:val="none"/>
                <w:lang w:val="en-US" w:eastAsia="zh-CN" w:bidi="ar"/>
              </w:rPr>
              <w:t xml:space="preserve">1 </w:t>
            </w:r>
          </w:p>
        </w:tc>
        <w:tc>
          <w:tcPr>
            <w:tcW w:w="1487" w:type="dxa"/>
            <w:tcBorders>
              <w:top w:val="single" w:color="000000" w:sz="4" w:space="0"/>
              <w:left w:val="single" w:color="000000" w:sz="4" w:space="0"/>
              <w:bottom w:val="single" w:color="000000" w:sz="4" w:space="0"/>
              <w:right w:val="single" w:color="000000" w:sz="4" w:space="0"/>
            </w:tcBorders>
            <w:noWrap/>
            <w:vAlign w:val="center"/>
          </w:tcPr>
          <w:p w14:paraId="5F93ADEA">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20"/>
                <w:szCs w:val="20"/>
                <w:u w:val="none"/>
              </w:rPr>
            </w:pPr>
            <w:r>
              <w:rPr>
                <w:rFonts w:hint="default" w:ascii="Times New Roman" w:hAnsi="Times New Roman" w:eastAsia="宋体" w:cs="Times New Roman"/>
                <w:i w:val="0"/>
                <w:iCs w:val="0"/>
                <w:color w:val="000000"/>
                <w:kern w:val="0"/>
                <w:sz w:val="18"/>
                <w:szCs w:val="18"/>
                <w:u w:val="none"/>
                <w:lang w:val="en-US" w:eastAsia="zh-CN" w:bidi="ar"/>
              </w:rPr>
              <w:t xml:space="preserve">0.50 </w:t>
            </w:r>
          </w:p>
        </w:tc>
        <w:tc>
          <w:tcPr>
            <w:tcW w:w="2977" w:type="dxa"/>
            <w:tcBorders>
              <w:top w:val="single" w:color="000000" w:sz="4" w:space="0"/>
              <w:left w:val="single" w:color="000000" w:sz="4" w:space="0"/>
              <w:bottom w:val="single" w:color="000000" w:sz="4" w:space="0"/>
              <w:right w:val="single" w:color="000000" w:sz="4" w:space="0"/>
            </w:tcBorders>
            <w:noWrap/>
            <w:vAlign w:val="center"/>
          </w:tcPr>
          <w:p w14:paraId="797BE043">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color w:val="000000"/>
                <w:kern w:val="0"/>
                <w:sz w:val="18"/>
                <w:szCs w:val="18"/>
                <w:u w:val="none"/>
                <w:lang w:val="en-US" w:eastAsia="zh-CN" w:bidi="ar"/>
              </w:rPr>
              <w:t>Q=25</w:t>
            </w:r>
            <w:r>
              <w:rPr>
                <w:rFonts w:hint="eastAsia" w:cs="Times New Roman"/>
                <w:i w:val="0"/>
                <w:iCs w:val="0"/>
                <w:color w:val="000000"/>
                <w:kern w:val="0"/>
                <w:sz w:val="18"/>
                <w:szCs w:val="18"/>
                <w:u w:val="none"/>
                <w:lang w:val="en-US" w:eastAsia="zh-CN" w:bidi="ar"/>
              </w:rPr>
              <w:t>m³</w:t>
            </w:r>
            <w:r>
              <w:rPr>
                <w:rFonts w:hint="default" w:ascii="Times New Roman" w:hAnsi="Times New Roman" w:eastAsia="宋体" w:cs="Times New Roman"/>
                <w:i w:val="0"/>
                <w:iCs w:val="0"/>
                <w:color w:val="000000"/>
                <w:kern w:val="0"/>
                <w:sz w:val="18"/>
                <w:szCs w:val="18"/>
                <w:u w:val="none"/>
                <w:lang w:val="en-US" w:eastAsia="zh-CN" w:bidi="ar"/>
              </w:rPr>
              <w:t>/h</w:t>
            </w:r>
            <w:r>
              <w:rPr>
                <w:rFonts w:hint="eastAsia" w:ascii="宋体" w:hAnsi="宋体" w:eastAsia="宋体" w:cs="宋体"/>
                <w:i w:val="0"/>
                <w:iCs w:val="0"/>
                <w:color w:val="000000"/>
                <w:kern w:val="0"/>
                <w:sz w:val="18"/>
                <w:szCs w:val="18"/>
                <w:u w:val="none"/>
                <w:lang w:val="en-US" w:eastAsia="zh-CN" w:bidi="ar"/>
              </w:rPr>
              <w:t>，</w:t>
            </w:r>
            <w:r>
              <w:rPr>
                <w:rFonts w:hint="default" w:ascii="Times New Roman" w:hAnsi="Times New Roman" w:eastAsia="宋体" w:cs="Times New Roman"/>
                <w:i w:val="0"/>
                <w:iCs w:val="0"/>
                <w:color w:val="000000"/>
                <w:kern w:val="0"/>
                <w:sz w:val="18"/>
                <w:szCs w:val="18"/>
                <w:u w:val="none"/>
                <w:lang w:val="en-US" w:eastAsia="zh-CN" w:bidi="ar"/>
              </w:rPr>
              <w:t>H=18m</w:t>
            </w:r>
            <w:r>
              <w:rPr>
                <w:rFonts w:hint="eastAsia" w:cs="Times New Roman"/>
                <w:i w:val="0"/>
                <w:iCs w:val="0"/>
                <w:color w:val="000000"/>
                <w:kern w:val="0"/>
                <w:sz w:val="18"/>
                <w:szCs w:val="18"/>
                <w:u w:val="none"/>
                <w:lang w:val="en-US" w:eastAsia="zh-CN" w:bidi="ar"/>
              </w:rPr>
              <w:t>，</w:t>
            </w:r>
            <w:r>
              <w:rPr>
                <w:rFonts w:hint="default" w:ascii="Times New Roman" w:hAnsi="Times New Roman" w:eastAsia="宋体" w:cs="Times New Roman"/>
                <w:i w:val="0"/>
                <w:iCs w:val="0"/>
                <w:color w:val="000000"/>
                <w:kern w:val="0"/>
                <w:sz w:val="18"/>
                <w:szCs w:val="18"/>
                <w:u w:val="none"/>
                <w:lang w:val="en-US" w:eastAsia="zh-CN" w:bidi="ar"/>
              </w:rPr>
              <w:t>N=2.2kw</w:t>
            </w:r>
          </w:p>
        </w:tc>
      </w:tr>
      <w:tr w14:paraId="3A1A1C8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4" w:hRule="atLeast"/>
        </w:trPr>
        <w:tc>
          <w:tcPr>
            <w:tcW w:w="322" w:type="pct"/>
            <w:tcBorders>
              <w:top w:val="single" w:color="000000" w:sz="4" w:space="0"/>
              <w:left w:val="single" w:color="000000" w:sz="4" w:space="0"/>
              <w:bottom w:val="single" w:color="000000" w:sz="4" w:space="0"/>
              <w:right w:val="single" w:color="000000" w:sz="4" w:space="0"/>
            </w:tcBorders>
            <w:noWrap/>
            <w:vAlign w:val="center"/>
          </w:tcPr>
          <w:p w14:paraId="632304A0">
            <w:pPr>
              <w:spacing w:line="240" w:lineRule="auto"/>
              <w:ind w:firstLine="0" w:firstLineChars="0"/>
              <w:jc w:val="center"/>
              <w:rPr>
                <w:rFonts w:hint="default" w:ascii="Times New Roman" w:hAnsi="Times New Roman" w:eastAsia="宋体" w:cs="Times New Roman"/>
                <w:i w:val="0"/>
                <w:iCs w:val="0"/>
                <w:color w:val="000000"/>
                <w:sz w:val="20"/>
                <w:szCs w:val="20"/>
                <w:u w:val="none"/>
              </w:rPr>
            </w:pPr>
          </w:p>
        </w:tc>
        <w:tc>
          <w:tcPr>
            <w:tcW w:w="1086" w:type="pct"/>
            <w:tcBorders>
              <w:top w:val="single" w:color="000000" w:sz="4" w:space="0"/>
              <w:left w:val="single" w:color="000000" w:sz="4" w:space="0"/>
              <w:bottom w:val="single" w:color="000000" w:sz="4" w:space="0"/>
              <w:right w:val="single" w:color="000000" w:sz="4" w:space="0"/>
            </w:tcBorders>
            <w:noWrap w:val="0"/>
            <w:vAlign w:val="center"/>
          </w:tcPr>
          <w:p w14:paraId="341EB358">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20"/>
                <w:szCs w:val="20"/>
                <w:u w:val="none"/>
              </w:rPr>
            </w:pPr>
            <w:r>
              <w:rPr>
                <w:rFonts w:hint="eastAsia" w:ascii="宋体" w:hAnsi="宋体" w:eastAsia="宋体" w:cs="宋体"/>
                <w:i w:val="0"/>
                <w:iCs w:val="0"/>
                <w:color w:val="000000"/>
                <w:kern w:val="0"/>
                <w:sz w:val="18"/>
                <w:szCs w:val="18"/>
                <w:u w:val="none"/>
                <w:lang w:val="en-US" w:eastAsia="zh-CN" w:bidi="ar"/>
              </w:rPr>
              <w:t>超滤清液提升泵</w:t>
            </w:r>
          </w:p>
        </w:tc>
        <w:tc>
          <w:tcPr>
            <w:tcW w:w="1008" w:type="dxa"/>
            <w:tcBorders>
              <w:top w:val="single" w:color="000000" w:sz="4" w:space="0"/>
              <w:left w:val="single" w:color="000000" w:sz="4" w:space="0"/>
              <w:bottom w:val="single" w:color="000000" w:sz="4" w:space="0"/>
              <w:right w:val="single" w:color="000000" w:sz="4" w:space="0"/>
            </w:tcBorders>
            <w:noWrap/>
            <w:vAlign w:val="center"/>
          </w:tcPr>
          <w:p w14:paraId="7AE94188">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20"/>
                <w:szCs w:val="20"/>
                <w:u w:val="none"/>
              </w:rPr>
            </w:pPr>
            <w:r>
              <w:rPr>
                <w:rFonts w:hint="eastAsia" w:ascii="宋体" w:hAnsi="宋体" w:eastAsia="宋体" w:cs="宋体"/>
                <w:i w:val="0"/>
                <w:iCs w:val="0"/>
                <w:color w:val="000000"/>
                <w:kern w:val="0"/>
                <w:sz w:val="18"/>
                <w:szCs w:val="18"/>
                <w:u w:val="none"/>
                <w:lang w:val="en-US" w:eastAsia="zh-CN" w:bidi="ar"/>
              </w:rPr>
              <w:t>台</w:t>
            </w:r>
          </w:p>
        </w:tc>
        <w:tc>
          <w:tcPr>
            <w:tcW w:w="648" w:type="dxa"/>
            <w:tcBorders>
              <w:top w:val="single" w:color="000000" w:sz="4" w:space="0"/>
              <w:left w:val="single" w:color="000000" w:sz="4" w:space="0"/>
              <w:bottom w:val="single" w:color="000000" w:sz="4" w:space="0"/>
              <w:right w:val="single" w:color="000000" w:sz="4" w:space="0"/>
            </w:tcBorders>
            <w:noWrap/>
            <w:vAlign w:val="center"/>
          </w:tcPr>
          <w:p w14:paraId="3716365B">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20"/>
                <w:szCs w:val="20"/>
                <w:u w:val="none"/>
              </w:rPr>
            </w:pPr>
            <w:r>
              <w:rPr>
                <w:rFonts w:hint="default" w:ascii="Times New Roman" w:hAnsi="Times New Roman" w:eastAsia="宋体" w:cs="Times New Roman"/>
                <w:i w:val="0"/>
                <w:iCs w:val="0"/>
                <w:color w:val="000000"/>
                <w:kern w:val="0"/>
                <w:sz w:val="18"/>
                <w:szCs w:val="18"/>
                <w:u w:val="none"/>
                <w:lang w:val="en-US" w:eastAsia="zh-CN" w:bidi="ar"/>
              </w:rPr>
              <w:t xml:space="preserve">2 </w:t>
            </w:r>
          </w:p>
        </w:tc>
        <w:tc>
          <w:tcPr>
            <w:tcW w:w="1487" w:type="dxa"/>
            <w:tcBorders>
              <w:top w:val="single" w:color="000000" w:sz="4" w:space="0"/>
              <w:left w:val="single" w:color="000000" w:sz="4" w:space="0"/>
              <w:bottom w:val="single" w:color="000000" w:sz="4" w:space="0"/>
              <w:right w:val="single" w:color="000000" w:sz="4" w:space="0"/>
            </w:tcBorders>
            <w:noWrap/>
            <w:vAlign w:val="center"/>
          </w:tcPr>
          <w:p w14:paraId="1FAB6E4F">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20"/>
                <w:szCs w:val="20"/>
                <w:u w:val="none"/>
              </w:rPr>
            </w:pPr>
            <w:r>
              <w:rPr>
                <w:rFonts w:hint="default" w:ascii="Times New Roman" w:hAnsi="Times New Roman" w:eastAsia="宋体" w:cs="Times New Roman"/>
                <w:i w:val="0"/>
                <w:iCs w:val="0"/>
                <w:color w:val="000000"/>
                <w:kern w:val="0"/>
                <w:sz w:val="18"/>
                <w:szCs w:val="18"/>
                <w:u w:val="none"/>
                <w:lang w:val="en-US" w:eastAsia="zh-CN" w:bidi="ar"/>
              </w:rPr>
              <w:t xml:space="preserve">0.60 </w:t>
            </w:r>
          </w:p>
        </w:tc>
        <w:tc>
          <w:tcPr>
            <w:tcW w:w="2977" w:type="dxa"/>
            <w:tcBorders>
              <w:top w:val="single" w:color="000000" w:sz="4" w:space="0"/>
              <w:left w:val="single" w:color="000000" w:sz="4" w:space="0"/>
              <w:bottom w:val="single" w:color="000000" w:sz="4" w:space="0"/>
              <w:right w:val="single" w:color="000000" w:sz="4" w:space="0"/>
            </w:tcBorders>
            <w:noWrap/>
            <w:vAlign w:val="center"/>
          </w:tcPr>
          <w:p w14:paraId="639202AA">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color w:val="000000"/>
                <w:kern w:val="0"/>
                <w:sz w:val="18"/>
                <w:szCs w:val="18"/>
                <w:u w:val="none"/>
                <w:lang w:val="en-US" w:eastAsia="zh-CN" w:bidi="ar"/>
              </w:rPr>
              <w:t>Q=2.8</w:t>
            </w:r>
            <w:r>
              <w:rPr>
                <w:rFonts w:hint="eastAsia" w:cs="Times New Roman"/>
                <w:i w:val="0"/>
                <w:iCs w:val="0"/>
                <w:color w:val="000000"/>
                <w:kern w:val="0"/>
                <w:sz w:val="18"/>
                <w:szCs w:val="18"/>
                <w:u w:val="none"/>
                <w:lang w:val="en-US" w:eastAsia="zh-CN" w:bidi="ar"/>
              </w:rPr>
              <w:t>m³</w:t>
            </w:r>
            <w:r>
              <w:rPr>
                <w:rFonts w:hint="default" w:ascii="Times New Roman" w:hAnsi="Times New Roman" w:eastAsia="宋体" w:cs="Times New Roman"/>
                <w:i w:val="0"/>
                <w:iCs w:val="0"/>
                <w:color w:val="000000"/>
                <w:kern w:val="0"/>
                <w:sz w:val="18"/>
                <w:szCs w:val="18"/>
                <w:u w:val="none"/>
                <w:lang w:val="en-US" w:eastAsia="zh-CN" w:bidi="ar"/>
              </w:rPr>
              <w:t>/h</w:t>
            </w:r>
            <w:r>
              <w:rPr>
                <w:rFonts w:hint="eastAsia" w:ascii="宋体" w:hAnsi="宋体" w:eastAsia="宋体" w:cs="宋体"/>
                <w:i w:val="0"/>
                <w:iCs w:val="0"/>
                <w:color w:val="000000"/>
                <w:kern w:val="0"/>
                <w:sz w:val="18"/>
                <w:szCs w:val="18"/>
                <w:u w:val="none"/>
                <w:lang w:val="en-US" w:eastAsia="zh-CN" w:bidi="ar"/>
              </w:rPr>
              <w:t>，</w:t>
            </w:r>
            <w:r>
              <w:rPr>
                <w:rFonts w:hint="default" w:ascii="Times New Roman" w:hAnsi="Times New Roman" w:eastAsia="宋体" w:cs="Times New Roman"/>
                <w:i w:val="0"/>
                <w:iCs w:val="0"/>
                <w:color w:val="000000"/>
                <w:kern w:val="0"/>
                <w:sz w:val="18"/>
                <w:szCs w:val="18"/>
                <w:u w:val="none"/>
                <w:lang w:val="en-US" w:eastAsia="zh-CN" w:bidi="ar"/>
              </w:rPr>
              <w:t>H=12m</w:t>
            </w:r>
            <w:r>
              <w:rPr>
                <w:rFonts w:hint="eastAsia" w:cs="Times New Roman"/>
                <w:i w:val="0"/>
                <w:iCs w:val="0"/>
                <w:color w:val="000000"/>
                <w:kern w:val="0"/>
                <w:sz w:val="18"/>
                <w:szCs w:val="18"/>
                <w:u w:val="none"/>
                <w:lang w:val="en-US" w:eastAsia="zh-CN" w:bidi="ar"/>
              </w:rPr>
              <w:t>，</w:t>
            </w:r>
            <w:r>
              <w:rPr>
                <w:rFonts w:hint="default" w:ascii="Times New Roman" w:hAnsi="Times New Roman" w:eastAsia="宋体" w:cs="Times New Roman"/>
                <w:i w:val="0"/>
                <w:iCs w:val="0"/>
                <w:color w:val="000000"/>
                <w:kern w:val="0"/>
                <w:sz w:val="18"/>
                <w:szCs w:val="18"/>
                <w:u w:val="none"/>
                <w:lang w:val="en-US" w:eastAsia="zh-CN" w:bidi="ar"/>
              </w:rPr>
              <w:t>N=0.37kw</w:t>
            </w:r>
          </w:p>
        </w:tc>
      </w:tr>
      <w:tr w14:paraId="122935A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4" w:hRule="atLeast"/>
        </w:trPr>
        <w:tc>
          <w:tcPr>
            <w:tcW w:w="322" w:type="pct"/>
            <w:tcBorders>
              <w:top w:val="single" w:color="000000" w:sz="4" w:space="0"/>
              <w:left w:val="single" w:color="000000" w:sz="4" w:space="0"/>
              <w:bottom w:val="single" w:color="000000" w:sz="4" w:space="0"/>
              <w:right w:val="single" w:color="000000" w:sz="4" w:space="0"/>
            </w:tcBorders>
            <w:noWrap/>
            <w:vAlign w:val="center"/>
          </w:tcPr>
          <w:p w14:paraId="447491D9">
            <w:pPr>
              <w:spacing w:line="240" w:lineRule="auto"/>
              <w:ind w:firstLine="0" w:firstLineChars="0"/>
              <w:jc w:val="center"/>
              <w:rPr>
                <w:rFonts w:hint="default" w:ascii="Times New Roman" w:hAnsi="Times New Roman" w:eastAsia="宋体" w:cs="Times New Roman"/>
                <w:i w:val="0"/>
                <w:iCs w:val="0"/>
                <w:color w:val="000000"/>
                <w:sz w:val="20"/>
                <w:szCs w:val="20"/>
                <w:u w:val="none"/>
              </w:rPr>
            </w:pPr>
          </w:p>
        </w:tc>
        <w:tc>
          <w:tcPr>
            <w:tcW w:w="1086" w:type="pct"/>
            <w:tcBorders>
              <w:top w:val="single" w:color="000000" w:sz="4" w:space="0"/>
              <w:left w:val="single" w:color="000000" w:sz="4" w:space="0"/>
              <w:bottom w:val="single" w:color="000000" w:sz="4" w:space="0"/>
              <w:right w:val="single" w:color="000000" w:sz="4" w:space="0"/>
            </w:tcBorders>
            <w:noWrap w:val="0"/>
            <w:vAlign w:val="center"/>
          </w:tcPr>
          <w:p w14:paraId="64CFD144">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20"/>
                <w:szCs w:val="20"/>
                <w:u w:val="none"/>
              </w:rPr>
            </w:pPr>
            <w:r>
              <w:rPr>
                <w:rFonts w:hint="eastAsia" w:ascii="宋体" w:hAnsi="宋体" w:eastAsia="宋体" w:cs="宋体"/>
                <w:i w:val="0"/>
                <w:iCs w:val="0"/>
                <w:color w:val="000000"/>
                <w:kern w:val="0"/>
                <w:sz w:val="18"/>
                <w:szCs w:val="18"/>
                <w:u w:val="none"/>
                <w:lang w:val="en-US" w:eastAsia="zh-CN" w:bidi="ar"/>
              </w:rPr>
              <w:t>超滤清液罐</w:t>
            </w:r>
          </w:p>
        </w:tc>
        <w:tc>
          <w:tcPr>
            <w:tcW w:w="1008" w:type="dxa"/>
            <w:tcBorders>
              <w:top w:val="single" w:color="000000" w:sz="4" w:space="0"/>
              <w:left w:val="single" w:color="000000" w:sz="4" w:space="0"/>
              <w:bottom w:val="single" w:color="000000" w:sz="4" w:space="0"/>
              <w:right w:val="single" w:color="000000" w:sz="4" w:space="0"/>
            </w:tcBorders>
            <w:noWrap/>
            <w:vAlign w:val="center"/>
          </w:tcPr>
          <w:p w14:paraId="66057A5B">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20"/>
                <w:szCs w:val="20"/>
                <w:u w:val="none"/>
              </w:rPr>
            </w:pPr>
            <w:r>
              <w:rPr>
                <w:rFonts w:hint="eastAsia" w:ascii="宋体" w:hAnsi="宋体" w:eastAsia="宋体" w:cs="宋体"/>
                <w:i w:val="0"/>
                <w:iCs w:val="0"/>
                <w:color w:val="000000"/>
                <w:kern w:val="0"/>
                <w:sz w:val="18"/>
                <w:szCs w:val="18"/>
                <w:u w:val="none"/>
                <w:lang w:val="en-US" w:eastAsia="zh-CN" w:bidi="ar"/>
              </w:rPr>
              <w:t>套</w:t>
            </w:r>
          </w:p>
        </w:tc>
        <w:tc>
          <w:tcPr>
            <w:tcW w:w="648" w:type="dxa"/>
            <w:tcBorders>
              <w:top w:val="single" w:color="000000" w:sz="4" w:space="0"/>
              <w:left w:val="single" w:color="000000" w:sz="4" w:space="0"/>
              <w:bottom w:val="single" w:color="000000" w:sz="4" w:space="0"/>
              <w:right w:val="single" w:color="000000" w:sz="4" w:space="0"/>
            </w:tcBorders>
            <w:noWrap/>
            <w:vAlign w:val="center"/>
          </w:tcPr>
          <w:p w14:paraId="5F7068C8">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20"/>
                <w:szCs w:val="20"/>
                <w:u w:val="none"/>
              </w:rPr>
            </w:pPr>
            <w:r>
              <w:rPr>
                <w:rFonts w:hint="default" w:ascii="Times New Roman" w:hAnsi="Times New Roman" w:eastAsia="宋体" w:cs="Times New Roman"/>
                <w:i w:val="0"/>
                <w:iCs w:val="0"/>
                <w:color w:val="000000"/>
                <w:kern w:val="0"/>
                <w:sz w:val="18"/>
                <w:szCs w:val="18"/>
                <w:u w:val="none"/>
                <w:lang w:val="en-US" w:eastAsia="zh-CN" w:bidi="ar"/>
              </w:rPr>
              <w:t xml:space="preserve">1 </w:t>
            </w:r>
          </w:p>
        </w:tc>
        <w:tc>
          <w:tcPr>
            <w:tcW w:w="1487" w:type="dxa"/>
            <w:tcBorders>
              <w:top w:val="single" w:color="000000" w:sz="4" w:space="0"/>
              <w:left w:val="single" w:color="000000" w:sz="4" w:space="0"/>
              <w:bottom w:val="single" w:color="000000" w:sz="4" w:space="0"/>
              <w:right w:val="single" w:color="000000" w:sz="4" w:space="0"/>
            </w:tcBorders>
            <w:noWrap/>
            <w:vAlign w:val="center"/>
          </w:tcPr>
          <w:p w14:paraId="7DB333C1">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20"/>
                <w:szCs w:val="20"/>
                <w:u w:val="none"/>
              </w:rPr>
            </w:pPr>
            <w:r>
              <w:rPr>
                <w:rFonts w:hint="default" w:ascii="Times New Roman" w:hAnsi="Times New Roman" w:eastAsia="宋体" w:cs="Times New Roman"/>
                <w:i w:val="0"/>
                <w:iCs w:val="0"/>
                <w:color w:val="000000"/>
                <w:kern w:val="0"/>
                <w:sz w:val="18"/>
                <w:szCs w:val="18"/>
                <w:u w:val="none"/>
                <w:lang w:val="en-US" w:eastAsia="zh-CN" w:bidi="ar"/>
              </w:rPr>
              <w:t xml:space="preserve">1.20 </w:t>
            </w:r>
          </w:p>
        </w:tc>
        <w:tc>
          <w:tcPr>
            <w:tcW w:w="2977" w:type="dxa"/>
            <w:tcBorders>
              <w:top w:val="single" w:color="000000" w:sz="4" w:space="0"/>
              <w:left w:val="single" w:color="000000" w:sz="4" w:space="0"/>
              <w:bottom w:val="single" w:color="000000" w:sz="4" w:space="0"/>
              <w:right w:val="single" w:color="000000" w:sz="4" w:space="0"/>
            </w:tcBorders>
            <w:noWrap/>
            <w:vAlign w:val="center"/>
          </w:tcPr>
          <w:p w14:paraId="42E332ED">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color w:val="000000"/>
                <w:kern w:val="0"/>
                <w:sz w:val="18"/>
                <w:szCs w:val="18"/>
                <w:u w:val="none"/>
                <w:lang w:val="en-US" w:eastAsia="zh-CN" w:bidi="ar"/>
              </w:rPr>
              <w:t>V=5</w:t>
            </w:r>
            <w:r>
              <w:rPr>
                <w:rFonts w:hint="eastAsia" w:cs="Times New Roman"/>
                <w:i w:val="0"/>
                <w:iCs w:val="0"/>
                <w:color w:val="000000"/>
                <w:kern w:val="0"/>
                <w:sz w:val="18"/>
                <w:szCs w:val="18"/>
                <w:u w:val="none"/>
                <w:lang w:val="en-US" w:eastAsia="zh-CN" w:bidi="ar"/>
              </w:rPr>
              <w:t>m³</w:t>
            </w:r>
          </w:p>
        </w:tc>
      </w:tr>
      <w:tr w14:paraId="32D8CA6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4" w:hRule="atLeast"/>
        </w:trPr>
        <w:tc>
          <w:tcPr>
            <w:tcW w:w="322" w:type="pct"/>
            <w:tcBorders>
              <w:top w:val="single" w:color="000000" w:sz="4" w:space="0"/>
              <w:left w:val="single" w:color="000000" w:sz="4" w:space="0"/>
              <w:bottom w:val="single" w:color="000000" w:sz="4" w:space="0"/>
              <w:right w:val="single" w:color="000000" w:sz="4" w:space="0"/>
            </w:tcBorders>
            <w:noWrap/>
            <w:vAlign w:val="center"/>
          </w:tcPr>
          <w:p w14:paraId="18CB5575">
            <w:pPr>
              <w:spacing w:line="240" w:lineRule="auto"/>
              <w:ind w:firstLine="0" w:firstLineChars="0"/>
              <w:jc w:val="center"/>
              <w:rPr>
                <w:rFonts w:hint="default" w:ascii="Times New Roman" w:hAnsi="Times New Roman" w:eastAsia="宋体" w:cs="Times New Roman"/>
                <w:i w:val="0"/>
                <w:iCs w:val="0"/>
                <w:color w:val="000000"/>
                <w:sz w:val="20"/>
                <w:szCs w:val="20"/>
                <w:u w:val="none"/>
              </w:rPr>
            </w:pPr>
          </w:p>
        </w:tc>
        <w:tc>
          <w:tcPr>
            <w:tcW w:w="1086" w:type="pct"/>
            <w:tcBorders>
              <w:top w:val="single" w:color="000000" w:sz="4" w:space="0"/>
              <w:left w:val="single" w:color="000000" w:sz="4" w:space="0"/>
              <w:bottom w:val="single" w:color="000000" w:sz="4" w:space="0"/>
              <w:right w:val="single" w:color="000000" w:sz="4" w:space="0"/>
            </w:tcBorders>
            <w:noWrap w:val="0"/>
            <w:vAlign w:val="center"/>
          </w:tcPr>
          <w:p w14:paraId="31390AE8">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20"/>
                <w:szCs w:val="20"/>
                <w:u w:val="none"/>
              </w:rPr>
            </w:pPr>
            <w:r>
              <w:rPr>
                <w:rFonts w:hint="eastAsia" w:ascii="宋体" w:hAnsi="宋体" w:eastAsia="宋体" w:cs="宋体"/>
                <w:i w:val="0"/>
                <w:iCs w:val="0"/>
                <w:color w:val="000000"/>
                <w:kern w:val="0"/>
                <w:sz w:val="18"/>
                <w:szCs w:val="18"/>
                <w:u w:val="none"/>
                <w:lang w:val="en-US" w:eastAsia="zh-CN" w:bidi="ar"/>
              </w:rPr>
              <w:t>超滤清液罐</w:t>
            </w:r>
          </w:p>
        </w:tc>
        <w:tc>
          <w:tcPr>
            <w:tcW w:w="1008" w:type="dxa"/>
            <w:tcBorders>
              <w:top w:val="single" w:color="000000" w:sz="4" w:space="0"/>
              <w:left w:val="single" w:color="000000" w:sz="4" w:space="0"/>
              <w:bottom w:val="single" w:color="000000" w:sz="4" w:space="0"/>
              <w:right w:val="single" w:color="000000" w:sz="4" w:space="0"/>
            </w:tcBorders>
            <w:noWrap/>
            <w:vAlign w:val="center"/>
          </w:tcPr>
          <w:p w14:paraId="3F0D9CBE">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20"/>
                <w:szCs w:val="20"/>
                <w:u w:val="none"/>
              </w:rPr>
            </w:pPr>
            <w:r>
              <w:rPr>
                <w:rFonts w:hint="eastAsia" w:ascii="宋体" w:hAnsi="宋体" w:eastAsia="宋体" w:cs="宋体"/>
                <w:i w:val="0"/>
                <w:iCs w:val="0"/>
                <w:color w:val="000000"/>
                <w:kern w:val="0"/>
                <w:sz w:val="18"/>
                <w:szCs w:val="18"/>
                <w:u w:val="none"/>
                <w:lang w:val="en-US" w:eastAsia="zh-CN" w:bidi="ar"/>
              </w:rPr>
              <w:t>套</w:t>
            </w:r>
          </w:p>
        </w:tc>
        <w:tc>
          <w:tcPr>
            <w:tcW w:w="648" w:type="dxa"/>
            <w:tcBorders>
              <w:top w:val="single" w:color="000000" w:sz="4" w:space="0"/>
              <w:left w:val="single" w:color="000000" w:sz="4" w:space="0"/>
              <w:bottom w:val="single" w:color="000000" w:sz="4" w:space="0"/>
              <w:right w:val="single" w:color="000000" w:sz="4" w:space="0"/>
            </w:tcBorders>
            <w:noWrap/>
            <w:vAlign w:val="center"/>
          </w:tcPr>
          <w:p w14:paraId="36AF920F">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20"/>
                <w:szCs w:val="20"/>
                <w:u w:val="none"/>
              </w:rPr>
            </w:pPr>
            <w:r>
              <w:rPr>
                <w:rFonts w:hint="default" w:ascii="Times New Roman" w:hAnsi="Times New Roman" w:eastAsia="宋体" w:cs="Times New Roman"/>
                <w:i w:val="0"/>
                <w:iCs w:val="0"/>
                <w:color w:val="000000"/>
                <w:kern w:val="0"/>
                <w:sz w:val="18"/>
                <w:szCs w:val="18"/>
                <w:u w:val="none"/>
                <w:lang w:val="en-US" w:eastAsia="zh-CN" w:bidi="ar"/>
              </w:rPr>
              <w:t xml:space="preserve">1 </w:t>
            </w:r>
          </w:p>
        </w:tc>
        <w:tc>
          <w:tcPr>
            <w:tcW w:w="1487" w:type="dxa"/>
            <w:tcBorders>
              <w:top w:val="single" w:color="000000" w:sz="4" w:space="0"/>
              <w:left w:val="single" w:color="000000" w:sz="4" w:space="0"/>
              <w:bottom w:val="single" w:color="000000" w:sz="4" w:space="0"/>
              <w:right w:val="single" w:color="000000" w:sz="4" w:space="0"/>
            </w:tcBorders>
            <w:noWrap/>
            <w:vAlign w:val="center"/>
          </w:tcPr>
          <w:p w14:paraId="08A0D32B">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20"/>
                <w:szCs w:val="20"/>
                <w:u w:val="none"/>
              </w:rPr>
            </w:pPr>
            <w:r>
              <w:rPr>
                <w:rFonts w:hint="default" w:ascii="Times New Roman" w:hAnsi="Times New Roman" w:eastAsia="宋体" w:cs="Times New Roman"/>
                <w:i w:val="0"/>
                <w:iCs w:val="0"/>
                <w:color w:val="000000"/>
                <w:kern w:val="0"/>
                <w:sz w:val="18"/>
                <w:szCs w:val="18"/>
                <w:u w:val="none"/>
                <w:lang w:val="en-US" w:eastAsia="zh-CN" w:bidi="ar"/>
              </w:rPr>
              <w:t xml:space="preserve">0.65 </w:t>
            </w:r>
          </w:p>
        </w:tc>
        <w:tc>
          <w:tcPr>
            <w:tcW w:w="2977" w:type="dxa"/>
            <w:tcBorders>
              <w:top w:val="single" w:color="000000" w:sz="4" w:space="0"/>
              <w:left w:val="single" w:color="000000" w:sz="4" w:space="0"/>
              <w:bottom w:val="single" w:color="000000" w:sz="4" w:space="0"/>
              <w:right w:val="single" w:color="000000" w:sz="4" w:space="0"/>
            </w:tcBorders>
            <w:noWrap/>
            <w:vAlign w:val="center"/>
          </w:tcPr>
          <w:p w14:paraId="6B5F9FB1">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color w:val="000000"/>
                <w:kern w:val="0"/>
                <w:sz w:val="18"/>
                <w:szCs w:val="18"/>
                <w:u w:val="none"/>
                <w:lang w:val="en-US" w:eastAsia="zh-CN" w:bidi="ar"/>
              </w:rPr>
              <w:t>V=2</w:t>
            </w:r>
            <w:r>
              <w:rPr>
                <w:rFonts w:hint="eastAsia" w:cs="Times New Roman"/>
                <w:i w:val="0"/>
                <w:iCs w:val="0"/>
                <w:color w:val="000000"/>
                <w:kern w:val="0"/>
                <w:sz w:val="18"/>
                <w:szCs w:val="18"/>
                <w:u w:val="none"/>
                <w:lang w:val="en-US" w:eastAsia="zh-CN" w:bidi="ar"/>
              </w:rPr>
              <w:t>m³</w:t>
            </w:r>
          </w:p>
        </w:tc>
      </w:tr>
      <w:tr w14:paraId="6F98697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4" w:hRule="atLeast"/>
        </w:trPr>
        <w:tc>
          <w:tcPr>
            <w:tcW w:w="322" w:type="pct"/>
            <w:tcBorders>
              <w:top w:val="single" w:color="000000" w:sz="4" w:space="0"/>
              <w:left w:val="single" w:color="000000" w:sz="4" w:space="0"/>
              <w:bottom w:val="single" w:color="000000" w:sz="4" w:space="0"/>
              <w:right w:val="single" w:color="000000" w:sz="4" w:space="0"/>
            </w:tcBorders>
            <w:noWrap/>
            <w:vAlign w:val="center"/>
          </w:tcPr>
          <w:p w14:paraId="6029B8DE">
            <w:pPr>
              <w:spacing w:line="240" w:lineRule="auto"/>
              <w:ind w:firstLine="0" w:firstLineChars="0"/>
              <w:jc w:val="center"/>
              <w:rPr>
                <w:rFonts w:hint="default" w:ascii="Times New Roman" w:hAnsi="Times New Roman" w:eastAsia="宋体" w:cs="Times New Roman"/>
                <w:i w:val="0"/>
                <w:iCs w:val="0"/>
                <w:color w:val="000000"/>
                <w:sz w:val="20"/>
                <w:szCs w:val="20"/>
                <w:u w:val="none"/>
              </w:rPr>
            </w:pPr>
          </w:p>
        </w:tc>
        <w:tc>
          <w:tcPr>
            <w:tcW w:w="1086" w:type="pct"/>
            <w:tcBorders>
              <w:top w:val="single" w:color="000000" w:sz="4" w:space="0"/>
              <w:left w:val="single" w:color="000000" w:sz="4" w:space="0"/>
              <w:bottom w:val="single" w:color="000000" w:sz="4" w:space="0"/>
              <w:right w:val="single" w:color="000000" w:sz="4" w:space="0"/>
            </w:tcBorders>
            <w:noWrap w:val="0"/>
            <w:vAlign w:val="center"/>
          </w:tcPr>
          <w:p w14:paraId="35845C16">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20"/>
                <w:szCs w:val="20"/>
                <w:u w:val="none"/>
              </w:rPr>
            </w:pPr>
            <w:r>
              <w:rPr>
                <w:rFonts w:hint="eastAsia" w:ascii="宋体" w:hAnsi="宋体" w:eastAsia="宋体" w:cs="宋体"/>
                <w:i w:val="0"/>
                <w:iCs w:val="0"/>
                <w:color w:val="000000"/>
                <w:kern w:val="0"/>
                <w:sz w:val="18"/>
                <w:szCs w:val="18"/>
                <w:u w:val="none"/>
                <w:lang w:val="en-US" w:eastAsia="zh-CN" w:bidi="ar"/>
              </w:rPr>
              <w:t>高效沉淀装置</w:t>
            </w:r>
          </w:p>
        </w:tc>
        <w:tc>
          <w:tcPr>
            <w:tcW w:w="1008" w:type="dxa"/>
            <w:tcBorders>
              <w:top w:val="single" w:color="000000" w:sz="4" w:space="0"/>
              <w:left w:val="single" w:color="000000" w:sz="4" w:space="0"/>
              <w:bottom w:val="single" w:color="000000" w:sz="4" w:space="0"/>
              <w:right w:val="single" w:color="000000" w:sz="4" w:space="0"/>
            </w:tcBorders>
            <w:noWrap/>
            <w:vAlign w:val="center"/>
          </w:tcPr>
          <w:p w14:paraId="267E3D4E">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20"/>
                <w:szCs w:val="20"/>
                <w:u w:val="none"/>
              </w:rPr>
            </w:pPr>
            <w:r>
              <w:rPr>
                <w:rFonts w:hint="eastAsia" w:ascii="宋体" w:hAnsi="宋体" w:eastAsia="宋体" w:cs="宋体"/>
                <w:i w:val="0"/>
                <w:iCs w:val="0"/>
                <w:color w:val="000000"/>
                <w:kern w:val="0"/>
                <w:sz w:val="18"/>
                <w:szCs w:val="18"/>
                <w:u w:val="none"/>
                <w:lang w:val="en-US" w:eastAsia="zh-CN" w:bidi="ar"/>
              </w:rPr>
              <w:t>套</w:t>
            </w:r>
          </w:p>
        </w:tc>
        <w:tc>
          <w:tcPr>
            <w:tcW w:w="648" w:type="dxa"/>
            <w:tcBorders>
              <w:top w:val="single" w:color="000000" w:sz="4" w:space="0"/>
              <w:left w:val="single" w:color="000000" w:sz="4" w:space="0"/>
              <w:bottom w:val="single" w:color="000000" w:sz="4" w:space="0"/>
              <w:right w:val="single" w:color="000000" w:sz="4" w:space="0"/>
            </w:tcBorders>
            <w:noWrap/>
            <w:vAlign w:val="center"/>
          </w:tcPr>
          <w:p w14:paraId="3D1C8207">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20"/>
                <w:szCs w:val="20"/>
                <w:u w:val="none"/>
              </w:rPr>
            </w:pPr>
            <w:r>
              <w:rPr>
                <w:rFonts w:hint="default" w:ascii="Times New Roman" w:hAnsi="Times New Roman" w:eastAsia="宋体" w:cs="Times New Roman"/>
                <w:i w:val="0"/>
                <w:iCs w:val="0"/>
                <w:color w:val="000000"/>
                <w:kern w:val="0"/>
                <w:sz w:val="18"/>
                <w:szCs w:val="18"/>
                <w:u w:val="none"/>
                <w:lang w:val="en-US" w:eastAsia="zh-CN" w:bidi="ar"/>
              </w:rPr>
              <w:t xml:space="preserve">1 </w:t>
            </w:r>
          </w:p>
        </w:tc>
        <w:tc>
          <w:tcPr>
            <w:tcW w:w="1487" w:type="dxa"/>
            <w:tcBorders>
              <w:top w:val="single" w:color="000000" w:sz="4" w:space="0"/>
              <w:left w:val="single" w:color="000000" w:sz="4" w:space="0"/>
              <w:bottom w:val="single" w:color="000000" w:sz="4" w:space="0"/>
              <w:right w:val="single" w:color="000000" w:sz="4" w:space="0"/>
            </w:tcBorders>
            <w:noWrap/>
            <w:vAlign w:val="center"/>
          </w:tcPr>
          <w:p w14:paraId="1C75A85C">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20"/>
                <w:szCs w:val="20"/>
                <w:u w:val="none"/>
              </w:rPr>
            </w:pPr>
            <w:r>
              <w:rPr>
                <w:rFonts w:hint="default" w:ascii="Times New Roman" w:hAnsi="Times New Roman" w:eastAsia="宋体" w:cs="Times New Roman"/>
                <w:i w:val="0"/>
                <w:iCs w:val="0"/>
                <w:color w:val="000000"/>
                <w:kern w:val="0"/>
                <w:sz w:val="18"/>
                <w:szCs w:val="18"/>
                <w:u w:val="none"/>
                <w:lang w:val="en-US" w:eastAsia="zh-CN" w:bidi="ar"/>
              </w:rPr>
              <w:t xml:space="preserve">18.00 </w:t>
            </w:r>
          </w:p>
        </w:tc>
        <w:tc>
          <w:tcPr>
            <w:tcW w:w="2977" w:type="dxa"/>
            <w:tcBorders>
              <w:top w:val="single" w:color="000000" w:sz="4" w:space="0"/>
              <w:left w:val="single" w:color="000000" w:sz="4" w:space="0"/>
              <w:bottom w:val="single" w:color="000000" w:sz="4" w:space="0"/>
              <w:right w:val="single" w:color="000000" w:sz="4" w:space="0"/>
            </w:tcBorders>
            <w:noWrap/>
            <w:vAlign w:val="center"/>
          </w:tcPr>
          <w:p w14:paraId="34AD88B7">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color w:val="000000"/>
                <w:kern w:val="0"/>
                <w:sz w:val="18"/>
                <w:szCs w:val="18"/>
                <w:u w:val="none"/>
                <w:lang w:val="en-US" w:eastAsia="zh-CN" w:bidi="ar"/>
              </w:rPr>
              <w:t>RHGX/50</w:t>
            </w:r>
            <w:r>
              <w:rPr>
                <w:rFonts w:hint="eastAsia" w:cs="Times New Roman"/>
                <w:i w:val="0"/>
                <w:iCs w:val="0"/>
                <w:color w:val="000000"/>
                <w:kern w:val="0"/>
                <w:sz w:val="18"/>
                <w:szCs w:val="18"/>
                <w:u w:val="none"/>
                <w:lang w:val="en-US" w:eastAsia="zh-CN" w:bidi="ar"/>
              </w:rPr>
              <w:t>，</w:t>
            </w:r>
            <w:r>
              <w:rPr>
                <w:rFonts w:hint="default" w:ascii="Times New Roman" w:hAnsi="Times New Roman" w:eastAsia="宋体" w:cs="Times New Roman"/>
                <w:i w:val="0"/>
                <w:iCs w:val="0"/>
                <w:color w:val="000000"/>
                <w:kern w:val="0"/>
                <w:sz w:val="18"/>
                <w:szCs w:val="18"/>
                <w:u w:val="none"/>
                <w:lang w:val="en-US" w:eastAsia="zh-CN" w:bidi="ar"/>
              </w:rPr>
              <w:t>N=4.5KW</w:t>
            </w:r>
            <w:r>
              <w:rPr>
                <w:rFonts w:hint="eastAsia" w:ascii="宋体" w:hAnsi="宋体" w:eastAsia="宋体" w:cs="宋体"/>
                <w:i w:val="0"/>
                <w:iCs w:val="0"/>
                <w:color w:val="000000"/>
                <w:kern w:val="0"/>
                <w:sz w:val="18"/>
                <w:szCs w:val="18"/>
                <w:u w:val="none"/>
                <w:lang w:val="en-US" w:eastAsia="zh-CN" w:bidi="ar"/>
              </w:rPr>
              <w:t>（成套设备）</w:t>
            </w:r>
          </w:p>
        </w:tc>
      </w:tr>
      <w:tr w14:paraId="10FA762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4" w:hRule="atLeast"/>
        </w:trPr>
        <w:tc>
          <w:tcPr>
            <w:tcW w:w="322" w:type="pct"/>
            <w:tcBorders>
              <w:top w:val="single" w:color="000000" w:sz="4" w:space="0"/>
              <w:left w:val="single" w:color="000000" w:sz="4" w:space="0"/>
              <w:bottom w:val="single" w:color="000000" w:sz="4" w:space="0"/>
              <w:right w:val="single" w:color="000000" w:sz="4" w:space="0"/>
            </w:tcBorders>
            <w:noWrap/>
            <w:vAlign w:val="center"/>
          </w:tcPr>
          <w:p w14:paraId="078E6BA7">
            <w:pPr>
              <w:spacing w:line="240" w:lineRule="auto"/>
              <w:ind w:firstLine="0" w:firstLineChars="0"/>
              <w:jc w:val="center"/>
              <w:rPr>
                <w:rFonts w:hint="default" w:ascii="Times New Roman" w:hAnsi="Times New Roman" w:eastAsia="宋体" w:cs="Times New Roman"/>
                <w:i w:val="0"/>
                <w:iCs w:val="0"/>
                <w:color w:val="000000"/>
                <w:sz w:val="20"/>
                <w:szCs w:val="20"/>
                <w:u w:val="none"/>
              </w:rPr>
            </w:pPr>
          </w:p>
        </w:tc>
        <w:tc>
          <w:tcPr>
            <w:tcW w:w="1086" w:type="pct"/>
            <w:tcBorders>
              <w:top w:val="single" w:color="000000" w:sz="4" w:space="0"/>
              <w:left w:val="single" w:color="000000" w:sz="4" w:space="0"/>
              <w:bottom w:val="single" w:color="000000" w:sz="4" w:space="0"/>
              <w:right w:val="single" w:color="000000" w:sz="4" w:space="0"/>
            </w:tcBorders>
            <w:noWrap w:val="0"/>
            <w:vAlign w:val="center"/>
          </w:tcPr>
          <w:p w14:paraId="48AB01A4">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20"/>
                <w:szCs w:val="20"/>
                <w:u w:val="none"/>
              </w:rPr>
            </w:pPr>
            <w:r>
              <w:rPr>
                <w:rFonts w:hint="eastAsia" w:ascii="宋体" w:hAnsi="宋体" w:eastAsia="宋体" w:cs="宋体"/>
                <w:i w:val="0"/>
                <w:iCs w:val="0"/>
                <w:color w:val="000000"/>
                <w:kern w:val="0"/>
                <w:sz w:val="18"/>
                <w:szCs w:val="18"/>
                <w:u w:val="none"/>
                <w:lang w:val="en-US" w:eastAsia="zh-CN" w:bidi="ar"/>
              </w:rPr>
              <w:t>混凝剂自动加药装置</w:t>
            </w:r>
          </w:p>
        </w:tc>
        <w:tc>
          <w:tcPr>
            <w:tcW w:w="1008" w:type="dxa"/>
            <w:tcBorders>
              <w:top w:val="single" w:color="000000" w:sz="4" w:space="0"/>
              <w:left w:val="single" w:color="000000" w:sz="4" w:space="0"/>
              <w:bottom w:val="single" w:color="000000" w:sz="4" w:space="0"/>
              <w:right w:val="single" w:color="000000" w:sz="4" w:space="0"/>
            </w:tcBorders>
            <w:noWrap/>
            <w:vAlign w:val="center"/>
          </w:tcPr>
          <w:p w14:paraId="65AB68F7">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20"/>
                <w:szCs w:val="20"/>
                <w:u w:val="none"/>
              </w:rPr>
            </w:pPr>
            <w:r>
              <w:rPr>
                <w:rFonts w:hint="eastAsia" w:ascii="宋体" w:hAnsi="宋体" w:eastAsia="宋体" w:cs="宋体"/>
                <w:i w:val="0"/>
                <w:iCs w:val="0"/>
                <w:color w:val="000000"/>
                <w:kern w:val="0"/>
                <w:sz w:val="18"/>
                <w:szCs w:val="18"/>
                <w:u w:val="none"/>
                <w:lang w:val="en-US" w:eastAsia="zh-CN" w:bidi="ar"/>
              </w:rPr>
              <w:t>套</w:t>
            </w:r>
          </w:p>
        </w:tc>
        <w:tc>
          <w:tcPr>
            <w:tcW w:w="648" w:type="dxa"/>
            <w:tcBorders>
              <w:top w:val="single" w:color="000000" w:sz="4" w:space="0"/>
              <w:left w:val="single" w:color="000000" w:sz="4" w:space="0"/>
              <w:bottom w:val="single" w:color="000000" w:sz="4" w:space="0"/>
              <w:right w:val="single" w:color="000000" w:sz="4" w:space="0"/>
            </w:tcBorders>
            <w:noWrap/>
            <w:vAlign w:val="center"/>
          </w:tcPr>
          <w:p w14:paraId="30D2ECDD">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20"/>
                <w:szCs w:val="20"/>
                <w:u w:val="none"/>
              </w:rPr>
            </w:pPr>
            <w:r>
              <w:rPr>
                <w:rFonts w:hint="default" w:ascii="Times New Roman" w:hAnsi="Times New Roman" w:eastAsia="宋体" w:cs="Times New Roman"/>
                <w:i w:val="0"/>
                <w:iCs w:val="0"/>
                <w:color w:val="000000"/>
                <w:kern w:val="0"/>
                <w:sz w:val="18"/>
                <w:szCs w:val="18"/>
                <w:u w:val="none"/>
                <w:lang w:val="en-US" w:eastAsia="zh-CN" w:bidi="ar"/>
              </w:rPr>
              <w:t xml:space="preserve">1 </w:t>
            </w:r>
          </w:p>
        </w:tc>
        <w:tc>
          <w:tcPr>
            <w:tcW w:w="1487" w:type="dxa"/>
            <w:tcBorders>
              <w:top w:val="single" w:color="000000" w:sz="4" w:space="0"/>
              <w:left w:val="single" w:color="000000" w:sz="4" w:space="0"/>
              <w:bottom w:val="single" w:color="000000" w:sz="4" w:space="0"/>
              <w:right w:val="single" w:color="000000" w:sz="4" w:space="0"/>
            </w:tcBorders>
            <w:noWrap/>
            <w:vAlign w:val="center"/>
          </w:tcPr>
          <w:p w14:paraId="4BFA7BFB">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20"/>
                <w:szCs w:val="20"/>
                <w:u w:val="none"/>
              </w:rPr>
            </w:pPr>
            <w:r>
              <w:rPr>
                <w:rFonts w:hint="default" w:ascii="Times New Roman" w:hAnsi="Times New Roman" w:eastAsia="宋体" w:cs="Times New Roman"/>
                <w:i w:val="0"/>
                <w:iCs w:val="0"/>
                <w:color w:val="000000"/>
                <w:kern w:val="0"/>
                <w:sz w:val="18"/>
                <w:szCs w:val="18"/>
                <w:u w:val="none"/>
                <w:lang w:val="en-US" w:eastAsia="zh-CN" w:bidi="ar"/>
              </w:rPr>
              <w:t xml:space="preserve">1.20 </w:t>
            </w:r>
          </w:p>
        </w:tc>
        <w:tc>
          <w:tcPr>
            <w:tcW w:w="2977" w:type="dxa"/>
            <w:tcBorders>
              <w:top w:val="single" w:color="000000" w:sz="4" w:space="0"/>
              <w:left w:val="single" w:color="000000" w:sz="4" w:space="0"/>
              <w:bottom w:val="single" w:color="000000" w:sz="4" w:space="0"/>
              <w:right w:val="single" w:color="000000" w:sz="4" w:space="0"/>
            </w:tcBorders>
            <w:noWrap/>
            <w:vAlign w:val="center"/>
          </w:tcPr>
          <w:p w14:paraId="23E3001D">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color w:val="000000"/>
                <w:kern w:val="0"/>
                <w:sz w:val="18"/>
                <w:szCs w:val="18"/>
                <w:u w:val="none"/>
                <w:lang w:val="en-US" w:eastAsia="zh-CN" w:bidi="ar"/>
              </w:rPr>
              <w:t>JBY1/1-1.6/0.76</w:t>
            </w:r>
            <w:r>
              <w:rPr>
                <w:rFonts w:hint="eastAsia" w:ascii="宋体" w:hAnsi="宋体" w:eastAsia="宋体" w:cs="宋体"/>
                <w:i w:val="0"/>
                <w:iCs w:val="0"/>
                <w:color w:val="000000"/>
                <w:kern w:val="0"/>
                <w:sz w:val="18"/>
                <w:szCs w:val="18"/>
                <w:u w:val="none"/>
                <w:lang w:val="en-US" w:eastAsia="zh-CN" w:bidi="ar"/>
              </w:rPr>
              <w:t>（成套设备）</w:t>
            </w:r>
          </w:p>
        </w:tc>
      </w:tr>
      <w:tr w14:paraId="621DB8A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4" w:hRule="atLeast"/>
        </w:trPr>
        <w:tc>
          <w:tcPr>
            <w:tcW w:w="322" w:type="pct"/>
            <w:tcBorders>
              <w:top w:val="single" w:color="000000" w:sz="4" w:space="0"/>
              <w:left w:val="single" w:color="000000" w:sz="4" w:space="0"/>
              <w:bottom w:val="single" w:color="000000" w:sz="4" w:space="0"/>
              <w:right w:val="single" w:color="000000" w:sz="4" w:space="0"/>
            </w:tcBorders>
            <w:noWrap/>
            <w:vAlign w:val="center"/>
          </w:tcPr>
          <w:p w14:paraId="02ABBF50">
            <w:pPr>
              <w:spacing w:line="240" w:lineRule="auto"/>
              <w:ind w:firstLine="0" w:firstLineChars="0"/>
              <w:jc w:val="center"/>
              <w:rPr>
                <w:rFonts w:hint="default" w:ascii="Times New Roman" w:hAnsi="Times New Roman" w:eastAsia="宋体" w:cs="Times New Roman"/>
                <w:i w:val="0"/>
                <w:iCs w:val="0"/>
                <w:color w:val="000000"/>
                <w:sz w:val="20"/>
                <w:szCs w:val="20"/>
                <w:u w:val="none"/>
              </w:rPr>
            </w:pPr>
          </w:p>
        </w:tc>
        <w:tc>
          <w:tcPr>
            <w:tcW w:w="1086" w:type="pct"/>
            <w:tcBorders>
              <w:top w:val="single" w:color="000000" w:sz="4" w:space="0"/>
              <w:left w:val="single" w:color="000000" w:sz="4" w:space="0"/>
              <w:bottom w:val="single" w:color="000000" w:sz="4" w:space="0"/>
              <w:right w:val="single" w:color="000000" w:sz="4" w:space="0"/>
            </w:tcBorders>
            <w:noWrap w:val="0"/>
            <w:vAlign w:val="center"/>
          </w:tcPr>
          <w:p w14:paraId="7FA60B98">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20"/>
                <w:szCs w:val="20"/>
                <w:u w:val="none"/>
              </w:rPr>
            </w:pPr>
            <w:r>
              <w:rPr>
                <w:rFonts w:hint="eastAsia" w:ascii="宋体" w:hAnsi="宋体" w:eastAsia="宋体" w:cs="宋体"/>
                <w:i w:val="0"/>
                <w:iCs w:val="0"/>
                <w:color w:val="000000"/>
                <w:kern w:val="0"/>
                <w:sz w:val="18"/>
                <w:szCs w:val="18"/>
                <w:u w:val="none"/>
                <w:lang w:val="en-US" w:eastAsia="zh-CN" w:bidi="ar"/>
              </w:rPr>
              <w:t>絮凝剂自动加药装置</w:t>
            </w:r>
          </w:p>
        </w:tc>
        <w:tc>
          <w:tcPr>
            <w:tcW w:w="1008" w:type="dxa"/>
            <w:tcBorders>
              <w:top w:val="single" w:color="000000" w:sz="4" w:space="0"/>
              <w:left w:val="single" w:color="000000" w:sz="4" w:space="0"/>
              <w:bottom w:val="single" w:color="000000" w:sz="4" w:space="0"/>
              <w:right w:val="single" w:color="000000" w:sz="4" w:space="0"/>
            </w:tcBorders>
            <w:noWrap/>
            <w:vAlign w:val="center"/>
          </w:tcPr>
          <w:p w14:paraId="4AF36635">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20"/>
                <w:szCs w:val="20"/>
                <w:u w:val="none"/>
              </w:rPr>
            </w:pPr>
            <w:r>
              <w:rPr>
                <w:rFonts w:hint="eastAsia" w:ascii="宋体" w:hAnsi="宋体" w:eastAsia="宋体" w:cs="宋体"/>
                <w:i w:val="0"/>
                <w:iCs w:val="0"/>
                <w:color w:val="000000"/>
                <w:kern w:val="0"/>
                <w:sz w:val="18"/>
                <w:szCs w:val="18"/>
                <w:u w:val="none"/>
                <w:lang w:val="en-US" w:eastAsia="zh-CN" w:bidi="ar"/>
              </w:rPr>
              <w:t>套</w:t>
            </w:r>
          </w:p>
        </w:tc>
        <w:tc>
          <w:tcPr>
            <w:tcW w:w="648" w:type="dxa"/>
            <w:tcBorders>
              <w:top w:val="single" w:color="000000" w:sz="4" w:space="0"/>
              <w:left w:val="single" w:color="000000" w:sz="4" w:space="0"/>
              <w:bottom w:val="single" w:color="000000" w:sz="4" w:space="0"/>
              <w:right w:val="single" w:color="000000" w:sz="4" w:space="0"/>
            </w:tcBorders>
            <w:noWrap/>
            <w:vAlign w:val="center"/>
          </w:tcPr>
          <w:p w14:paraId="365B8793">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20"/>
                <w:szCs w:val="20"/>
                <w:u w:val="none"/>
              </w:rPr>
            </w:pPr>
            <w:r>
              <w:rPr>
                <w:rFonts w:hint="default" w:ascii="Times New Roman" w:hAnsi="Times New Roman" w:eastAsia="宋体" w:cs="Times New Roman"/>
                <w:i w:val="0"/>
                <w:iCs w:val="0"/>
                <w:color w:val="000000"/>
                <w:kern w:val="0"/>
                <w:sz w:val="18"/>
                <w:szCs w:val="18"/>
                <w:u w:val="none"/>
                <w:lang w:val="en-US" w:eastAsia="zh-CN" w:bidi="ar"/>
              </w:rPr>
              <w:t xml:space="preserve">1 </w:t>
            </w:r>
          </w:p>
        </w:tc>
        <w:tc>
          <w:tcPr>
            <w:tcW w:w="1487" w:type="dxa"/>
            <w:tcBorders>
              <w:top w:val="single" w:color="000000" w:sz="4" w:space="0"/>
              <w:left w:val="single" w:color="000000" w:sz="4" w:space="0"/>
              <w:bottom w:val="single" w:color="000000" w:sz="4" w:space="0"/>
              <w:right w:val="single" w:color="000000" w:sz="4" w:space="0"/>
            </w:tcBorders>
            <w:noWrap/>
            <w:vAlign w:val="center"/>
          </w:tcPr>
          <w:p w14:paraId="196DF404">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20"/>
                <w:szCs w:val="20"/>
                <w:u w:val="none"/>
              </w:rPr>
            </w:pPr>
            <w:r>
              <w:rPr>
                <w:rFonts w:hint="default" w:ascii="Times New Roman" w:hAnsi="Times New Roman" w:eastAsia="宋体" w:cs="Times New Roman"/>
                <w:i w:val="0"/>
                <w:iCs w:val="0"/>
                <w:color w:val="000000"/>
                <w:kern w:val="0"/>
                <w:sz w:val="18"/>
                <w:szCs w:val="18"/>
                <w:u w:val="none"/>
                <w:lang w:val="en-US" w:eastAsia="zh-CN" w:bidi="ar"/>
              </w:rPr>
              <w:t xml:space="preserve">1.20 </w:t>
            </w:r>
          </w:p>
        </w:tc>
        <w:tc>
          <w:tcPr>
            <w:tcW w:w="2977" w:type="dxa"/>
            <w:tcBorders>
              <w:top w:val="single" w:color="000000" w:sz="4" w:space="0"/>
              <w:left w:val="single" w:color="000000" w:sz="4" w:space="0"/>
              <w:bottom w:val="single" w:color="000000" w:sz="4" w:space="0"/>
              <w:right w:val="single" w:color="000000" w:sz="4" w:space="0"/>
            </w:tcBorders>
            <w:noWrap/>
            <w:vAlign w:val="center"/>
          </w:tcPr>
          <w:p w14:paraId="69163712">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color w:val="000000"/>
                <w:kern w:val="0"/>
                <w:sz w:val="18"/>
                <w:szCs w:val="18"/>
                <w:u w:val="none"/>
                <w:lang w:val="en-US" w:eastAsia="zh-CN" w:bidi="ar"/>
              </w:rPr>
              <w:t>JBY1/1-1.6/0.76</w:t>
            </w:r>
            <w:r>
              <w:rPr>
                <w:rFonts w:hint="eastAsia" w:ascii="宋体" w:hAnsi="宋体" w:eastAsia="宋体" w:cs="宋体"/>
                <w:i w:val="0"/>
                <w:iCs w:val="0"/>
                <w:color w:val="000000"/>
                <w:kern w:val="0"/>
                <w:sz w:val="18"/>
                <w:szCs w:val="18"/>
                <w:u w:val="none"/>
                <w:lang w:val="en-US" w:eastAsia="zh-CN" w:bidi="ar"/>
              </w:rPr>
              <w:t>（成套设备）</w:t>
            </w:r>
          </w:p>
        </w:tc>
      </w:tr>
      <w:tr w14:paraId="70BFE4E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4" w:hRule="atLeast"/>
        </w:trPr>
        <w:tc>
          <w:tcPr>
            <w:tcW w:w="322" w:type="pct"/>
            <w:tcBorders>
              <w:top w:val="single" w:color="000000" w:sz="4" w:space="0"/>
              <w:left w:val="single" w:color="000000" w:sz="4" w:space="0"/>
              <w:bottom w:val="single" w:color="000000" w:sz="4" w:space="0"/>
              <w:right w:val="single" w:color="000000" w:sz="4" w:space="0"/>
            </w:tcBorders>
            <w:noWrap/>
            <w:vAlign w:val="center"/>
          </w:tcPr>
          <w:p w14:paraId="7B832877">
            <w:pPr>
              <w:spacing w:line="240" w:lineRule="auto"/>
              <w:ind w:firstLine="0" w:firstLineChars="0"/>
              <w:jc w:val="center"/>
              <w:rPr>
                <w:rFonts w:hint="default" w:ascii="Times New Roman" w:hAnsi="Times New Roman" w:eastAsia="宋体" w:cs="Times New Roman"/>
                <w:i w:val="0"/>
                <w:iCs w:val="0"/>
                <w:color w:val="000000"/>
                <w:sz w:val="20"/>
                <w:szCs w:val="20"/>
                <w:u w:val="none"/>
              </w:rPr>
            </w:pPr>
          </w:p>
        </w:tc>
        <w:tc>
          <w:tcPr>
            <w:tcW w:w="1086" w:type="pct"/>
            <w:tcBorders>
              <w:top w:val="single" w:color="000000" w:sz="4" w:space="0"/>
              <w:left w:val="single" w:color="000000" w:sz="4" w:space="0"/>
              <w:bottom w:val="single" w:color="000000" w:sz="4" w:space="0"/>
              <w:right w:val="single" w:color="000000" w:sz="4" w:space="0"/>
            </w:tcBorders>
            <w:noWrap w:val="0"/>
            <w:vAlign w:val="center"/>
          </w:tcPr>
          <w:p w14:paraId="70674649">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20"/>
                <w:szCs w:val="20"/>
                <w:u w:val="none"/>
              </w:rPr>
            </w:pPr>
            <w:r>
              <w:rPr>
                <w:rFonts w:hint="eastAsia" w:ascii="宋体" w:hAnsi="宋体" w:eastAsia="宋体" w:cs="宋体"/>
                <w:i w:val="0"/>
                <w:iCs w:val="0"/>
                <w:color w:val="000000"/>
                <w:kern w:val="0"/>
                <w:sz w:val="18"/>
                <w:szCs w:val="18"/>
                <w:u w:val="none"/>
                <w:lang w:val="en-US" w:eastAsia="zh-CN" w:bidi="ar"/>
              </w:rPr>
              <w:t>一级</w:t>
            </w:r>
            <w:r>
              <w:rPr>
                <w:rFonts w:hint="default" w:ascii="Times New Roman" w:hAnsi="Times New Roman" w:eastAsia="宋体" w:cs="Times New Roman"/>
                <w:i w:val="0"/>
                <w:iCs w:val="0"/>
                <w:color w:val="000000"/>
                <w:kern w:val="0"/>
                <w:sz w:val="18"/>
                <w:szCs w:val="18"/>
                <w:u w:val="none"/>
                <w:lang w:val="en-US" w:eastAsia="zh-CN" w:bidi="ar"/>
              </w:rPr>
              <w:t>RO</w:t>
            </w:r>
            <w:r>
              <w:rPr>
                <w:rFonts w:hint="eastAsia" w:ascii="宋体" w:hAnsi="宋体" w:eastAsia="宋体" w:cs="宋体"/>
                <w:i w:val="0"/>
                <w:iCs w:val="0"/>
                <w:color w:val="000000"/>
                <w:kern w:val="0"/>
                <w:sz w:val="18"/>
                <w:szCs w:val="18"/>
                <w:u w:val="none"/>
                <w:lang w:val="en-US" w:eastAsia="zh-CN" w:bidi="ar"/>
              </w:rPr>
              <w:t>系统</w:t>
            </w:r>
          </w:p>
        </w:tc>
        <w:tc>
          <w:tcPr>
            <w:tcW w:w="1008" w:type="dxa"/>
            <w:tcBorders>
              <w:top w:val="single" w:color="000000" w:sz="4" w:space="0"/>
              <w:left w:val="single" w:color="000000" w:sz="4" w:space="0"/>
              <w:bottom w:val="single" w:color="000000" w:sz="4" w:space="0"/>
              <w:right w:val="single" w:color="000000" w:sz="4" w:space="0"/>
            </w:tcBorders>
            <w:noWrap/>
            <w:vAlign w:val="center"/>
          </w:tcPr>
          <w:p w14:paraId="6DFE837F">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20"/>
                <w:szCs w:val="20"/>
                <w:u w:val="none"/>
              </w:rPr>
            </w:pPr>
            <w:r>
              <w:rPr>
                <w:rFonts w:hint="eastAsia" w:ascii="宋体" w:hAnsi="宋体" w:eastAsia="宋体" w:cs="宋体"/>
                <w:i w:val="0"/>
                <w:iCs w:val="0"/>
                <w:color w:val="000000"/>
                <w:kern w:val="0"/>
                <w:sz w:val="18"/>
                <w:szCs w:val="18"/>
                <w:u w:val="none"/>
                <w:lang w:val="en-US" w:eastAsia="zh-CN" w:bidi="ar"/>
              </w:rPr>
              <w:t>套</w:t>
            </w:r>
          </w:p>
        </w:tc>
        <w:tc>
          <w:tcPr>
            <w:tcW w:w="648" w:type="dxa"/>
            <w:tcBorders>
              <w:top w:val="single" w:color="000000" w:sz="4" w:space="0"/>
              <w:left w:val="single" w:color="000000" w:sz="4" w:space="0"/>
              <w:bottom w:val="single" w:color="000000" w:sz="4" w:space="0"/>
              <w:right w:val="single" w:color="000000" w:sz="4" w:space="0"/>
            </w:tcBorders>
            <w:noWrap/>
            <w:vAlign w:val="center"/>
          </w:tcPr>
          <w:p w14:paraId="63C3AE09">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20"/>
                <w:szCs w:val="20"/>
                <w:u w:val="none"/>
              </w:rPr>
            </w:pPr>
            <w:r>
              <w:rPr>
                <w:rFonts w:hint="default" w:ascii="Times New Roman" w:hAnsi="Times New Roman" w:eastAsia="宋体" w:cs="Times New Roman"/>
                <w:i w:val="0"/>
                <w:iCs w:val="0"/>
                <w:color w:val="000000"/>
                <w:kern w:val="0"/>
                <w:sz w:val="18"/>
                <w:szCs w:val="18"/>
                <w:u w:val="none"/>
                <w:lang w:val="en-US" w:eastAsia="zh-CN" w:bidi="ar"/>
              </w:rPr>
              <w:t xml:space="preserve">1 </w:t>
            </w:r>
          </w:p>
        </w:tc>
        <w:tc>
          <w:tcPr>
            <w:tcW w:w="1487" w:type="dxa"/>
            <w:tcBorders>
              <w:top w:val="single" w:color="000000" w:sz="4" w:space="0"/>
              <w:left w:val="single" w:color="000000" w:sz="4" w:space="0"/>
              <w:bottom w:val="single" w:color="000000" w:sz="4" w:space="0"/>
              <w:right w:val="single" w:color="000000" w:sz="4" w:space="0"/>
            </w:tcBorders>
            <w:noWrap/>
            <w:vAlign w:val="center"/>
          </w:tcPr>
          <w:p w14:paraId="0D3D515E">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20"/>
                <w:szCs w:val="20"/>
                <w:u w:val="none"/>
              </w:rPr>
            </w:pPr>
            <w:r>
              <w:rPr>
                <w:rFonts w:hint="default" w:ascii="Times New Roman" w:hAnsi="Times New Roman" w:eastAsia="宋体" w:cs="Times New Roman"/>
                <w:i w:val="0"/>
                <w:iCs w:val="0"/>
                <w:color w:val="000000"/>
                <w:kern w:val="0"/>
                <w:sz w:val="18"/>
                <w:szCs w:val="18"/>
                <w:u w:val="none"/>
                <w:lang w:val="en-US" w:eastAsia="zh-CN" w:bidi="ar"/>
              </w:rPr>
              <w:t xml:space="preserve">26.50 </w:t>
            </w:r>
          </w:p>
        </w:tc>
        <w:tc>
          <w:tcPr>
            <w:tcW w:w="2977" w:type="dxa"/>
            <w:tcBorders>
              <w:top w:val="single" w:color="000000" w:sz="4" w:space="0"/>
              <w:left w:val="single" w:color="000000" w:sz="4" w:space="0"/>
              <w:bottom w:val="single" w:color="000000" w:sz="4" w:space="0"/>
              <w:right w:val="single" w:color="000000" w:sz="4" w:space="0"/>
            </w:tcBorders>
            <w:noWrap/>
            <w:vAlign w:val="center"/>
          </w:tcPr>
          <w:p w14:paraId="515C63C6">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color w:val="000000"/>
                <w:kern w:val="0"/>
                <w:sz w:val="18"/>
                <w:szCs w:val="18"/>
                <w:u w:val="none"/>
                <w:lang w:val="en-US" w:eastAsia="zh-CN" w:bidi="ar"/>
              </w:rPr>
              <w:t>THRO/50/1</w:t>
            </w:r>
            <w:r>
              <w:rPr>
                <w:rFonts w:hint="eastAsia" w:ascii="宋体" w:hAnsi="宋体" w:eastAsia="宋体" w:cs="宋体"/>
                <w:i w:val="0"/>
                <w:iCs w:val="0"/>
                <w:color w:val="000000"/>
                <w:kern w:val="0"/>
                <w:sz w:val="18"/>
                <w:szCs w:val="18"/>
                <w:u w:val="none"/>
                <w:lang w:val="en-US" w:eastAsia="zh-CN" w:bidi="ar"/>
              </w:rPr>
              <w:t>，系统回收率</w:t>
            </w:r>
            <w:r>
              <w:rPr>
                <w:rFonts w:hint="default" w:ascii="Times New Roman" w:hAnsi="Times New Roman" w:eastAsia="宋体" w:cs="Times New Roman"/>
                <w:i w:val="0"/>
                <w:iCs w:val="0"/>
                <w:color w:val="000000"/>
                <w:kern w:val="0"/>
                <w:sz w:val="18"/>
                <w:szCs w:val="18"/>
                <w:u w:val="none"/>
                <w:lang w:val="en-US" w:eastAsia="zh-CN" w:bidi="ar"/>
              </w:rPr>
              <w:t>75%</w:t>
            </w:r>
            <w:r>
              <w:rPr>
                <w:rFonts w:hint="eastAsia" w:ascii="宋体" w:hAnsi="宋体" w:eastAsia="宋体" w:cs="宋体"/>
                <w:i w:val="0"/>
                <w:iCs w:val="0"/>
                <w:color w:val="000000"/>
                <w:kern w:val="0"/>
                <w:sz w:val="18"/>
                <w:szCs w:val="18"/>
                <w:u w:val="none"/>
                <w:lang w:val="en-US" w:eastAsia="zh-CN" w:bidi="ar"/>
              </w:rPr>
              <w:t>（成套设备）</w:t>
            </w:r>
          </w:p>
        </w:tc>
      </w:tr>
      <w:tr w14:paraId="5282A59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4" w:hRule="atLeast"/>
        </w:trPr>
        <w:tc>
          <w:tcPr>
            <w:tcW w:w="322" w:type="pct"/>
            <w:tcBorders>
              <w:top w:val="single" w:color="000000" w:sz="4" w:space="0"/>
              <w:left w:val="single" w:color="000000" w:sz="4" w:space="0"/>
              <w:bottom w:val="single" w:color="000000" w:sz="4" w:space="0"/>
              <w:right w:val="single" w:color="000000" w:sz="4" w:space="0"/>
            </w:tcBorders>
            <w:noWrap/>
            <w:vAlign w:val="center"/>
          </w:tcPr>
          <w:p w14:paraId="5C83102A">
            <w:pPr>
              <w:spacing w:line="240" w:lineRule="auto"/>
              <w:ind w:firstLine="0" w:firstLineChars="0"/>
              <w:jc w:val="center"/>
              <w:rPr>
                <w:rFonts w:hint="default" w:ascii="Times New Roman" w:hAnsi="Times New Roman" w:eastAsia="宋体" w:cs="Times New Roman"/>
                <w:i w:val="0"/>
                <w:iCs w:val="0"/>
                <w:color w:val="000000"/>
                <w:sz w:val="20"/>
                <w:szCs w:val="20"/>
                <w:u w:val="none"/>
              </w:rPr>
            </w:pPr>
          </w:p>
        </w:tc>
        <w:tc>
          <w:tcPr>
            <w:tcW w:w="1086" w:type="pct"/>
            <w:tcBorders>
              <w:top w:val="single" w:color="000000" w:sz="4" w:space="0"/>
              <w:left w:val="single" w:color="000000" w:sz="4" w:space="0"/>
              <w:bottom w:val="single" w:color="000000" w:sz="4" w:space="0"/>
              <w:right w:val="single" w:color="000000" w:sz="4" w:space="0"/>
            </w:tcBorders>
            <w:noWrap w:val="0"/>
            <w:vAlign w:val="center"/>
          </w:tcPr>
          <w:p w14:paraId="4E361301">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20"/>
                <w:szCs w:val="20"/>
                <w:u w:val="none"/>
              </w:rPr>
            </w:pPr>
            <w:r>
              <w:rPr>
                <w:rFonts w:hint="eastAsia" w:ascii="宋体" w:hAnsi="宋体" w:eastAsia="宋体" w:cs="宋体"/>
                <w:i w:val="0"/>
                <w:iCs w:val="0"/>
                <w:color w:val="000000"/>
                <w:kern w:val="0"/>
                <w:sz w:val="18"/>
                <w:szCs w:val="18"/>
                <w:u w:val="none"/>
                <w:lang w:val="en-US" w:eastAsia="zh-CN" w:bidi="ar"/>
              </w:rPr>
              <w:t>一级</w:t>
            </w:r>
            <w:r>
              <w:rPr>
                <w:rFonts w:hint="default" w:ascii="Times New Roman" w:hAnsi="Times New Roman" w:eastAsia="宋体" w:cs="Times New Roman"/>
                <w:i w:val="0"/>
                <w:iCs w:val="0"/>
                <w:color w:val="000000"/>
                <w:kern w:val="0"/>
                <w:sz w:val="18"/>
                <w:szCs w:val="18"/>
                <w:u w:val="none"/>
                <w:lang w:val="en-US" w:eastAsia="zh-CN" w:bidi="ar"/>
              </w:rPr>
              <w:t>RO</w:t>
            </w:r>
            <w:r>
              <w:rPr>
                <w:rFonts w:hint="eastAsia" w:ascii="宋体" w:hAnsi="宋体" w:eastAsia="宋体" w:cs="宋体"/>
                <w:i w:val="0"/>
                <w:iCs w:val="0"/>
                <w:color w:val="000000"/>
                <w:kern w:val="0"/>
                <w:sz w:val="18"/>
                <w:szCs w:val="18"/>
                <w:u w:val="none"/>
                <w:lang w:val="en-US" w:eastAsia="zh-CN" w:bidi="ar"/>
              </w:rPr>
              <w:t>清液罐</w:t>
            </w:r>
          </w:p>
        </w:tc>
        <w:tc>
          <w:tcPr>
            <w:tcW w:w="1008" w:type="dxa"/>
            <w:tcBorders>
              <w:top w:val="single" w:color="000000" w:sz="4" w:space="0"/>
              <w:left w:val="single" w:color="000000" w:sz="4" w:space="0"/>
              <w:bottom w:val="single" w:color="000000" w:sz="4" w:space="0"/>
              <w:right w:val="single" w:color="000000" w:sz="4" w:space="0"/>
            </w:tcBorders>
            <w:noWrap/>
            <w:vAlign w:val="center"/>
          </w:tcPr>
          <w:p w14:paraId="55B17524">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20"/>
                <w:szCs w:val="20"/>
                <w:u w:val="none"/>
              </w:rPr>
            </w:pPr>
            <w:r>
              <w:rPr>
                <w:rFonts w:hint="eastAsia" w:ascii="宋体" w:hAnsi="宋体" w:eastAsia="宋体" w:cs="宋体"/>
                <w:i w:val="0"/>
                <w:iCs w:val="0"/>
                <w:color w:val="000000"/>
                <w:kern w:val="0"/>
                <w:sz w:val="18"/>
                <w:szCs w:val="18"/>
                <w:u w:val="none"/>
                <w:lang w:val="en-US" w:eastAsia="zh-CN" w:bidi="ar"/>
              </w:rPr>
              <w:t>套</w:t>
            </w:r>
          </w:p>
        </w:tc>
        <w:tc>
          <w:tcPr>
            <w:tcW w:w="648" w:type="dxa"/>
            <w:tcBorders>
              <w:top w:val="single" w:color="000000" w:sz="4" w:space="0"/>
              <w:left w:val="single" w:color="000000" w:sz="4" w:space="0"/>
              <w:bottom w:val="single" w:color="000000" w:sz="4" w:space="0"/>
              <w:right w:val="single" w:color="000000" w:sz="4" w:space="0"/>
            </w:tcBorders>
            <w:noWrap/>
            <w:vAlign w:val="center"/>
          </w:tcPr>
          <w:p w14:paraId="0964D5EB">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20"/>
                <w:szCs w:val="20"/>
                <w:u w:val="none"/>
              </w:rPr>
            </w:pPr>
            <w:r>
              <w:rPr>
                <w:rFonts w:hint="default" w:ascii="Times New Roman" w:hAnsi="Times New Roman" w:eastAsia="宋体" w:cs="Times New Roman"/>
                <w:i w:val="0"/>
                <w:iCs w:val="0"/>
                <w:color w:val="000000"/>
                <w:kern w:val="0"/>
                <w:sz w:val="18"/>
                <w:szCs w:val="18"/>
                <w:u w:val="none"/>
                <w:lang w:val="en-US" w:eastAsia="zh-CN" w:bidi="ar"/>
              </w:rPr>
              <w:t xml:space="preserve">1 </w:t>
            </w:r>
          </w:p>
        </w:tc>
        <w:tc>
          <w:tcPr>
            <w:tcW w:w="1487" w:type="dxa"/>
            <w:tcBorders>
              <w:top w:val="single" w:color="000000" w:sz="4" w:space="0"/>
              <w:left w:val="single" w:color="000000" w:sz="4" w:space="0"/>
              <w:bottom w:val="single" w:color="000000" w:sz="4" w:space="0"/>
              <w:right w:val="single" w:color="000000" w:sz="4" w:space="0"/>
            </w:tcBorders>
            <w:noWrap/>
            <w:vAlign w:val="center"/>
          </w:tcPr>
          <w:p w14:paraId="74E3098A">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20"/>
                <w:szCs w:val="20"/>
                <w:u w:val="none"/>
              </w:rPr>
            </w:pPr>
            <w:r>
              <w:rPr>
                <w:rFonts w:hint="default" w:ascii="Times New Roman" w:hAnsi="Times New Roman" w:eastAsia="宋体" w:cs="Times New Roman"/>
                <w:i w:val="0"/>
                <w:iCs w:val="0"/>
                <w:color w:val="000000"/>
                <w:kern w:val="0"/>
                <w:sz w:val="18"/>
                <w:szCs w:val="18"/>
                <w:u w:val="none"/>
                <w:lang w:val="en-US" w:eastAsia="zh-CN" w:bidi="ar"/>
              </w:rPr>
              <w:t xml:space="preserve">1.22 </w:t>
            </w:r>
          </w:p>
        </w:tc>
        <w:tc>
          <w:tcPr>
            <w:tcW w:w="2977" w:type="dxa"/>
            <w:tcBorders>
              <w:top w:val="single" w:color="000000" w:sz="4" w:space="0"/>
              <w:left w:val="single" w:color="000000" w:sz="4" w:space="0"/>
              <w:bottom w:val="single" w:color="000000" w:sz="4" w:space="0"/>
              <w:right w:val="single" w:color="000000" w:sz="4" w:space="0"/>
            </w:tcBorders>
            <w:noWrap/>
            <w:vAlign w:val="center"/>
          </w:tcPr>
          <w:p w14:paraId="3FD6577B">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color w:val="000000"/>
                <w:kern w:val="0"/>
                <w:sz w:val="18"/>
                <w:szCs w:val="18"/>
                <w:u w:val="none"/>
                <w:lang w:val="en-US" w:eastAsia="zh-CN" w:bidi="ar"/>
              </w:rPr>
              <w:t>V=5</w:t>
            </w:r>
            <w:r>
              <w:rPr>
                <w:rFonts w:hint="eastAsia" w:cs="Times New Roman"/>
                <w:i w:val="0"/>
                <w:iCs w:val="0"/>
                <w:color w:val="000000"/>
                <w:kern w:val="0"/>
                <w:sz w:val="18"/>
                <w:szCs w:val="18"/>
                <w:u w:val="none"/>
                <w:lang w:val="en-US" w:eastAsia="zh-CN" w:bidi="ar"/>
              </w:rPr>
              <w:t>m³</w:t>
            </w:r>
          </w:p>
        </w:tc>
      </w:tr>
      <w:tr w14:paraId="089BDAD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4" w:hRule="atLeast"/>
        </w:trPr>
        <w:tc>
          <w:tcPr>
            <w:tcW w:w="322" w:type="pct"/>
            <w:tcBorders>
              <w:top w:val="single" w:color="000000" w:sz="4" w:space="0"/>
              <w:left w:val="single" w:color="000000" w:sz="4" w:space="0"/>
              <w:bottom w:val="single" w:color="000000" w:sz="4" w:space="0"/>
              <w:right w:val="single" w:color="000000" w:sz="4" w:space="0"/>
            </w:tcBorders>
            <w:noWrap/>
            <w:vAlign w:val="center"/>
          </w:tcPr>
          <w:p w14:paraId="4D68D345">
            <w:pPr>
              <w:spacing w:line="240" w:lineRule="auto"/>
              <w:ind w:firstLine="0" w:firstLineChars="0"/>
              <w:jc w:val="center"/>
              <w:rPr>
                <w:rFonts w:hint="default" w:ascii="Times New Roman" w:hAnsi="Times New Roman" w:eastAsia="宋体" w:cs="Times New Roman"/>
                <w:i w:val="0"/>
                <w:iCs w:val="0"/>
                <w:color w:val="000000"/>
                <w:sz w:val="20"/>
                <w:szCs w:val="20"/>
                <w:u w:val="none"/>
              </w:rPr>
            </w:pPr>
          </w:p>
        </w:tc>
        <w:tc>
          <w:tcPr>
            <w:tcW w:w="1086" w:type="pct"/>
            <w:tcBorders>
              <w:top w:val="single" w:color="000000" w:sz="4" w:space="0"/>
              <w:left w:val="single" w:color="000000" w:sz="4" w:space="0"/>
              <w:bottom w:val="single" w:color="000000" w:sz="4" w:space="0"/>
              <w:right w:val="single" w:color="000000" w:sz="4" w:space="0"/>
            </w:tcBorders>
            <w:noWrap w:val="0"/>
            <w:vAlign w:val="center"/>
          </w:tcPr>
          <w:p w14:paraId="6B6BBD2B">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20"/>
                <w:szCs w:val="20"/>
                <w:u w:val="none"/>
              </w:rPr>
            </w:pPr>
            <w:r>
              <w:rPr>
                <w:rFonts w:hint="eastAsia" w:ascii="宋体" w:hAnsi="宋体" w:eastAsia="宋体" w:cs="宋体"/>
                <w:i w:val="0"/>
                <w:iCs w:val="0"/>
                <w:color w:val="000000"/>
                <w:kern w:val="0"/>
                <w:sz w:val="18"/>
                <w:szCs w:val="18"/>
                <w:u w:val="none"/>
                <w:lang w:val="en-US" w:eastAsia="zh-CN" w:bidi="ar"/>
              </w:rPr>
              <w:t>一级</w:t>
            </w:r>
            <w:r>
              <w:rPr>
                <w:rFonts w:hint="default" w:ascii="Times New Roman" w:hAnsi="Times New Roman" w:eastAsia="宋体" w:cs="Times New Roman"/>
                <w:i w:val="0"/>
                <w:iCs w:val="0"/>
                <w:color w:val="000000"/>
                <w:kern w:val="0"/>
                <w:sz w:val="18"/>
                <w:szCs w:val="18"/>
                <w:u w:val="none"/>
                <w:lang w:val="en-US" w:eastAsia="zh-CN" w:bidi="ar"/>
              </w:rPr>
              <w:t>RO</w:t>
            </w:r>
            <w:r>
              <w:rPr>
                <w:rFonts w:hint="eastAsia" w:ascii="宋体" w:hAnsi="宋体" w:eastAsia="宋体" w:cs="宋体"/>
                <w:i w:val="0"/>
                <w:iCs w:val="0"/>
                <w:color w:val="000000"/>
                <w:kern w:val="0"/>
                <w:sz w:val="18"/>
                <w:szCs w:val="18"/>
                <w:u w:val="none"/>
                <w:lang w:val="en-US" w:eastAsia="zh-CN" w:bidi="ar"/>
              </w:rPr>
              <w:t>浓液罐</w:t>
            </w:r>
          </w:p>
        </w:tc>
        <w:tc>
          <w:tcPr>
            <w:tcW w:w="1008" w:type="dxa"/>
            <w:tcBorders>
              <w:top w:val="single" w:color="000000" w:sz="4" w:space="0"/>
              <w:left w:val="single" w:color="000000" w:sz="4" w:space="0"/>
              <w:bottom w:val="single" w:color="000000" w:sz="4" w:space="0"/>
              <w:right w:val="single" w:color="000000" w:sz="4" w:space="0"/>
            </w:tcBorders>
            <w:noWrap/>
            <w:vAlign w:val="center"/>
          </w:tcPr>
          <w:p w14:paraId="66903C3B">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20"/>
                <w:szCs w:val="20"/>
                <w:u w:val="none"/>
              </w:rPr>
            </w:pPr>
            <w:r>
              <w:rPr>
                <w:rFonts w:hint="eastAsia" w:ascii="宋体" w:hAnsi="宋体" w:eastAsia="宋体" w:cs="宋体"/>
                <w:i w:val="0"/>
                <w:iCs w:val="0"/>
                <w:color w:val="000000"/>
                <w:kern w:val="0"/>
                <w:sz w:val="18"/>
                <w:szCs w:val="18"/>
                <w:u w:val="none"/>
                <w:lang w:val="en-US" w:eastAsia="zh-CN" w:bidi="ar"/>
              </w:rPr>
              <w:t>套</w:t>
            </w:r>
          </w:p>
        </w:tc>
        <w:tc>
          <w:tcPr>
            <w:tcW w:w="648" w:type="dxa"/>
            <w:tcBorders>
              <w:top w:val="single" w:color="000000" w:sz="4" w:space="0"/>
              <w:left w:val="single" w:color="000000" w:sz="4" w:space="0"/>
              <w:bottom w:val="single" w:color="000000" w:sz="4" w:space="0"/>
              <w:right w:val="single" w:color="000000" w:sz="4" w:space="0"/>
            </w:tcBorders>
            <w:noWrap/>
            <w:vAlign w:val="center"/>
          </w:tcPr>
          <w:p w14:paraId="2831E8E4">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20"/>
                <w:szCs w:val="20"/>
                <w:u w:val="none"/>
              </w:rPr>
            </w:pPr>
            <w:r>
              <w:rPr>
                <w:rFonts w:hint="default" w:ascii="Times New Roman" w:hAnsi="Times New Roman" w:eastAsia="宋体" w:cs="Times New Roman"/>
                <w:i w:val="0"/>
                <w:iCs w:val="0"/>
                <w:color w:val="000000"/>
                <w:kern w:val="0"/>
                <w:sz w:val="18"/>
                <w:szCs w:val="18"/>
                <w:u w:val="none"/>
                <w:lang w:val="en-US" w:eastAsia="zh-CN" w:bidi="ar"/>
              </w:rPr>
              <w:t xml:space="preserve">1 </w:t>
            </w:r>
          </w:p>
        </w:tc>
        <w:tc>
          <w:tcPr>
            <w:tcW w:w="1487" w:type="dxa"/>
            <w:tcBorders>
              <w:top w:val="single" w:color="000000" w:sz="4" w:space="0"/>
              <w:left w:val="single" w:color="000000" w:sz="4" w:space="0"/>
              <w:bottom w:val="single" w:color="000000" w:sz="4" w:space="0"/>
              <w:right w:val="single" w:color="000000" w:sz="4" w:space="0"/>
            </w:tcBorders>
            <w:noWrap/>
            <w:vAlign w:val="center"/>
          </w:tcPr>
          <w:p w14:paraId="45FADE0A">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20"/>
                <w:szCs w:val="20"/>
                <w:u w:val="none"/>
              </w:rPr>
            </w:pPr>
            <w:r>
              <w:rPr>
                <w:rFonts w:hint="default" w:ascii="Times New Roman" w:hAnsi="Times New Roman" w:eastAsia="宋体" w:cs="Times New Roman"/>
                <w:i w:val="0"/>
                <w:iCs w:val="0"/>
                <w:color w:val="000000"/>
                <w:kern w:val="0"/>
                <w:sz w:val="18"/>
                <w:szCs w:val="18"/>
                <w:u w:val="none"/>
                <w:lang w:val="en-US" w:eastAsia="zh-CN" w:bidi="ar"/>
              </w:rPr>
              <w:t xml:space="preserve">0.66 </w:t>
            </w:r>
          </w:p>
        </w:tc>
        <w:tc>
          <w:tcPr>
            <w:tcW w:w="2977" w:type="dxa"/>
            <w:tcBorders>
              <w:top w:val="single" w:color="000000" w:sz="4" w:space="0"/>
              <w:left w:val="single" w:color="000000" w:sz="4" w:space="0"/>
              <w:bottom w:val="single" w:color="000000" w:sz="4" w:space="0"/>
              <w:right w:val="single" w:color="000000" w:sz="4" w:space="0"/>
            </w:tcBorders>
            <w:noWrap/>
            <w:vAlign w:val="center"/>
          </w:tcPr>
          <w:p w14:paraId="1F1A8E49">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color w:val="000000"/>
                <w:kern w:val="0"/>
                <w:sz w:val="18"/>
                <w:szCs w:val="18"/>
                <w:u w:val="none"/>
                <w:lang w:val="en-US" w:eastAsia="zh-CN" w:bidi="ar"/>
              </w:rPr>
              <w:t>V=2</w:t>
            </w:r>
            <w:r>
              <w:rPr>
                <w:rFonts w:hint="eastAsia" w:cs="Times New Roman"/>
                <w:i w:val="0"/>
                <w:iCs w:val="0"/>
                <w:color w:val="000000"/>
                <w:kern w:val="0"/>
                <w:sz w:val="18"/>
                <w:szCs w:val="18"/>
                <w:u w:val="none"/>
                <w:lang w:val="en-US" w:eastAsia="zh-CN" w:bidi="ar"/>
              </w:rPr>
              <w:t>m³</w:t>
            </w:r>
          </w:p>
        </w:tc>
      </w:tr>
      <w:tr w14:paraId="3B947D9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4" w:hRule="atLeast"/>
        </w:trPr>
        <w:tc>
          <w:tcPr>
            <w:tcW w:w="322" w:type="pct"/>
            <w:tcBorders>
              <w:top w:val="single" w:color="000000" w:sz="4" w:space="0"/>
              <w:left w:val="single" w:color="000000" w:sz="4" w:space="0"/>
              <w:bottom w:val="single" w:color="000000" w:sz="4" w:space="0"/>
              <w:right w:val="single" w:color="000000" w:sz="4" w:space="0"/>
            </w:tcBorders>
            <w:noWrap/>
            <w:vAlign w:val="center"/>
          </w:tcPr>
          <w:p w14:paraId="4F2DD6A0">
            <w:pPr>
              <w:spacing w:line="240" w:lineRule="auto"/>
              <w:ind w:firstLine="0" w:firstLineChars="0"/>
              <w:jc w:val="center"/>
              <w:rPr>
                <w:rFonts w:hint="default" w:ascii="Times New Roman" w:hAnsi="Times New Roman" w:eastAsia="宋体" w:cs="Times New Roman"/>
                <w:i w:val="0"/>
                <w:iCs w:val="0"/>
                <w:color w:val="000000"/>
                <w:sz w:val="20"/>
                <w:szCs w:val="20"/>
                <w:u w:val="none"/>
              </w:rPr>
            </w:pPr>
          </w:p>
        </w:tc>
        <w:tc>
          <w:tcPr>
            <w:tcW w:w="1086" w:type="pct"/>
            <w:tcBorders>
              <w:top w:val="single" w:color="000000" w:sz="4" w:space="0"/>
              <w:left w:val="single" w:color="000000" w:sz="4" w:space="0"/>
              <w:bottom w:val="single" w:color="000000" w:sz="4" w:space="0"/>
              <w:right w:val="single" w:color="000000" w:sz="4" w:space="0"/>
            </w:tcBorders>
            <w:noWrap w:val="0"/>
            <w:vAlign w:val="center"/>
          </w:tcPr>
          <w:p w14:paraId="5DE35E65">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20"/>
                <w:szCs w:val="20"/>
                <w:u w:val="none"/>
              </w:rPr>
            </w:pPr>
            <w:r>
              <w:rPr>
                <w:rFonts w:hint="eastAsia" w:ascii="宋体" w:hAnsi="宋体" w:eastAsia="宋体" w:cs="宋体"/>
                <w:i w:val="0"/>
                <w:iCs w:val="0"/>
                <w:color w:val="000000"/>
                <w:kern w:val="0"/>
                <w:sz w:val="18"/>
                <w:szCs w:val="18"/>
                <w:u w:val="none"/>
                <w:lang w:val="en-US" w:eastAsia="zh-CN" w:bidi="ar"/>
              </w:rPr>
              <w:t>阻垢剂自动投加系统</w:t>
            </w:r>
          </w:p>
        </w:tc>
        <w:tc>
          <w:tcPr>
            <w:tcW w:w="1008" w:type="dxa"/>
            <w:tcBorders>
              <w:top w:val="single" w:color="000000" w:sz="4" w:space="0"/>
              <w:left w:val="single" w:color="000000" w:sz="4" w:space="0"/>
              <w:bottom w:val="single" w:color="000000" w:sz="4" w:space="0"/>
              <w:right w:val="single" w:color="000000" w:sz="4" w:space="0"/>
            </w:tcBorders>
            <w:noWrap/>
            <w:vAlign w:val="center"/>
          </w:tcPr>
          <w:p w14:paraId="243C850E">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20"/>
                <w:szCs w:val="20"/>
                <w:u w:val="none"/>
              </w:rPr>
            </w:pPr>
            <w:r>
              <w:rPr>
                <w:rFonts w:hint="eastAsia" w:ascii="宋体" w:hAnsi="宋体" w:eastAsia="宋体" w:cs="宋体"/>
                <w:i w:val="0"/>
                <w:iCs w:val="0"/>
                <w:color w:val="000000"/>
                <w:kern w:val="0"/>
                <w:sz w:val="18"/>
                <w:szCs w:val="18"/>
                <w:u w:val="none"/>
                <w:lang w:val="en-US" w:eastAsia="zh-CN" w:bidi="ar"/>
              </w:rPr>
              <w:t>套</w:t>
            </w:r>
          </w:p>
        </w:tc>
        <w:tc>
          <w:tcPr>
            <w:tcW w:w="648" w:type="dxa"/>
            <w:tcBorders>
              <w:top w:val="single" w:color="000000" w:sz="4" w:space="0"/>
              <w:left w:val="single" w:color="000000" w:sz="4" w:space="0"/>
              <w:bottom w:val="single" w:color="000000" w:sz="4" w:space="0"/>
              <w:right w:val="single" w:color="000000" w:sz="4" w:space="0"/>
            </w:tcBorders>
            <w:noWrap/>
            <w:vAlign w:val="center"/>
          </w:tcPr>
          <w:p w14:paraId="2F477461">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20"/>
                <w:szCs w:val="20"/>
                <w:u w:val="none"/>
              </w:rPr>
            </w:pPr>
            <w:r>
              <w:rPr>
                <w:rFonts w:hint="default" w:ascii="Times New Roman" w:hAnsi="Times New Roman" w:eastAsia="宋体" w:cs="Times New Roman"/>
                <w:i w:val="0"/>
                <w:iCs w:val="0"/>
                <w:color w:val="000000"/>
                <w:kern w:val="0"/>
                <w:sz w:val="18"/>
                <w:szCs w:val="18"/>
                <w:u w:val="none"/>
                <w:lang w:val="en-US" w:eastAsia="zh-CN" w:bidi="ar"/>
              </w:rPr>
              <w:t xml:space="preserve">1 </w:t>
            </w:r>
          </w:p>
        </w:tc>
        <w:tc>
          <w:tcPr>
            <w:tcW w:w="1487" w:type="dxa"/>
            <w:tcBorders>
              <w:top w:val="single" w:color="000000" w:sz="4" w:space="0"/>
              <w:left w:val="single" w:color="000000" w:sz="4" w:space="0"/>
              <w:bottom w:val="single" w:color="000000" w:sz="4" w:space="0"/>
              <w:right w:val="single" w:color="000000" w:sz="4" w:space="0"/>
            </w:tcBorders>
            <w:noWrap/>
            <w:vAlign w:val="center"/>
          </w:tcPr>
          <w:p w14:paraId="5E8B22F0">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20"/>
                <w:szCs w:val="20"/>
                <w:u w:val="none"/>
              </w:rPr>
            </w:pPr>
            <w:r>
              <w:rPr>
                <w:rFonts w:hint="default" w:ascii="Times New Roman" w:hAnsi="Times New Roman" w:eastAsia="宋体" w:cs="Times New Roman"/>
                <w:i w:val="0"/>
                <w:iCs w:val="0"/>
                <w:color w:val="000000"/>
                <w:kern w:val="0"/>
                <w:sz w:val="18"/>
                <w:szCs w:val="18"/>
                <w:u w:val="none"/>
                <w:lang w:val="en-US" w:eastAsia="zh-CN" w:bidi="ar"/>
              </w:rPr>
              <w:t xml:space="preserve">1.20 </w:t>
            </w:r>
          </w:p>
        </w:tc>
        <w:tc>
          <w:tcPr>
            <w:tcW w:w="2977" w:type="dxa"/>
            <w:tcBorders>
              <w:top w:val="single" w:color="000000" w:sz="4" w:space="0"/>
              <w:left w:val="single" w:color="000000" w:sz="4" w:space="0"/>
              <w:bottom w:val="single" w:color="000000" w:sz="4" w:space="0"/>
              <w:right w:val="single" w:color="000000" w:sz="4" w:space="0"/>
            </w:tcBorders>
            <w:noWrap/>
            <w:vAlign w:val="center"/>
          </w:tcPr>
          <w:p w14:paraId="7083187F">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color w:val="000000"/>
                <w:kern w:val="0"/>
                <w:sz w:val="18"/>
                <w:szCs w:val="18"/>
                <w:u w:val="none"/>
                <w:lang w:val="en-US" w:eastAsia="zh-CN" w:bidi="ar"/>
              </w:rPr>
              <w:t>JBY1/1-1.6/0.76</w:t>
            </w:r>
            <w:r>
              <w:rPr>
                <w:rFonts w:hint="eastAsia" w:ascii="宋体" w:hAnsi="宋体" w:eastAsia="宋体" w:cs="宋体"/>
                <w:i w:val="0"/>
                <w:iCs w:val="0"/>
                <w:color w:val="000000"/>
                <w:kern w:val="0"/>
                <w:sz w:val="18"/>
                <w:szCs w:val="18"/>
                <w:u w:val="none"/>
                <w:lang w:val="en-US" w:eastAsia="zh-CN" w:bidi="ar"/>
              </w:rPr>
              <w:t>（成套设备）</w:t>
            </w:r>
          </w:p>
        </w:tc>
      </w:tr>
      <w:tr w14:paraId="61912A3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4" w:hRule="atLeast"/>
        </w:trPr>
        <w:tc>
          <w:tcPr>
            <w:tcW w:w="322" w:type="pct"/>
            <w:tcBorders>
              <w:top w:val="single" w:color="000000" w:sz="4" w:space="0"/>
              <w:left w:val="single" w:color="000000" w:sz="4" w:space="0"/>
              <w:bottom w:val="single" w:color="000000" w:sz="4" w:space="0"/>
              <w:right w:val="single" w:color="000000" w:sz="4" w:space="0"/>
            </w:tcBorders>
            <w:noWrap/>
            <w:vAlign w:val="center"/>
          </w:tcPr>
          <w:p w14:paraId="7D05626B">
            <w:pPr>
              <w:spacing w:line="240" w:lineRule="auto"/>
              <w:ind w:firstLine="0" w:firstLineChars="0"/>
              <w:jc w:val="center"/>
              <w:rPr>
                <w:rFonts w:hint="default" w:ascii="Times New Roman" w:hAnsi="Times New Roman" w:eastAsia="宋体" w:cs="Times New Roman"/>
                <w:i w:val="0"/>
                <w:iCs w:val="0"/>
                <w:color w:val="000000"/>
                <w:sz w:val="20"/>
                <w:szCs w:val="20"/>
                <w:u w:val="none"/>
              </w:rPr>
            </w:pPr>
          </w:p>
        </w:tc>
        <w:tc>
          <w:tcPr>
            <w:tcW w:w="1086" w:type="pct"/>
            <w:tcBorders>
              <w:top w:val="single" w:color="000000" w:sz="4" w:space="0"/>
              <w:left w:val="single" w:color="000000" w:sz="4" w:space="0"/>
              <w:bottom w:val="single" w:color="000000" w:sz="4" w:space="0"/>
              <w:right w:val="single" w:color="000000" w:sz="4" w:space="0"/>
            </w:tcBorders>
            <w:noWrap w:val="0"/>
            <w:vAlign w:val="center"/>
          </w:tcPr>
          <w:p w14:paraId="0957795A">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20"/>
                <w:szCs w:val="20"/>
                <w:u w:val="none"/>
              </w:rPr>
            </w:pPr>
            <w:r>
              <w:rPr>
                <w:rFonts w:hint="eastAsia" w:ascii="宋体" w:hAnsi="宋体" w:eastAsia="宋体" w:cs="宋体"/>
                <w:i w:val="0"/>
                <w:iCs w:val="0"/>
                <w:color w:val="000000"/>
                <w:kern w:val="0"/>
                <w:sz w:val="18"/>
                <w:szCs w:val="18"/>
                <w:u w:val="none"/>
                <w:lang w:val="en-US" w:eastAsia="zh-CN" w:bidi="ar"/>
              </w:rPr>
              <w:t>二级</w:t>
            </w:r>
            <w:r>
              <w:rPr>
                <w:rFonts w:hint="default" w:ascii="Times New Roman" w:hAnsi="Times New Roman" w:eastAsia="宋体" w:cs="Times New Roman"/>
                <w:i w:val="0"/>
                <w:iCs w:val="0"/>
                <w:color w:val="000000"/>
                <w:kern w:val="0"/>
                <w:sz w:val="18"/>
                <w:szCs w:val="18"/>
                <w:u w:val="none"/>
                <w:lang w:val="en-US" w:eastAsia="zh-CN" w:bidi="ar"/>
              </w:rPr>
              <w:t>RO</w:t>
            </w:r>
            <w:r>
              <w:rPr>
                <w:rFonts w:hint="eastAsia" w:ascii="宋体" w:hAnsi="宋体" w:eastAsia="宋体" w:cs="宋体"/>
                <w:i w:val="0"/>
                <w:iCs w:val="0"/>
                <w:color w:val="000000"/>
                <w:kern w:val="0"/>
                <w:sz w:val="18"/>
                <w:szCs w:val="18"/>
                <w:u w:val="none"/>
                <w:lang w:val="en-US" w:eastAsia="zh-CN" w:bidi="ar"/>
              </w:rPr>
              <w:t>系统</w:t>
            </w:r>
          </w:p>
        </w:tc>
        <w:tc>
          <w:tcPr>
            <w:tcW w:w="1008" w:type="dxa"/>
            <w:tcBorders>
              <w:top w:val="single" w:color="000000" w:sz="4" w:space="0"/>
              <w:left w:val="single" w:color="000000" w:sz="4" w:space="0"/>
              <w:bottom w:val="single" w:color="000000" w:sz="4" w:space="0"/>
              <w:right w:val="single" w:color="000000" w:sz="4" w:space="0"/>
            </w:tcBorders>
            <w:noWrap/>
            <w:vAlign w:val="center"/>
          </w:tcPr>
          <w:p w14:paraId="3AE65389">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20"/>
                <w:szCs w:val="20"/>
                <w:u w:val="none"/>
              </w:rPr>
            </w:pPr>
            <w:r>
              <w:rPr>
                <w:rFonts w:hint="eastAsia" w:ascii="宋体" w:hAnsi="宋体" w:eastAsia="宋体" w:cs="宋体"/>
                <w:i w:val="0"/>
                <w:iCs w:val="0"/>
                <w:color w:val="000000"/>
                <w:kern w:val="0"/>
                <w:sz w:val="18"/>
                <w:szCs w:val="18"/>
                <w:u w:val="none"/>
                <w:lang w:val="en-US" w:eastAsia="zh-CN" w:bidi="ar"/>
              </w:rPr>
              <w:t>套</w:t>
            </w:r>
          </w:p>
        </w:tc>
        <w:tc>
          <w:tcPr>
            <w:tcW w:w="648" w:type="dxa"/>
            <w:tcBorders>
              <w:top w:val="single" w:color="000000" w:sz="4" w:space="0"/>
              <w:left w:val="single" w:color="000000" w:sz="4" w:space="0"/>
              <w:bottom w:val="single" w:color="000000" w:sz="4" w:space="0"/>
              <w:right w:val="single" w:color="000000" w:sz="4" w:space="0"/>
            </w:tcBorders>
            <w:noWrap/>
            <w:vAlign w:val="center"/>
          </w:tcPr>
          <w:p w14:paraId="21A81758">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20"/>
                <w:szCs w:val="20"/>
                <w:u w:val="none"/>
              </w:rPr>
            </w:pPr>
            <w:r>
              <w:rPr>
                <w:rFonts w:hint="default" w:ascii="Times New Roman" w:hAnsi="Times New Roman" w:eastAsia="宋体" w:cs="Times New Roman"/>
                <w:i w:val="0"/>
                <w:iCs w:val="0"/>
                <w:color w:val="000000"/>
                <w:kern w:val="0"/>
                <w:sz w:val="18"/>
                <w:szCs w:val="18"/>
                <w:u w:val="none"/>
                <w:lang w:val="en-US" w:eastAsia="zh-CN" w:bidi="ar"/>
              </w:rPr>
              <w:t xml:space="preserve">1 </w:t>
            </w:r>
          </w:p>
        </w:tc>
        <w:tc>
          <w:tcPr>
            <w:tcW w:w="1487" w:type="dxa"/>
            <w:tcBorders>
              <w:top w:val="single" w:color="000000" w:sz="4" w:space="0"/>
              <w:left w:val="single" w:color="000000" w:sz="4" w:space="0"/>
              <w:bottom w:val="single" w:color="000000" w:sz="4" w:space="0"/>
              <w:right w:val="single" w:color="000000" w:sz="4" w:space="0"/>
            </w:tcBorders>
            <w:noWrap/>
            <w:vAlign w:val="center"/>
          </w:tcPr>
          <w:p w14:paraId="008FE466">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20"/>
                <w:szCs w:val="20"/>
                <w:u w:val="none"/>
              </w:rPr>
            </w:pPr>
            <w:r>
              <w:rPr>
                <w:rFonts w:hint="default" w:ascii="Times New Roman" w:hAnsi="Times New Roman" w:eastAsia="宋体" w:cs="Times New Roman"/>
                <w:i w:val="0"/>
                <w:iCs w:val="0"/>
                <w:color w:val="000000"/>
                <w:kern w:val="0"/>
                <w:sz w:val="18"/>
                <w:szCs w:val="18"/>
                <w:u w:val="none"/>
                <w:lang w:val="en-US" w:eastAsia="zh-CN" w:bidi="ar"/>
              </w:rPr>
              <w:t xml:space="preserve">22.00 </w:t>
            </w:r>
          </w:p>
        </w:tc>
        <w:tc>
          <w:tcPr>
            <w:tcW w:w="2977" w:type="dxa"/>
            <w:tcBorders>
              <w:top w:val="single" w:color="000000" w:sz="4" w:space="0"/>
              <w:left w:val="single" w:color="000000" w:sz="4" w:space="0"/>
              <w:bottom w:val="single" w:color="000000" w:sz="4" w:space="0"/>
              <w:right w:val="single" w:color="000000" w:sz="4" w:space="0"/>
            </w:tcBorders>
            <w:noWrap/>
            <w:vAlign w:val="center"/>
          </w:tcPr>
          <w:p w14:paraId="5181D6B6">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color w:val="000000"/>
                <w:kern w:val="0"/>
                <w:sz w:val="18"/>
                <w:szCs w:val="18"/>
                <w:u w:val="none"/>
                <w:lang w:val="en-US" w:eastAsia="zh-CN" w:bidi="ar"/>
              </w:rPr>
              <w:t>THRO/50/2</w:t>
            </w:r>
            <w:r>
              <w:rPr>
                <w:rFonts w:hint="eastAsia" w:ascii="宋体" w:hAnsi="宋体" w:eastAsia="宋体" w:cs="宋体"/>
                <w:i w:val="0"/>
                <w:iCs w:val="0"/>
                <w:color w:val="000000"/>
                <w:kern w:val="0"/>
                <w:sz w:val="18"/>
                <w:szCs w:val="18"/>
                <w:u w:val="none"/>
                <w:lang w:val="en-US" w:eastAsia="zh-CN" w:bidi="ar"/>
              </w:rPr>
              <w:t>，系统回收率</w:t>
            </w:r>
            <w:r>
              <w:rPr>
                <w:rFonts w:hint="default" w:ascii="Times New Roman" w:hAnsi="Times New Roman" w:eastAsia="宋体" w:cs="Times New Roman"/>
                <w:i w:val="0"/>
                <w:iCs w:val="0"/>
                <w:color w:val="000000"/>
                <w:kern w:val="0"/>
                <w:sz w:val="18"/>
                <w:szCs w:val="18"/>
                <w:u w:val="none"/>
                <w:lang w:val="en-US" w:eastAsia="zh-CN" w:bidi="ar"/>
              </w:rPr>
              <w:t>75%</w:t>
            </w:r>
            <w:r>
              <w:rPr>
                <w:rFonts w:hint="eastAsia" w:ascii="宋体" w:hAnsi="宋体" w:eastAsia="宋体" w:cs="宋体"/>
                <w:i w:val="0"/>
                <w:iCs w:val="0"/>
                <w:color w:val="000000"/>
                <w:kern w:val="0"/>
                <w:sz w:val="18"/>
                <w:szCs w:val="18"/>
                <w:u w:val="none"/>
                <w:lang w:val="en-US" w:eastAsia="zh-CN" w:bidi="ar"/>
              </w:rPr>
              <w:t>（成套设备）</w:t>
            </w:r>
          </w:p>
        </w:tc>
      </w:tr>
      <w:tr w14:paraId="0C51545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4" w:hRule="atLeast"/>
        </w:trPr>
        <w:tc>
          <w:tcPr>
            <w:tcW w:w="322" w:type="pct"/>
            <w:tcBorders>
              <w:top w:val="single" w:color="000000" w:sz="4" w:space="0"/>
              <w:left w:val="single" w:color="000000" w:sz="4" w:space="0"/>
              <w:bottom w:val="single" w:color="000000" w:sz="4" w:space="0"/>
              <w:right w:val="single" w:color="000000" w:sz="4" w:space="0"/>
            </w:tcBorders>
            <w:noWrap/>
            <w:vAlign w:val="center"/>
          </w:tcPr>
          <w:p w14:paraId="72542272">
            <w:pPr>
              <w:spacing w:line="240" w:lineRule="auto"/>
              <w:ind w:firstLine="0" w:firstLineChars="0"/>
              <w:jc w:val="center"/>
              <w:rPr>
                <w:rFonts w:hint="default" w:ascii="Times New Roman" w:hAnsi="Times New Roman" w:eastAsia="宋体" w:cs="Times New Roman"/>
                <w:i w:val="0"/>
                <w:iCs w:val="0"/>
                <w:color w:val="000000"/>
                <w:sz w:val="20"/>
                <w:szCs w:val="20"/>
                <w:u w:val="none"/>
              </w:rPr>
            </w:pPr>
          </w:p>
        </w:tc>
        <w:tc>
          <w:tcPr>
            <w:tcW w:w="1086" w:type="pct"/>
            <w:tcBorders>
              <w:top w:val="single" w:color="000000" w:sz="4" w:space="0"/>
              <w:left w:val="single" w:color="000000" w:sz="4" w:space="0"/>
              <w:bottom w:val="single" w:color="000000" w:sz="4" w:space="0"/>
              <w:right w:val="single" w:color="000000" w:sz="4" w:space="0"/>
            </w:tcBorders>
            <w:noWrap w:val="0"/>
            <w:vAlign w:val="center"/>
          </w:tcPr>
          <w:p w14:paraId="6B6663C2">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20"/>
                <w:szCs w:val="20"/>
                <w:u w:val="none"/>
              </w:rPr>
            </w:pPr>
            <w:r>
              <w:rPr>
                <w:rFonts w:hint="default" w:ascii="Times New Roman" w:hAnsi="Times New Roman" w:eastAsia="宋体" w:cs="Times New Roman"/>
                <w:i w:val="0"/>
                <w:iCs w:val="0"/>
                <w:color w:val="000000"/>
                <w:kern w:val="0"/>
                <w:sz w:val="18"/>
                <w:szCs w:val="18"/>
                <w:u w:val="none"/>
                <w:lang w:val="en-US" w:eastAsia="zh-CN" w:bidi="ar"/>
              </w:rPr>
              <w:t>DTRO</w:t>
            </w:r>
            <w:r>
              <w:rPr>
                <w:rFonts w:hint="eastAsia" w:ascii="宋体" w:hAnsi="宋体" w:eastAsia="宋体" w:cs="宋体"/>
                <w:i w:val="0"/>
                <w:iCs w:val="0"/>
                <w:color w:val="000000"/>
                <w:kern w:val="0"/>
                <w:sz w:val="18"/>
                <w:szCs w:val="18"/>
                <w:u w:val="none"/>
                <w:lang w:val="en-US" w:eastAsia="zh-CN" w:bidi="ar"/>
              </w:rPr>
              <w:t>系统</w:t>
            </w:r>
          </w:p>
        </w:tc>
        <w:tc>
          <w:tcPr>
            <w:tcW w:w="1008" w:type="dxa"/>
            <w:tcBorders>
              <w:top w:val="single" w:color="000000" w:sz="4" w:space="0"/>
              <w:left w:val="single" w:color="000000" w:sz="4" w:space="0"/>
              <w:bottom w:val="single" w:color="000000" w:sz="4" w:space="0"/>
              <w:right w:val="single" w:color="000000" w:sz="4" w:space="0"/>
            </w:tcBorders>
            <w:noWrap/>
            <w:vAlign w:val="center"/>
          </w:tcPr>
          <w:p w14:paraId="678E1965">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20"/>
                <w:szCs w:val="20"/>
                <w:u w:val="none"/>
              </w:rPr>
            </w:pPr>
            <w:r>
              <w:rPr>
                <w:rFonts w:hint="eastAsia" w:ascii="宋体" w:hAnsi="宋体" w:eastAsia="宋体" w:cs="宋体"/>
                <w:i w:val="0"/>
                <w:iCs w:val="0"/>
                <w:color w:val="000000"/>
                <w:kern w:val="0"/>
                <w:sz w:val="18"/>
                <w:szCs w:val="18"/>
                <w:u w:val="none"/>
                <w:lang w:val="en-US" w:eastAsia="zh-CN" w:bidi="ar"/>
              </w:rPr>
              <w:t>套</w:t>
            </w:r>
          </w:p>
        </w:tc>
        <w:tc>
          <w:tcPr>
            <w:tcW w:w="648" w:type="dxa"/>
            <w:tcBorders>
              <w:top w:val="single" w:color="000000" w:sz="4" w:space="0"/>
              <w:left w:val="single" w:color="000000" w:sz="4" w:space="0"/>
              <w:bottom w:val="single" w:color="000000" w:sz="4" w:space="0"/>
              <w:right w:val="single" w:color="000000" w:sz="4" w:space="0"/>
            </w:tcBorders>
            <w:noWrap/>
            <w:vAlign w:val="center"/>
          </w:tcPr>
          <w:p w14:paraId="321A1D35">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20"/>
                <w:szCs w:val="20"/>
                <w:u w:val="none"/>
              </w:rPr>
            </w:pPr>
            <w:r>
              <w:rPr>
                <w:rFonts w:hint="default" w:ascii="Times New Roman" w:hAnsi="Times New Roman" w:eastAsia="宋体" w:cs="Times New Roman"/>
                <w:i w:val="0"/>
                <w:iCs w:val="0"/>
                <w:color w:val="000000"/>
                <w:kern w:val="0"/>
                <w:sz w:val="18"/>
                <w:szCs w:val="18"/>
                <w:u w:val="none"/>
                <w:lang w:val="en-US" w:eastAsia="zh-CN" w:bidi="ar"/>
              </w:rPr>
              <w:t xml:space="preserve">1 </w:t>
            </w:r>
          </w:p>
        </w:tc>
        <w:tc>
          <w:tcPr>
            <w:tcW w:w="1487" w:type="dxa"/>
            <w:tcBorders>
              <w:top w:val="single" w:color="000000" w:sz="4" w:space="0"/>
              <w:left w:val="single" w:color="000000" w:sz="4" w:space="0"/>
              <w:bottom w:val="single" w:color="000000" w:sz="4" w:space="0"/>
              <w:right w:val="single" w:color="000000" w:sz="4" w:space="0"/>
            </w:tcBorders>
            <w:noWrap/>
            <w:vAlign w:val="center"/>
          </w:tcPr>
          <w:p w14:paraId="2059CDBC">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20"/>
                <w:szCs w:val="20"/>
                <w:u w:val="none"/>
              </w:rPr>
            </w:pPr>
            <w:r>
              <w:rPr>
                <w:rFonts w:hint="default" w:ascii="Times New Roman" w:hAnsi="Times New Roman" w:eastAsia="宋体" w:cs="Times New Roman"/>
                <w:i w:val="0"/>
                <w:iCs w:val="0"/>
                <w:color w:val="000000"/>
                <w:kern w:val="0"/>
                <w:sz w:val="18"/>
                <w:szCs w:val="18"/>
                <w:u w:val="none"/>
                <w:lang w:val="en-US" w:eastAsia="zh-CN" w:bidi="ar"/>
              </w:rPr>
              <w:t xml:space="preserve">148.00 </w:t>
            </w:r>
          </w:p>
        </w:tc>
        <w:tc>
          <w:tcPr>
            <w:tcW w:w="2977" w:type="dxa"/>
            <w:tcBorders>
              <w:top w:val="single" w:color="000000" w:sz="4" w:space="0"/>
              <w:left w:val="single" w:color="000000" w:sz="4" w:space="0"/>
              <w:bottom w:val="single" w:color="000000" w:sz="4" w:space="0"/>
              <w:right w:val="single" w:color="000000" w:sz="4" w:space="0"/>
            </w:tcBorders>
            <w:noWrap/>
            <w:vAlign w:val="center"/>
          </w:tcPr>
          <w:p w14:paraId="547AE3E8">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color w:val="000000"/>
                <w:kern w:val="0"/>
                <w:sz w:val="18"/>
                <w:szCs w:val="18"/>
                <w:u w:val="none"/>
                <w:lang w:val="en-US" w:eastAsia="zh-CN" w:bidi="ar"/>
              </w:rPr>
              <w:t>DTRO/15</w:t>
            </w:r>
            <w:r>
              <w:rPr>
                <w:rFonts w:hint="eastAsia" w:ascii="宋体" w:hAnsi="宋体" w:eastAsia="宋体" w:cs="宋体"/>
                <w:i w:val="0"/>
                <w:iCs w:val="0"/>
                <w:color w:val="000000"/>
                <w:kern w:val="0"/>
                <w:sz w:val="18"/>
                <w:szCs w:val="18"/>
                <w:u w:val="none"/>
                <w:lang w:val="en-US" w:eastAsia="zh-CN" w:bidi="ar"/>
              </w:rPr>
              <w:t>，系统回收率</w:t>
            </w:r>
            <w:r>
              <w:rPr>
                <w:rFonts w:hint="default" w:ascii="Times New Roman" w:hAnsi="Times New Roman" w:eastAsia="宋体" w:cs="Times New Roman"/>
                <w:i w:val="0"/>
                <w:iCs w:val="0"/>
                <w:color w:val="000000"/>
                <w:kern w:val="0"/>
                <w:sz w:val="18"/>
                <w:szCs w:val="18"/>
                <w:u w:val="none"/>
                <w:lang w:val="en-US" w:eastAsia="zh-CN" w:bidi="ar"/>
              </w:rPr>
              <w:t>50%</w:t>
            </w:r>
            <w:r>
              <w:rPr>
                <w:rFonts w:hint="eastAsia" w:ascii="宋体" w:hAnsi="宋体" w:eastAsia="宋体" w:cs="宋体"/>
                <w:i w:val="0"/>
                <w:iCs w:val="0"/>
                <w:color w:val="000000"/>
                <w:kern w:val="0"/>
                <w:sz w:val="18"/>
                <w:szCs w:val="18"/>
                <w:u w:val="none"/>
                <w:lang w:val="en-US" w:eastAsia="zh-CN" w:bidi="ar"/>
              </w:rPr>
              <w:t>（成套设备）</w:t>
            </w:r>
          </w:p>
        </w:tc>
      </w:tr>
      <w:tr w14:paraId="0F493F9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4" w:hRule="atLeast"/>
        </w:trPr>
        <w:tc>
          <w:tcPr>
            <w:tcW w:w="322" w:type="pct"/>
            <w:tcBorders>
              <w:top w:val="single" w:color="000000" w:sz="4" w:space="0"/>
              <w:left w:val="single" w:color="000000" w:sz="4" w:space="0"/>
              <w:bottom w:val="single" w:color="000000" w:sz="4" w:space="0"/>
              <w:right w:val="single" w:color="000000" w:sz="4" w:space="0"/>
            </w:tcBorders>
            <w:noWrap/>
            <w:vAlign w:val="center"/>
          </w:tcPr>
          <w:p w14:paraId="7CE04C4B">
            <w:pPr>
              <w:spacing w:line="240" w:lineRule="auto"/>
              <w:ind w:firstLine="0" w:firstLineChars="0"/>
              <w:jc w:val="center"/>
              <w:rPr>
                <w:rFonts w:hint="default" w:ascii="Times New Roman" w:hAnsi="Times New Roman" w:eastAsia="宋体" w:cs="Times New Roman"/>
                <w:i w:val="0"/>
                <w:iCs w:val="0"/>
                <w:color w:val="000000"/>
                <w:sz w:val="20"/>
                <w:szCs w:val="20"/>
                <w:u w:val="none"/>
              </w:rPr>
            </w:pPr>
          </w:p>
        </w:tc>
        <w:tc>
          <w:tcPr>
            <w:tcW w:w="1086" w:type="pct"/>
            <w:tcBorders>
              <w:top w:val="single" w:color="000000" w:sz="4" w:space="0"/>
              <w:left w:val="single" w:color="000000" w:sz="4" w:space="0"/>
              <w:bottom w:val="single" w:color="000000" w:sz="4" w:space="0"/>
              <w:right w:val="single" w:color="000000" w:sz="4" w:space="0"/>
            </w:tcBorders>
            <w:noWrap w:val="0"/>
            <w:vAlign w:val="center"/>
          </w:tcPr>
          <w:p w14:paraId="614E2B22">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20"/>
                <w:szCs w:val="20"/>
                <w:u w:val="none"/>
              </w:rPr>
            </w:pPr>
            <w:r>
              <w:rPr>
                <w:rFonts w:hint="default" w:ascii="Times New Roman" w:hAnsi="Times New Roman" w:eastAsia="宋体" w:cs="Times New Roman"/>
                <w:i w:val="0"/>
                <w:iCs w:val="0"/>
                <w:color w:val="000000"/>
                <w:kern w:val="0"/>
                <w:sz w:val="18"/>
                <w:szCs w:val="18"/>
                <w:u w:val="none"/>
                <w:lang w:val="en-US" w:eastAsia="zh-CN" w:bidi="ar"/>
              </w:rPr>
              <w:t>MVR</w:t>
            </w:r>
            <w:r>
              <w:rPr>
                <w:rFonts w:hint="eastAsia" w:ascii="宋体" w:hAnsi="宋体" w:eastAsia="宋体" w:cs="宋体"/>
                <w:i w:val="0"/>
                <w:iCs w:val="0"/>
                <w:color w:val="000000"/>
                <w:kern w:val="0"/>
                <w:sz w:val="18"/>
                <w:szCs w:val="18"/>
                <w:u w:val="none"/>
                <w:lang w:val="en-US" w:eastAsia="zh-CN" w:bidi="ar"/>
              </w:rPr>
              <w:t>蒸发系统</w:t>
            </w:r>
          </w:p>
        </w:tc>
        <w:tc>
          <w:tcPr>
            <w:tcW w:w="1008" w:type="dxa"/>
            <w:tcBorders>
              <w:top w:val="single" w:color="000000" w:sz="4" w:space="0"/>
              <w:left w:val="single" w:color="000000" w:sz="4" w:space="0"/>
              <w:bottom w:val="single" w:color="000000" w:sz="4" w:space="0"/>
              <w:right w:val="single" w:color="000000" w:sz="4" w:space="0"/>
            </w:tcBorders>
            <w:noWrap/>
            <w:vAlign w:val="center"/>
          </w:tcPr>
          <w:p w14:paraId="50AC1A36">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20"/>
                <w:szCs w:val="20"/>
                <w:u w:val="none"/>
              </w:rPr>
            </w:pPr>
            <w:r>
              <w:rPr>
                <w:rFonts w:hint="eastAsia" w:ascii="宋体" w:hAnsi="宋体" w:eastAsia="宋体" w:cs="宋体"/>
                <w:i w:val="0"/>
                <w:iCs w:val="0"/>
                <w:color w:val="000000"/>
                <w:kern w:val="0"/>
                <w:sz w:val="18"/>
                <w:szCs w:val="18"/>
                <w:u w:val="none"/>
                <w:lang w:val="en-US" w:eastAsia="zh-CN" w:bidi="ar"/>
              </w:rPr>
              <w:t>套</w:t>
            </w:r>
          </w:p>
        </w:tc>
        <w:tc>
          <w:tcPr>
            <w:tcW w:w="648" w:type="dxa"/>
            <w:tcBorders>
              <w:top w:val="single" w:color="000000" w:sz="4" w:space="0"/>
              <w:left w:val="single" w:color="000000" w:sz="4" w:space="0"/>
              <w:bottom w:val="single" w:color="000000" w:sz="4" w:space="0"/>
              <w:right w:val="single" w:color="000000" w:sz="4" w:space="0"/>
            </w:tcBorders>
            <w:noWrap/>
            <w:vAlign w:val="center"/>
          </w:tcPr>
          <w:p w14:paraId="05B2BFEF">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20"/>
                <w:szCs w:val="20"/>
                <w:u w:val="none"/>
              </w:rPr>
            </w:pPr>
            <w:r>
              <w:rPr>
                <w:rFonts w:hint="default" w:ascii="Times New Roman" w:hAnsi="Times New Roman" w:eastAsia="宋体" w:cs="Times New Roman"/>
                <w:i w:val="0"/>
                <w:iCs w:val="0"/>
                <w:color w:val="000000"/>
                <w:kern w:val="0"/>
                <w:sz w:val="18"/>
                <w:szCs w:val="18"/>
                <w:u w:val="none"/>
                <w:lang w:val="en-US" w:eastAsia="zh-CN" w:bidi="ar"/>
              </w:rPr>
              <w:t xml:space="preserve">1 </w:t>
            </w:r>
          </w:p>
        </w:tc>
        <w:tc>
          <w:tcPr>
            <w:tcW w:w="1487" w:type="dxa"/>
            <w:tcBorders>
              <w:top w:val="single" w:color="000000" w:sz="4" w:space="0"/>
              <w:left w:val="single" w:color="000000" w:sz="4" w:space="0"/>
              <w:bottom w:val="single" w:color="000000" w:sz="4" w:space="0"/>
              <w:right w:val="single" w:color="000000" w:sz="4" w:space="0"/>
            </w:tcBorders>
            <w:noWrap/>
            <w:vAlign w:val="center"/>
          </w:tcPr>
          <w:p w14:paraId="16396146">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20"/>
                <w:szCs w:val="20"/>
                <w:u w:val="none"/>
              </w:rPr>
            </w:pPr>
            <w:r>
              <w:rPr>
                <w:rFonts w:hint="default" w:ascii="Times New Roman" w:hAnsi="Times New Roman" w:eastAsia="宋体" w:cs="Times New Roman"/>
                <w:i w:val="0"/>
                <w:iCs w:val="0"/>
                <w:color w:val="000000"/>
                <w:kern w:val="0"/>
                <w:sz w:val="18"/>
                <w:szCs w:val="18"/>
                <w:u w:val="none"/>
                <w:lang w:val="en-US" w:eastAsia="zh-CN" w:bidi="ar"/>
              </w:rPr>
              <w:t xml:space="preserve">388.00 </w:t>
            </w:r>
          </w:p>
        </w:tc>
        <w:tc>
          <w:tcPr>
            <w:tcW w:w="2977" w:type="dxa"/>
            <w:tcBorders>
              <w:top w:val="single" w:color="000000" w:sz="4" w:space="0"/>
              <w:left w:val="single" w:color="000000" w:sz="4" w:space="0"/>
              <w:bottom w:val="single" w:color="000000" w:sz="4" w:space="0"/>
              <w:right w:val="single" w:color="000000" w:sz="4" w:space="0"/>
            </w:tcBorders>
            <w:noWrap/>
            <w:vAlign w:val="center"/>
          </w:tcPr>
          <w:p w14:paraId="4D184E3B">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color w:val="000000"/>
                <w:kern w:val="0"/>
                <w:sz w:val="18"/>
                <w:szCs w:val="18"/>
                <w:u w:val="none"/>
                <w:lang w:val="en-US" w:eastAsia="zh-CN" w:bidi="ar"/>
              </w:rPr>
              <w:t>RHV/550</w:t>
            </w:r>
            <w:r>
              <w:rPr>
                <w:rFonts w:hint="eastAsia" w:cs="Times New Roman"/>
                <w:i w:val="0"/>
                <w:iCs w:val="0"/>
                <w:color w:val="000000"/>
                <w:kern w:val="0"/>
                <w:sz w:val="18"/>
                <w:szCs w:val="18"/>
                <w:u w:val="none"/>
                <w:lang w:val="en-US" w:eastAsia="zh-CN" w:bidi="ar"/>
              </w:rPr>
              <w:t>，</w:t>
            </w:r>
            <w:r>
              <w:rPr>
                <w:rFonts w:hint="default" w:ascii="Times New Roman" w:hAnsi="Times New Roman" w:eastAsia="宋体" w:cs="Times New Roman"/>
                <w:i w:val="0"/>
                <w:iCs w:val="0"/>
                <w:color w:val="000000"/>
                <w:kern w:val="0"/>
                <w:sz w:val="18"/>
                <w:szCs w:val="18"/>
                <w:u w:val="none"/>
                <w:lang w:val="en-US" w:eastAsia="zh-CN" w:bidi="ar"/>
              </w:rPr>
              <w:t>7000*2300*6000mm</w:t>
            </w:r>
            <w:r>
              <w:rPr>
                <w:rFonts w:hint="eastAsia" w:ascii="宋体" w:hAnsi="宋体" w:eastAsia="宋体" w:cs="宋体"/>
                <w:i w:val="0"/>
                <w:iCs w:val="0"/>
                <w:color w:val="000000"/>
                <w:kern w:val="0"/>
                <w:sz w:val="18"/>
                <w:szCs w:val="18"/>
                <w:u w:val="none"/>
                <w:lang w:val="en-US" w:eastAsia="zh-CN" w:bidi="ar"/>
              </w:rPr>
              <w:t>（成套设备）</w:t>
            </w:r>
          </w:p>
        </w:tc>
      </w:tr>
      <w:tr w14:paraId="37261FC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4" w:hRule="atLeast"/>
        </w:trPr>
        <w:tc>
          <w:tcPr>
            <w:tcW w:w="322" w:type="pct"/>
            <w:tcBorders>
              <w:top w:val="single" w:color="000000" w:sz="4" w:space="0"/>
              <w:left w:val="single" w:color="000000" w:sz="4" w:space="0"/>
              <w:bottom w:val="single" w:color="000000" w:sz="4" w:space="0"/>
              <w:right w:val="single" w:color="000000" w:sz="4" w:space="0"/>
            </w:tcBorders>
            <w:noWrap/>
            <w:vAlign w:val="center"/>
          </w:tcPr>
          <w:p w14:paraId="15188D65">
            <w:pPr>
              <w:spacing w:line="240" w:lineRule="auto"/>
              <w:ind w:firstLine="0" w:firstLineChars="0"/>
              <w:jc w:val="center"/>
              <w:rPr>
                <w:rFonts w:hint="default" w:ascii="Times New Roman" w:hAnsi="Times New Roman" w:eastAsia="宋体" w:cs="Times New Roman"/>
                <w:i w:val="0"/>
                <w:iCs w:val="0"/>
                <w:color w:val="000000"/>
                <w:sz w:val="20"/>
                <w:szCs w:val="20"/>
                <w:u w:val="none"/>
              </w:rPr>
            </w:pPr>
          </w:p>
        </w:tc>
        <w:tc>
          <w:tcPr>
            <w:tcW w:w="1086" w:type="pct"/>
            <w:tcBorders>
              <w:top w:val="single" w:color="000000" w:sz="4" w:space="0"/>
              <w:left w:val="single" w:color="000000" w:sz="4" w:space="0"/>
              <w:bottom w:val="single" w:color="000000" w:sz="4" w:space="0"/>
              <w:right w:val="single" w:color="000000" w:sz="4" w:space="0"/>
            </w:tcBorders>
            <w:noWrap w:val="0"/>
            <w:vAlign w:val="center"/>
          </w:tcPr>
          <w:p w14:paraId="6FC48C08">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20"/>
                <w:szCs w:val="20"/>
                <w:u w:val="none"/>
              </w:rPr>
            </w:pPr>
            <w:r>
              <w:rPr>
                <w:rFonts w:hint="eastAsia" w:ascii="宋体" w:hAnsi="宋体" w:eastAsia="宋体" w:cs="宋体"/>
                <w:i w:val="0"/>
                <w:iCs w:val="0"/>
                <w:color w:val="000000"/>
                <w:kern w:val="0"/>
                <w:sz w:val="18"/>
                <w:szCs w:val="18"/>
                <w:u w:val="none"/>
                <w:lang w:val="en-US" w:eastAsia="zh-CN" w:bidi="ar"/>
              </w:rPr>
              <w:t>化学清洗系统</w:t>
            </w:r>
          </w:p>
        </w:tc>
        <w:tc>
          <w:tcPr>
            <w:tcW w:w="1008" w:type="dxa"/>
            <w:tcBorders>
              <w:top w:val="single" w:color="000000" w:sz="4" w:space="0"/>
              <w:left w:val="single" w:color="000000" w:sz="4" w:space="0"/>
              <w:bottom w:val="single" w:color="000000" w:sz="4" w:space="0"/>
              <w:right w:val="single" w:color="000000" w:sz="4" w:space="0"/>
            </w:tcBorders>
            <w:noWrap/>
            <w:vAlign w:val="center"/>
          </w:tcPr>
          <w:p w14:paraId="291444A2">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20"/>
                <w:szCs w:val="20"/>
                <w:u w:val="none"/>
              </w:rPr>
            </w:pPr>
            <w:r>
              <w:rPr>
                <w:rFonts w:hint="eastAsia" w:ascii="宋体" w:hAnsi="宋体" w:eastAsia="宋体" w:cs="宋体"/>
                <w:i w:val="0"/>
                <w:iCs w:val="0"/>
                <w:color w:val="000000"/>
                <w:kern w:val="0"/>
                <w:sz w:val="18"/>
                <w:szCs w:val="18"/>
                <w:u w:val="none"/>
                <w:lang w:val="en-US" w:eastAsia="zh-CN" w:bidi="ar"/>
              </w:rPr>
              <w:t>套</w:t>
            </w:r>
          </w:p>
        </w:tc>
        <w:tc>
          <w:tcPr>
            <w:tcW w:w="648" w:type="dxa"/>
            <w:tcBorders>
              <w:top w:val="single" w:color="000000" w:sz="4" w:space="0"/>
              <w:left w:val="single" w:color="000000" w:sz="4" w:space="0"/>
              <w:bottom w:val="single" w:color="000000" w:sz="4" w:space="0"/>
              <w:right w:val="single" w:color="000000" w:sz="4" w:space="0"/>
            </w:tcBorders>
            <w:noWrap/>
            <w:vAlign w:val="center"/>
          </w:tcPr>
          <w:p w14:paraId="2A0EAFCC">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20"/>
                <w:szCs w:val="20"/>
                <w:u w:val="none"/>
              </w:rPr>
            </w:pPr>
            <w:r>
              <w:rPr>
                <w:rFonts w:hint="default" w:ascii="Times New Roman" w:hAnsi="Times New Roman" w:eastAsia="宋体" w:cs="Times New Roman"/>
                <w:i w:val="0"/>
                <w:iCs w:val="0"/>
                <w:color w:val="000000"/>
                <w:kern w:val="0"/>
                <w:sz w:val="18"/>
                <w:szCs w:val="18"/>
                <w:u w:val="none"/>
                <w:lang w:val="en-US" w:eastAsia="zh-CN" w:bidi="ar"/>
              </w:rPr>
              <w:t xml:space="preserve">1 </w:t>
            </w:r>
          </w:p>
        </w:tc>
        <w:tc>
          <w:tcPr>
            <w:tcW w:w="1487" w:type="dxa"/>
            <w:tcBorders>
              <w:top w:val="single" w:color="000000" w:sz="4" w:space="0"/>
              <w:left w:val="single" w:color="000000" w:sz="4" w:space="0"/>
              <w:bottom w:val="single" w:color="000000" w:sz="4" w:space="0"/>
              <w:right w:val="single" w:color="000000" w:sz="4" w:space="0"/>
            </w:tcBorders>
            <w:noWrap/>
            <w:vAlign w:val="center"/>
          </w:tcPr>
          <w:p w14:paraId="58C1A8DE">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20"/>
                <w:szCs w:val="20"/>
                <w:u w:val="none"/>
              </w:rPr>
            </w:pPr>
            <w:r>
              <w:rPr>
                <w:rFonts w:hint="default" w:ascii="Times New Roman" w:hAnsi="Times New Roman" w:eastAsia="宋体" w:cs="Times New Roman"/>
                <w:i w:val="0"/>
                <w:iCs w:val="0"/>
                <w:color w:val="000000"/>
                <w:kern w:val="0"/>
                <w:sz w:val="18"/>
                <w:szCs w:val="18"/>
                <w:u w:val="none"/>
                <w:lang w:val="en-US" w:eastAsia="zh-CN" w:bidi="ar"/>
              </w:rPr>
              <w:t xml:space="preserve">2.50 </w:t>
            </w:r>
          </w:p>
        </w:tc>
        <w:tc>
          <w:tcPr>
            <w:tcW w:w="2977" w:type="dxa"/>
            <w:tcBorders>
              <w:top w:val="single" w:color="000000" w:sz="4" w:space="0"/>
              <w:left w:val="single" w:color="000000" w:sz="4" w:space="0"/>
              <w:bottom w:val="single" w:color="000000" w:sz="4" w:space="0"/>
              <w:right w:val="single" w:color="000000" w:sz="4" w:space="0"/>
            </w:tcBorders>
            <w:noWrap/>
            <w:vAlign w:val="center"/>
          </w:tcPr>
          <w:p w14:paraId="487C4641">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color w:val="000000"/>
                <w:kern w:val="0"/>
                <w:sz w:val="18"/>
                <w:szCs w:val="18"/>
                <w:u w:val="none"/>
                <w:lang w:val="en-US" w:eastAsia="zh-CN" w:bidi="ar"/>
              </w:rPr>
              <w:t>JS-1.5</w:t>
            </w:r>
            <w:r>
              <w:rPr>
                <w:rFonts w:hint="eastAsia" w:ascii="宋体" w:hAnsi="宋体" w:eastAsia="宋体" w:cs="宋体"/>
                <w:i w:val="0"/>
                <w:iCs w:val="0"/>
                <w:color w:val="000000"/>
                <w:kern w:val="0"/>
                <w:sz w:val="18"/>
                <w:szCs w:val="18"/>
                <w:u w:val="none"/>
                <w:lang w:val="en-US" w:eastAsia="zh-CN" w:bidi="ar"/>
              </w:rPr>
              <w:t>（成套设备）</w:t>
            </w:r>
          </w:p>
        </w:tc>
      </w:tr>
      <w:tr w14:paraId="62E5899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4" w:hRule="atLeast"/>
        </w:trPr>
        <w:tc>
          <w:tcPr>
            <w:tcW w:w="322" w:type="pct"/>
            <w:tcBorders>
              <w:top w:val="single" w:color="000000" w:sz="4" w:space="0"/>
              <w:left w:val="single" w:color="000000" w:sz="4" w:space="0"/>
              <w:bottom w:val="single" w:color="000000" w:sz="4" w:space="0"/>
              <w:right w:val="single" w:color="000000" w:sz="4" w:space="0"/>
            </w:tcBorders>
            <w:noWrap/>
            <w:vAlign w:val="center"/>
          </w:tcPr>
          <w:p w14:paraId="54F76349">
            <w:pPr>
              <w:spacing w:line="240" w:lineRule="auto"/>
              <w:ind w:firstLine="0" w:firstLineChars="0"/>
              <w:jc w:val="center"/>
              <w:rPr>
                <w:rFonts w:hint="default" w:ascii="Times New Roman" w:hAnsi="Times New Roman" w:eastAsia="宋体" w:cs="Times New Roman"/>
                <w:i w:val="0"/>
                <w:iCs w:val="0"/>
                <w:color w:val="000000"/>
                <w:sz w:val="20"/>
                <w:szCs w:val="20"/>
                <w:u w:val="none"/>
              </w:rPr>
            </w:pPr>
          </w:p>
        </w:tc>
        <w:tc>
          <w:tcPr>
            <w:tcW w:w="1086" w:type="pct"/>
            <w:tcBorders>
              <w:top w:val="single" w:color="000000" w:sz="4" w:space="0"/>
              <w:left w:val="single" w:color="000000" w:sz="4" w:space="0"/>
              <w:bottom w:val="single" w:color="000000" w:sz="4" w:space="0"/>
              <w:right w:val="single" w:color="000000" w:sz="4" w:space="0"/>
            </w:tcBorders>
            <w:noWrap w:val="0"/>
            <w:vAlign w:val="center"/>
          </w:tcPr>
          <w:p w14:paraId="69B03374">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20"/>
                <w:szCs w:val="20"/>
                <w:u w:val="none"/>
              </w:rPr>
            </w:pPr>
            <w:r>
              <w:rPr>
                <w:rFonts w:hint="eastAsia" w:ascii="宋体" w:hAnsi="宋体" w:eastAsia="宋体" w:cs="宋体"/>
                <w:i w:val="0"/>
                <w:iCs w:val="0"/>
                <w:color w:val="000000"/>
                <w:kern w:val="0"/>
                <w:sz w:val="18"/>
                <w:szCs w:val="18"/>
                <w:u w:val="none"/>
                <w:lang w:val="en-US" w:eastAsia="zh-CN" w:bidi="ar"/>
              </w:rPr>
              <w:t>酸自动投加系统</w:t>
            </w:r>
          </w:p>
        </w:tc>
        <w:tc>
          <w:tcPr>
            <w:tcW w:w="1008" w:type="dxa"/>
            <w:tcBorders>
              <w:top w:val="single" w:color="000000" w:sz="4" w:space="0"/>
              <w:left w:val="single" w:color="000000" w:sz="4" w:space="0"/>
              <w:bottom w:val="single" w:color="000000" w:sz="4" w:space="0"/>
              <w:right w:val="single" w:color="000000" w:sz="4" w:space="0"/>
            </w:tcBorders>
            <w:noWrap/>
            <w:vAlign w:val="center"/>
          </w:tcPr>
          <w:p w14:paraId="016A0A99">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20"/>
                <w:szCs w:val="20"/>
                <w:u w:val="none"/>
              </w:rPr>
            </w:pPr>
            <w:r>
              <w:rPr>
                <w:rFonts w:hint="eastAsia" w:ascii="宋体" w:hAnsi="宋体" w:eastAsia="宋体" w:cs="宋体"/>
                <w:i w:val="0"/>
                <w:iCs w:val="0"/>
                <w:color w:val="000000"/>
                <w:kern w:val="0"/>
                <w:sz w:val="18"/>
                <w:szCs w:val="18"/>
                <w:u w:val="none"/>
                <w:lang w:val="en-US" w:eastAsia="zh-CN" w:bidi="ar"/>
              </w:rPr>
              <w:t>套</w:t>
            </w:r>
          </w:p>
        </w:tc>
        <w:tc>
          <w:tcPr>
            <w:tcW w:w="648" w:type="dxa"/>
            <w:tcBorders>
              <w:top w:val="single" w:color="000000" w:sz="4" w:space="0"/>
              <w:left w:val="single" w:color="000000" w:sz="4" w:space="0"/>
              <w:bottom w:val="single" w:color="000000" w:sz="4" w:space="0"/>
              <w:right w:val="single" w:color="000000" w:sz="4" w:space="0"/>
            </w:tcBorders>
            <w:noWrap/>
            <w:vAlign w:val="center"/>
          </w:tcPr>
          <w:p w14:paraId="4E53A2AF">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20"/>
                <w:szCs w:val="20"/>
                <w:u w:val="none"/>
              </w:rPr>
            </w:pPr>
            <w:r>
              <w:rPr>
                <w:rFonts w:hint="default" w:ascii="Times New Roman" w:hAnsi="Times New Roman" w:eastAsia="宋体" w:cs="Times New Roman"/>
                <w:i w:val="0"/>
                <w:iCs w:val="0"/>
                <w:color w:val="000000"/>
                <w:kern w:val="0"/>
                <w:sz w:val="18"/>
                <w:szCs w:val="18"/>
                <w:u w:val="none"/>
                <w:lang w:val="en-US" w:eastAsia="zh-CN" w:bidi="ar"/>
              </w:rPr>
              <w:t xml:space="preserve">1 </w:t>
            </w:r>
          </w:p>
        </w:tc>
        <w:tc>
          <w:tcPr>
            <w:tcW w:w="1487" w:type="dxa"/>
            <w:tcBorders>
              <w:top w:val="single" w:color="000000" w:sz="4" w:space="0"/>
              <w:left w:val="single" w:color="000000" w:sz="4" w:space="0"/>
              <w:bottom w:val="single" w:color="000000" w:sz="4" w:space="0"/>
              <w:right w:val="single" w:color="000000" w:sz="4" w:space="0"/>
            </w:tcBorders>
            <w:noWrap/>
            <w:vAlign w:val="center"/>
          </w:tcPr>
          <w:p w14:paraId="7E0A5EC3">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20"/>
                <w:szCs w:val="20"/>
                <w:u w:val="none"/>
              </w:rPr>
            </w:pPr>
            <w:r>
              <w:rPr>
                <w:rFonts w:hint="default" w:ascii="Times New Roman" w:hAnsi="Times New Roman" w:eastAsia="宋体" w:cs="Times New Roman"/>
                <w:i w:val="0"/>
                <w:iCs w:val="0"/>
                <w:color w:val="000000"/>
                <w:kern w:val="0"/>
                <w:sz w:val="18"/>
                <w:szCs w:val="18"/>
                <w:u w:val="none"/>
                <w:lang w:val="en-US" w:eastAsia="zh-CN" w:bidi="ar"/>
              </w:rPr>
              <w:t xml:space="preserve">1.20 </w:t>
            </w:r>
          </w:p>
        </w:tc>
        <w:tc>
          <w:tcPr>
            <w:tcW w:w="2977" w:type="dxa"/>
            <w:tcBorders>
              <w:top w:val="single" w:color="000000" w:sz="4" w:space="0"/>
              <w:left w:val="single" w:color="000000" w:sz="4" w:space="0"/>
              <w:bottom w:val="single" w:color="000000" w:sz="4" w:space="0"/>
              <w:right w:val="single" w:color="000000" w:sz="4" w:space="0"/>
            </w:tcBorders>
            <w:noWrap/>
            <w:vAlign w:val="center"/>
          </w:tcPr>
          <w:p w14:paraId="692692E7">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color w:val="000000"/>
                <w:kern w:val="0"/>
                <w:sz w:val="18"/>
                <w:szCs w:val="18"/>
                <w:u w:val="none"/>
                <w:lang w:val="en-US" w:eastAsia="zh-CN" w:bidi="ar"/>
              </w:rPr>
              <w:t>JHY1/1-17/0.35</w:t>
            </w:r>
            <w:r>
              <w:rPr>
                <w:rFonts w:hint="eastAsia" w:ascii="宋体" w:hAnsi="宋体" w:eastAsia="宋体" w:cs="宋体"/>
                <w:i w:val="0"/>
                <w:iCs w:val="0"/>
                <w:color w:val="000000"/>
                <w:kern w:val="0"/>
                <w:sz w:val="18"/>
                <w:szCs w:val="18"/>
                <w:u w:val="none"/>
                <w:lang w:val="en-US" w:eastAsia="zh-CN" w:bidi="ar"/>
              </w:rPr>
              <w:t>（成套设备）</w:t>
            </w:r>
          </w:p>
        </w:tc>
      </w:tr>
      <w:tr w14:paraId="1506695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4" w:hRule="atLeast"/>
        </w:trPr>
        <w:tc>
          <w:tcPr>
            <w:tcW w:w="322" w:type="pct"/>
            <w:tcBorders>
              <w:top w:val="single" w:color="000000" w:sz="4" w:space="0"/>
              <w:left w:val="single" w:color="000000" w:sz="4" w:space="0"/>
              <w:bottom w:val="single" w:color="000000" w:sz="4" w:space="0"/>
              <w:right w:val="single" w:color="000000" w:sz="4" w:space="0"/>
            </w:tcBorders>
            <w:noWrap/>
            <w:vAlign w:val="center"/>
          </w:tcPr>
          <w:p w14:paraId="5780A70A">
            <w:pPr>
              <w:spacing w:line="240" w:lineRule="auto"/>
              <w:ind w:firstLine="0" w:firstLineChars="0"/>
              <w:jc w:val="center"/>
              <w:rPr>
                <w:rFonts w:hint="default" w:ascii="Times New Roman" w:hAnsi="Times New Roman" w:eastAsia="宋体" w:cs="Times New Roman"/>
                <w:i w:val="0"/>
                <w:iCs w:val="0"/>
                <w:color w:val="000000"/>
                <w:sz w:val="20"/>
                <w:szCs w:val="20"/>
                <w:u w:val="none"/>
              </w:rPr>
            </w:pPr>
          </w:p>
        </w:tc>
        <w:tc>
          <w:tcPr>
            <w:tcW w:w="1086" w:type="pct"/>
            <w:tcBorders>
              <w:top w:val="single" w:color="000000" w:sz="4" w:space="0"/>
              <w:left w:val="single" w:color="000000" w:sz="4" w:space="0"/>
              <w:bottom w:val="single" w:color="000000" w:sz="4" w:space="0"/>
              <w:right w:val="single" w:color="000000" w:sz="4" w:space="0"/>
            </w:tcBorders>
            <w:noWrap w:val="0"/>
            <w:vAlign w:val="center"/>
          </w:tcPr>
          <w:p w14:paraId="12A0CACF">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20"/>
                <w:szCs w:val="20"/>
                <w:u w:val="none"/>
              </w:rPr>
            </w:pPr>
            <w:r>
              <w:rPr>
                <w:rFonts w:hint="eastAsia" w:ascii="宋体" w:hAnsi="宋体" w:eastAsia="宋体" w:cs="宋体"/>
                <w:i w:val="0"/>
                <w:iCs w:val="0"/>
                <w:color w:val="000000"/>
                <w:kern w:val="0"/>
                <w:sz w:val="18"/>
                <w:szCs w:val="18"/>
                <w:u w:val="none"/>
                <w:lang w:val="en-US" w:eastAsia="zh-CN" w:bidi="ar"/>
              </w:rPr>
              <w:t>碱自动投加系统</w:t>
            </w:r>
          </w:p>
        </w:tc>
        <w:tc>
          <w:tcPr>
            <w:tcW w:w="1008" w:type="dxa"/>
            <w:tcBorders>
              <w:top w:val="single" w:color="000000" w:sz="4" w:space="0"/>
              <w:left w:val="single" w:color="000000" w:sz="4" w:space="0"/>
              <w:bottom w:val="single" w:color="000000" w:sz="4" w:space="0"/>
              <w:right w:val="single" w:color="000000" w:sz="4" w:space="0"/>
            </w:tcBorders>
            <w:noWrap/>
            <w:vAlign w:val="center"/>
          </w:tcPr>
          <w:p w14:paraId="7F9AB90D">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20"/>
                <w:szCs w:val="20"/>
                <w:u w:val="none"/>
              </w:rPr>
            </w:pPr>
            <w:r>
              <w:rPr>
                <w:rFonts w:hint="eastAsia" w:ascii="宋体" w:hAnsi="宋体" w:eastAsia="宋体" w:cs="宋体"/>
                <w:i w:val="0"/>
                <w:iCs w:val="0"/>
                <w:color w:val="000000"/>
                <w:kern w:val="0"/>
                <w:sz w:val="18"/>
                <w:szCs w:val="18"/>
                <w:u w:val="none"/>
                <w:lang w:val="en-US" w:eastAsia="zh-CN" w:bidi="ar"/>
              </w:rPr>
              <w:t>套</w:t>
            </w:r>
          </w:p>
        </w:tc>
        <w:tc>
          <w:tcPr>
            <w:tcW w:w="648" w:type="dxa"/>
            <w:tcBorders>
              <w:top w:val="single" w:color="000000" w:sz="4" w:space="0"/>
              <w:left w:val="single" w:color="000000" w:sz="4" w:space="0"/>
              <w:bottom w:val="single" w:color="000000" w:sz="4" w:space="0"/>
              <w:right w:val="single" w:color="000000" w:sz="4" w:space="0"/>
            </w:tcBorders>
            <w:noWrap/>
            <w:vAlign w:val="center"/>
          </w:tcPr>
          <w:p w14:paraId="1109FD83">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20"/>
                <w:szCs w:val="20"/>
                <w:u w:val="none"/>
              </w:rPr>
            </w:pPr>
            <w:r>
              <w:rPr>
                <w:rFonts w:hint="default" w:ascii="Times New Roman" w:hAnsi="Times New Roman" w:eastAsia="宋体" w:cs="Times New Roman"/>
                <w:i w:val="0"/>
                <w:iCs w:val="0"/>
                <w:color w:val="000000"/>
                <w:kern w:val="0"/>
                <w:sz w:val="18"/>
                <w:szCs w:val="18"/>
                <w:u w:val="none"/>
                <w:lang w:val="en-US" w:eastAsia="zh-CN" w:bidi="ar"/>
              </w:rPr>
              <w:t xml:space="preserve">1 </w:t>
            </w:r>
          </w:p>
        </w:tc>
        <w:tc>
          <w:tcPr>
            <w:tcW w:w="1487" w:type="dxa"/>
            <w:tcBorders>
              <w:top w:val="single" w:color="000000" w:sz="4" w:space="0"/>
              <w:left w:val="single" w:color="000000" w:sz="4" w:space="0"/>
              <w:bottom w:val="single" w:color="000000" w:sz="4" w:space="0"/>
              <w:right w:val="single" w:color="000000" w:sz="4" w:space="0"/>
            </w:tcBorders>
            <w:noWrap/>
            <w:vAlign w:val="center"/>
          </w:tcPr>
          <w:p w14:paraId="7120B553">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20"/>
                <w:szCs w:val="20"/>
                <w:u w:val="none"/>
              </w:rPr>
            </w:pPr>
            <w:r>
              <w:rPr>
                <w:rFonts w:hint="default" w:ascii="Times New Roman" w:hAnsi="Times New Roman" w:eastAsia="宋体" w:cs="Times New Roman"/>
                <w:i w:val="0"/>
                <w:iCs w:val="0"/>
                <w:color w:val="000000"/>
                <w:kern w:val="0"/>
                <w:sz w:val="18"/>
                <w:szCs w:val="18"/>
                <w:u w:val="none"/>
                <w:lang w:val="en-US" w:eastAsia="zh-CN" w:bidi="ar"/>
              </w:rPr>
              <w:t xml:space="preserve">1.20 </w:t>
            </w:r>
          </w:p>
        </w:tc>
        <w:tc>
          <w:tcPr>
            <w:tcW w:w="2977" w:type="dxa"/>
            <w:tcBorders>
              <w:top w:val="single" w:color="000000" w:sz="4" w:space="0"/>
              <w:left w:val="single" w:color="000000" w:sz="4" w:space="0"/>
              <w:bottom w:val="single" w:color="000000" w:sz="4" w:space="0"/>
              <w:right w:val="single" w:color="000000" w:sz="4" w:space="0"/>
            </w:tcBorders>
            <w:noWrap/>
            <w:vAlign w:val="center"/>
          </w:tcPr>
          <w:p w14:paraId="081B8C2C">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color w:val="000000"/>
                <w:kern w:val="0"/>
                <w:sz w:val="18"/>
                <w:szCs w:val="18"/>
                <w:u w:val="none"/>
                <w:lang w:val="en-US" w:eastAsia="zh-CN" w:bidi="ar"/>
              </w:rPr>
              <w:t>JHY1/1-17/0.35</w:t>
            </w:r>
            <w:r>
              <w:rPr>
                <w:rFonts w:hint="eastAsia" w:ascii="宋体" w:hAnsi="宋体" w:eastAsia="宋体" w:cs="宋体"/>
                <w:i w:val="0"/>
                <w:iCs w:val="0"/>
                <w:color w:val="000000"/>
                <w:kern w:val="0"/>
                <w:sz w:val="18"/>
                <w:szCs w:val="18"/>
                <w:u w:val="none"/>
                <w:lang w:val="en-US" w:eastAsia="zh-CN" w:bidi="ar"/>
              </w:rPr>
              <w:t>（成套设备）</w:t>
            </w:r>
          </w:p>
        </w:tc>
      </w:tr>
      <w:tr w14:paraId="571E0E4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4" w:hRule="atLeast"/>
        </w:trPr>
        <w:tc>
          <w:tcPr>
            <w:tcW w:w="322" w:type="pct"/>
            <w:tcBorders>
              <w:top w:val="single" w:color="000000" w:sz="4" w:space="0"/>
              <w:left w:val="single" w:color="000000" w:sz="4" w:space="0"/>
              <w:bottom w:val="single" w:color="000000" w:sz="4" w:space="0"/>
              <w:right w:val="single" w:color="000000" w:sz="4" w:space="0"/>
            </w:tcBorders>
            <w:noWrap/>
            <w:vAlign w:val="center"/>
          </w:tcPr>
          <w:p w14:paraId="047FFDF0">
            <w:pPr>
              <w:spacing w:line="240" w:lineRule="auto"/>
              <w:ind w:firstLine="0" w:firstLineChars="0"/>
              <w:jc w:val="center"/>
              <w:rPr>
                <w:rFonts w:hint="default" w:ascii="Times New Roman" w:hAnsi="Times New Roman" w:eastAsia="宋体" w:cs="Times New Roman"/>
                <w:i w:val="0"/>
                <w:iCs w:val="0"/>
                <w:color w:val="000000"/>
                <w:sz w:val="20"/>
                <w:szCs w:val="20"/>
                <w:u w:val="none"/>
              </w:rPr>
            </w:pPr>
          </w:p>
        </w:tc>
        <w:tc>
          <w:tcPr>
            <w:tcW w:w="1086" w:type="pct"/>
            <w:tcBorders>
              <w:top w:val="single" w:color="000000" w:sz="4" w:space="0"/>
              <w:left w:val="single" w:color="000000" w:sz="4" w:space="0"/>
              <w:bottom w:val="single" w:color="000000" w:sz="4" w:space="0"/>
              <w:right w:val="single" w:color="000000" w:sz="4" w:space="0"/>
            </w:tcBorders>
            <w:noWrap w:val="0"/>
            <w:vAlign w:val="center"/>
          </w:tcPr>
          <w:p w14:paraId="0A5C2D36">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20"/>
                <w:szCs w:val="20"/>
                <w:u w:val="none"/>
              </w:rPr>
            </w:pPr>
            <w:r>
              <w:rPr>
                <w:rFonts w:hint="eastAsia" w:ascii="宋体" w:hAnsi="宋体" w:eastAsia="宋体" w:cs="宋体"/>
                <w:i w:val="0"/>
                <w:iCs w:val="0"/>
                <w:color w:val="000000"/>
                <w:kern w:val="0"/>
                <w:sz w:val="18"/>
                <w:szCs w:val="18"/>
                <w:u w:val="none"/>
                <w:lang w:val="en-US" w:eastAsia="zh-CN" w:bidi="ar"/>
              </w:rPr>
              <w:t>污泥泵</w:t>
            </w:r>
          </w:p>
        </w:tc>
        <w:tc>
          <w:tcPr>
            <w:tcW w:w="1008" w:type="dxa"/>
            <w:tcBorders>
              <w:top w:val="single" w:color="000000" w:sz="4" w:space="0"/>
              <w:left w:val="single" w:color="000000" w:sz="4" w:space="0"/>
              <w:bottom w:val="single" w:color="000000" w:sz="4" w:space="0"/>
              <w:right w:val="single" w:color="000000" w:sz="4" w:space="0"/>
            </w:tcBorders>
            <w:noWrap/>
            <w:vAlign w:val="center"/>
          </w:tcPr>
          <w:p w14:paraId="76ECA62C">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20"/>
                <w:szCs w:val="20"/>
                <w:u w:val="none"/>
              </w:rPr>
            </w:pPr>
            <w:r>
              <w:rPr>
                <w:rFonts w:hint="eastAsia" w:ascii="宋体" w:hAnsi="宋体" w:eastAsia="宋体" w:cs="宋体"/>
                <w:i w:val="0"/>
                <w:iCs w:val="0"/>
                <w:color w:val="000000"/>
                <w:kern w:val="0"/>
                <w:sz w:val="18"/>
                <w:szCs w:val="18"/>
                <w:u w:val="none"/>
                <w:lang w:val="en-US" w:eastAsia="zh-CN" w:bidi="ar"/>
              </w:rPr>
              <w:t>台</w:t>
            </w:r>
          </w:p>
        </w:tc>
        <w:tc>
          <w:tcPr>
            <w:tcW w:w="648" w:type="dxa"/>
            <w:tcBorders>
              <w:top w:val="single" w:color="000000" w:sz="4" w:space="0"/>
              <w:left w:val="single" w:color="000000" w:sz="4" w:space="0"/>
              <w:bottom w:val="single" w:color="000000" w:sz="4" w:space="0"/>
              <w:right w:val="single" w:color="000000" w:sz="4" w:space="0"/>
            </w:tcBorders>
            <w:noWrap/>
            <w:vAlign w:val="center"/>
          </w:tcPr>
          <w:p w14:paraId="262C2C61">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20"/>
                <w:szCs w:val="20"/>
                <w:u w:val="none"/>
              </w:rPr>
            </w:pPr>
            <w:r>
              <w:rPr>
                <w:rFonts w:hint="default" w:ascii="Times New Roman" w:hAnsi="Times New Roman" w:eastAsia="宋体" w:cs="Times New Roman"/>
                <w:i w:val="0"/>
                <w:iCs w:val="0"/>
                <w:color w:val="000000"/>
                <w:kern w:val="0"/>
                <w:sz w:val="18"/>
                <w:szCs w:val="18"/>
                <w:u w:val="none"/>
                <w:lang w:val="en-US" w:eastAsia="zh-CN" w:bidi="ar"/>
              </w:rPr>
              <w:t xml:space="preserve">2 </w:t>
            </w:r>
          </w:p>
        </w:tc>
        <w:tc>
          <w:tcPr>
            <w:tcW w:w="1487" w:type="dxa"/>
            <w:tcBorders>
              <w:top w:val="single" w:color="000000" w:sz="4" w:space="0"/>
              <w:left w:val="single" w:color="000000" w:sz="4" w:space="0"/>
              <w:bottom w:val="single" w:color="000000" w:sz="4" w:space="0"/>
              <w:right w:val="single" w:color="000000" w:sz="4" w:space="0"/>
            </w:tcBorders>
            <w:noWrap/>
            <w:vAlign w:val="center"/>
          </w:tcPr>
          <w:p w14:paraId="7165CE49">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20"/>
                <w:szCs w:val="20"/>
                <w:u w:val="none"/>
              </w:rPr>
            </w:pPr>
            <w:r>
              <w:rPr>
                <w:rFonts w:hint="default" w:ascii="Times New Roman" w:hAnsi="Times New Roman" w:eastAsia="宋体" w:cs="Times New Roman"/>
                <w:i w:val="0"/>
                <w:iCs w:val="0"/>
                <w:color w:val="000000"/>
                <w:kern w:val="0"/>
                <w:sz w:val="18"/>
                <w:szCs w:val="18"/>
                <w:u w:val="none"/>
                <w:lang w:val="en-US" w:eastAsia="zh-CN" w:bidi="ar"/>
              </w:rPr>
              <w:t xml:space="preserve">6.20 </w:t>
            </w:r>
          </w:p>
        </w:tc>
        <w:tc>
          <w:tcPr>
            <w:tcW w:w="2977" w:type="dxa"/>
            <w:tcBorders>
              <w:top w:val="single" w:color="000000" w:sz="4" w:space="0"/>
              <w:left w:val="single" w:color="000000" w:sz="4" w:space="0"/>
              <w:bottom w:val="single" w:color="000000" w:sz="4" w:space="0"/>
              <w:right w:val="single" w:color="000000" w:sz="4" w:space="0"/>
            </w:tcBorders>
            <w:noWrap/>
            <w:vAlign w:val="center"/>
          </w:tcPr>
          <w:p w14:paraId="1CD0F2A5">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color w:val="000000"/>
                <w:kern w:val="0"/>
                <w:sz w:val="18"/>
                <w:szCs w:val="18"/>
                <w:u w:val="none"/>
                <w:lang w:val="en-US" w:eastAsia="zh-CN" w:bidi="ar"/>
              </w:rPr>
              <w:t>Q=8</w:t>
            </w:r>
            <w:r>
              <w:rPr>
                <w:rFonts w:hint="eastAsia" w:cs="Times New Roman"/>
                <w:i w:val="0"/>
                <w:iCs w:val="0"/>
                <w:color w:val="000000"/>
                <w:kern w:val="0"/>
                <w:sz w:val="18"/>
                <w:szCs w:val="18"/>
                <w:u w:val="none"/>
                <w:lang w:val="en-US" w:eastAsia="zh-CN" w:bidi="ar"/>
              </w:rPr>
              <w:t>m³</w:t>
            </w:r>
            <w:r>
              <w:rPr>
                <w:rFonts w:hint="default" w:ascii="Times New Roman" w:hAnsi="Times New Roman" w:eastAsia="宋体" w:cs="Times New Roman"/>
                <w:i w:val="0"/>
                <w:iCs w:val="0"/>
                <w:color w:val="000000"/>
                <w:kern w:val="0"/>
                <w:sz w:val="18"/>
                <w:szCs w:val="18"/>
                <w:u w:val="none"/>
                <w:lang w:val="en-US" w:eastAsia="zh-CN" w:bidi="ar"/>
              </w:rPr>
              <w:t>/h</w:t>
            </w:r>
            <w:r>
              <w:rPr>
                <w:rFonts w:hint="eastAsia" w:ascii="宋体" w:hAnsi="宋体" w:eastAsia="宋体" w:cs="宋体"/>
                <w:i w:val="0"/>
                <w:iCs w:val="0"/>
                <w:color w:val="000000"/>
                <w:kern w:val="0"/>
                <w:sz w:val="18"/>
                <w:szCs w:val="18"/>
                <w:u w:val="none"/>
                <w:lang w:val="en-US" w:eastAsia="zh-CN" w:bidi="ar"/>
              </w:rPr>
              <w:t>，</w:t>
            </w:r>
            <w:r>
              <w:rPr>
                <w:rFonts w:hint="default" w:ascii="Times New Roman" w:hAnsi="Times New Roman" w:eastAsia="宋体" w:cs="Times New Roman"/>
                <w:i w:val="0"/>
                <w:iCs w:val="0"/>
                <w:color w:val="000000"/>
                <w:kern w:val="0"/>
                <w:sz w:val="18"/>
                <w:szCs w:val="18"/>
                <w:u w:val="none"/>
                <w:lang w:val="en-US" w:eastAsia="zh-CN" w:bidi="ar"/>
              </w:rPr>
              <w:t>P=1.2mpa</w:t>
            </w:r>
            <w:r>
              <w:rPr>
                <w:rFonts w:hint="eastAsia" w:cs="Times New Roman"/>
                <w:i w:val="0"/>
                <w:iCs w:val="0"/>
                <w:color w:val="000000"/>
                <w:kern w:val="0"/>
                <w:sz w:val="18"/>
                <w:szCs w:val="18"/>
                <w:u w:val="none"/>
                <w:lang w:val="en-US" w:eastAsia="zh-CN" w:bidi="ar"/>
              </w:rPr>
              <w:t>，</w:t>
            </w:r>
            <w:r>
              <w:rPr>
                <w:rFonts w:hint="default" w:ascii="Times New Roman" w:hAnsi="Times New Roman" w:eastAsia="宋体" w:cs="Times New Roman"/>
                <w:i w:val="0"/>
                <w:iCs w:val="0"/>
                <w:color w:val="000000"/>
                <w:kern w:val="0"/>
                <w:sz w:val="18"/>
                <w:szCs w:val="18"/>
                <w:u w:val="none"/>
                <w:lang w:val="en-US" w:eastAsia="zh-CN" w:bidi="ar"/>
              </w:rPr>
              <w:t>N=4kw</w:t>
            </w:r>
          </w:p>
        </w:tc>
      </w:tr>
      <w:tr w14:paraId="1AD9803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4" w:hRule="atLeast"/>
        </w:trPr>
        <w:tc>
          <w:tcPr>
            <w:tcW w:w="322" w:type="pct"/>
            <w:tcBorders>
              <w:top w:val="single" w:color="000000" w:sz="4" w:space="0"/>
              <w:left w:val="single" w:color="000000" w:sz="4" w:space="0"/>
              <w:bottom w:val="single" w:color="000000" w:sz="4" w:space="0"/>
              <w:right w:val="single" w:color="000000" w:sz="4" w:space="0"/>
            </w:tcBorders>
            <w:noWrap/>
            <w:vAlign w:val="center"/>
          </w:tcPr>
          <w:p w14:paraId="526D72C0">
            <w:pPr>
              <w:spacing w:line="240" w:lineRule="auto"/>
              <w:ind w:firstLine="0" w:firstLineChars="0"/>
              <w:jc w:val="center"/>
              <w:rPr>
                <w:rFonts w:hint="default" w:ascii="Times New Roman" w:hAnsi="Times New Roman" w:eastAsia="宋体" w:cs="Times New Roman"/>
                <w:i w:val="0"/>
                <w:iCs w:val="0"/>
                <w:color w:val="000000"/>
                <w:sz w:val="20"/>
                <w:szCs w:val="20"/>
                <w:u w:val="none"/>
              </w:rPr>
            </w:pPr>
          </w:p>
        </w:tc>
        <w:tc>
          <w:tcPr>
            <w:tcW w:w="1086" w:type="pct"/>
            <w:tcBorders>
              <w:top w:val="single" w:color="000000" w:sz="4" w:space="0"/>
              <w:left w:val="single" w:color="000000" w:sz="4" w:space="0"/>
              <w:bottom w:val="single" w:color="000000" w:sz="4" w:space="0"/>
              <w:right w:val="single" w:color="000000" w:sz="4" w:space="0"/>
            </w:tcBorders>
            <w:noWrap w:val="0"/>
            <w:vAlign w:val="center"/>
          </w:tcPr>
          <w:p w14:paraId="51B67A3F">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20"/>
                <w:szCs w:val="20"/>
                <w:u w:val="none"/>
              </w:rPr>
            </w:pPr>
            <w:r>
              <w:rPr>
                <w:rFonts w:hint="eastAsia" w:ascii="宋体" w:hAnsi="宋体" w:eastAsia="宋体" w:cs="宋体"/>
                <w:i w:val="0"/>
                <w:iCs w:val="0"/>
                <w:color w:val="000000"/>
                <w:kern w:val="0"/>
                <w:sz w:val="18"/>
                <w:szCs w:val="18"/>
                <w:u w:val="none"/>
                <w:lang w:val="en-US" w:eastAsia="zh-CN" w:bidi="ar"/>
              </w:rPr>
              <w:t>污泥脱水系统</w:t>
            </w:r>
          </w:p>
        </w:tc>
        <w:tc>
          <w:tcPr>
            <w:tcW w:w="1008" w:type="dxa"/>
            <w:tcBorders>
              <w:top w:val="single" w:color="000000" w:sz="4" w:space="0"/>
              <w:left w:val="single" w:color="000000" w:sz="4" w:space="0"/>
              <w:bottom w:val="single" w:color="000000" w:sz="4" w:space="0"/>
              <w:right w:val="single" w:color="000000" w:sz="4" w:space="0"/>
            </w:tcBorders>
            <w:noWrap/>
            <w:vAlign w:val="center"/>
          </w:tcPr>
          <w:p w14:paraId="2567527C">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20"/>
                <w:szCs w:val="20"/>
                <w:u w:val="none"/>
              </w:rPr>
            </w:pPr>
            <w:r>
              <w:rPr>
                <w:rFonts w:hint="eastAsia" w:ascii="宋体" w:hAnsi="宋体" w:eastAsia="宋体" w:cs="宋体"/>
                <w:i w:val="0"/>
                <w:iCs w:val="0"/>
                <w:color w:val="000000"/>
                <w:kern w:val="0"/>
                <w:sz w:val="18"/>
                <w:szCs w:val="18"/>
                <w:u w:val="none"/>
                <w:lang w:val="en-US" w:eastAsia="zh-CN" w:bidi="ar"/>
              </w:rPr>
              <w:t>套</w:t>
            </w:r>
          </w:p>
        </w:tc>
        <w:tc>
          <w:tcPr>
            <w:tcW w:w="648" w:type="dxa"/>
            <w:tcBorders>
              <w:top w:val="single" w:color="000000" w:sz="4" w:space="0"/>
              <w:left w:val="single" w:color="000000" w:sz="4" w:space="0"/>
              <w:bottom w:val="single" w:color="000000" w:sz="4" w:space="0"/>
              <w:right w:val="single" w:color="000000" w:sz="4" w:space="0"/>
            </w:tcBorders>
            <w:noWrap/>
            <w:vAlign w:val="center"/>
          </w:tcPr>
          <w:p w14:paraId="0D7105D6">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20"/>
                <w:szCs w:val="20"/>
                <w:u w:val="none"/>
              </w:rPr>
            </w:pPr>
            <w:r>
              <w:rPr>
                <w:rFonts w:hint="default" w:ascii="Times New Roman" w:hAnsi="Times New Roman" w:eastAsia="宋体" w:cs="Times New Roman"/>
                <w:i w:val="0"/>
                <w:iCs w:val="0"/>
                <w:color w:val="000000"/>
                <w:kern w:val="0"/>
                <w:sz w:val="18"/>
                <w:szCs w:val="18"/>
                <w:u w:val="none"/>
                <w:lang w:val="en-US" w:eastAsia="zh-CN" w:bidi="ar"/>
              </w:rPr>
              <w:t xml:space="preserve">1 </w:t>
            </w:r>
          </w:p>
        </w:tc>
        <w:tc>
          <w:tcPr>
            <w:tcW w:w="1487" w:type="dxa"/>
            <w:tcBorders>
              <w:top w:val="single" w:color="000000" w:sz="4" w:space="0"/>
              <w:left w:val="single" w:color="000000" w:sz="4" w:space="0"/>
              <w:bottom w:val="single" w:color="000000" w:sz="4" w:space="0"/>
              <w:right w:val="single" w:color="000000" w:sz="4" w:space="0"/>
            </w:tcBorders>
            <w:noWrap/>
            <w:vAlign w:val="center"/>
          </w:tcPr>
          <w:p w14:paraId="7EA1455F">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20"/>
                <w:szCs w:val="20"/>
                <w:u w:val="none"/>
              </w:rPr>
            </w:pPr>
            <w:r>
              <w:rPr>
                <w:rFonts w:hint="default" w:ascii="Times New Roman" w:hAnsi="Times New Roman" w:eastAsia="宋体" w:cs="Times New Roman"/>
                <w:i w:val="0"/>
                <w:iCs w:val="0"/>
                <w:color w:val="000000"/>
                <w:kern w:val="0"/>
                <w:sz w:val="18"/>
                <w:szCs w:val="18"/>
                <w:u w:val="none"/>
                <w:lang w:val="en-US" w:eastAsia="zh-CN" w:bidi="ar"/>
              </w:rPr>
              <w:t xml:space="preserve">14.00 </w:t>
            </w:r>
          </w:p>
        </w:tc>
        <w:tc>
          <w:tcPr>
            <w:tcW w:w="2977" w:type="dxa"/>
            <w:tcBorders>
              <w:top w:val="single" w:color="000000" w:sz="4" w:space="0"/>
              <w:left w:val="single" w:color="000000" w:sz="4" w:space="0"/>
              <w:bottom w:val="single" w:color="000000" w:sz="4" w:space="0"/>
              <w:right w:val="single" w:color="000000" w:sz="4" w:space="0"/>
            </w:tcBorders>
            <w:noWrap/>
            <w:vAlign w:val="center"/>
          </w:tcPr>
          <w:p w14:paraId="3E4BB2D1">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color w:val="000000"/>
                <w:kern w:val="0"/>
                <w:sz w:val="18"/>
                <w:szCs w:val="18"/>
                <w:u w:val="none"/>
                <w:lang w:val="en-US" w:eastAsia="zh-CN" w:bidi="ar"/>
              </w:rPr>
              <w:t>N=1.5KW</w:t>
            </w:r>
            <w:r>
              <w:rPr>
                <w:rFonts w:hint="eastAsia" w:ascii="宋体" w:hAnsi="宋体" w:eastAsia="宋体" w:cs="宋体"/>
                <w:i w:val="0"/>
                <w:iCs w:val="0"/>
                <w:color w:val="000000"/>
                <w:kern w:val="0"/>
                <w:sz w:val="18"/>
                <w:szCs w:val="18"/>
                <w:u w:val="none"/>
                <w:lang w:val="en-US" w:eastAsia="zh-CN" w:bidi="ar"/>
              </w:rPr>
              <w:t>（成套设备）</w:t>
            </w:r>
          </w:p>
        </w:tc>
      </w:tr>
      <w:tr w14:paraId="024214B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4" w:hRule="atLeast"/>
        </w:trPr>
        <w:tc>
          <w:tcPr>
            <w:tcW w:w="322" w:type="pct"/>
            <w:tcBorders>
              <w:top w:val="single" w:color="000000" w:sz="4" w:space="0"/>
              <w:left w:val="single" w:color="000000" w:sz="4" w:space="0"/>
              <w:bottom w:val="single" w:color="000000" w:sz="4" w:space="0"/>
              <w:right w:val="single" w:color="000000" w:sz="4" w:space="0"/>
            </w:tcBorders>
            <w:noWrap/>
            <w:vAlign w:val="center"/>
          </w:tcPr>
          <w:p w14:paraId="26D92529">
            <w:pPr>
              <w:spacing w:line="240" w:lineRule="auto"/>
              <w:ind w:firstLine="0" w:firstLineChars="0"/>
              <w:jc w:val="center"/>
              <w:rPr>
                <w:rFonts w:hint="default" w:ascii="Times New Roman" w:hAnsi="Times New Roman" w:eastAsia="宋体" w:cs="Times New Roman"/>
                <w:i w:val="0"/>
                <w:iCs w:val="0"/>
                <w:color w:val="000000"/>
                <w:sz w:val="20"/>
                <w:szCs w:val="20"/>
                <w:u w:val="none"/>
              </w:rPr>
            </w:pPr>
          </w:p>
        </w:tc>
        <w:tc>
          <w:tcPr>
            <w:tcW w:w="1086" w:type="pct"/>
            <w:tcBorders>
              <w:top w:val="single" w:color="000000" w:sz="4" w:space="0"/>
              <w:left w:val="single" w:color="000000" w:sz="4" w:space="0"/>
              <w:bottom w:val="single" w:color="000000" w:sz="4" w:space="0"/>
              <w:right w:val="single" w:color="000000" w:sz="4" w:space="0"/>
            </w:tcBorders>
            <w:noWrap w:val="0"/>
            <w:vAlign w:val="center"/>
          </w:tcPr>
          <w:p w14:paraId="44B32959">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20"/>
                <w:szCs w:val="20"/>
                <w:u w:val="none"/>
              </w:rPr>
            </w:pPr>
            <w:r>
              <w:rPr>
                <w:rFonts w:hint="eastAsia" w:ascii="宋体" w:hAnsi="宋体" w:eastAsia="宋体" w:cs="宋体"/>
                <w:i w:val="0"/>
                <w:iCs w:val="0"/>
                <w:color w:val="000000"/>
                <w:kern w:val="0"/>
                <w:sz w:val="18"/>
                <w:szCs w:val="18"/>
                <w:u w:val="none"/>
                <w:lang w:val="en-US" w:eastAsia="zh-CN" w:bidi="ar"/>
              </w:rPr>
              <w:t>排放泵</w:t>
            </w:r>
          </w:p>
        </w:tc>
        <w:tc>
          <w:tcPr>
            <w:tcW w:w="1008" w:type="dxa"/>
            <w:tcBorders>
              <w:top w:val="single" w:color="000000" w:sz="4" w:space="0"/>
              <w:left w:val="single" w:color="000000" w:sz="4" w:space="0"/>
              <w:bottom w:val="single" w:color="000000" w:sz="4" w:space="0"/>
              <w:right w:val="single" w:color="000000" w:sz="4" w:space="0"/>
            </w:tcBorders>
            <w:noWrap/>
            <w:vAlign w:val="center"/>
          </w:tcPr>
          <w:p w14:paraId="073DFA65">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20"/>
                <w:szCs w:val="20"/>
                <w:u w:val="none"/>
              </w:rPr>
            </w:pPr>
            <w:r>
              <w:rPr>
                <w:rFonts w:hint="eastAsia" w:ascii="宋体" w:hAnsi="宋体" w:eastAsia="宋体" w:cs="宋体"/>
                <w:i w:val="0"/>
                <w:iCs w:val="0"/>
                <w:color w:val="000000"/>
                <w:kern w:val="0"/>
                <w:sz w:val="18"/>
                <w:szCs w:val="18"/>
                <w:u w:val="none"/>
                <w:lang w:val="en-US" w:eastAsia="zh-CN" w:bidi="ar"/>
              </w:rPr>
              <w:t>台</w:t>
            </w:r>
          </w:p>
        </w:tc>
        <w:tc>
          <w:tcPr>
            <w:tcW w:w="648" w:type="dxa"/>
            <w:tcBorders>
              <w:top w:val="single" w:color="000000" w:sz="4" w:space="0"/>
              <w:left w:val="single" w:color="000000" w:sz="4" w:space="0"/>
              <w:bottom w:val="single" w:color="000000" w:sz="4" w:space="0"/>
              <w:right w:val="single" w:color="000000" w:sz="4" w:space="0"/>
            </w:tcBorders>
            <w:noWrap/>
            <w:vAlign w:val="center"/>
          </w:tcPr>
          <w:p w14:paraId="4A5A4DEE">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20"/>
                <w:szCs w:val="20"/>
                <w:u w:val="none"/>
              </w:rPr>
            </w:pPr>
            <w:r>
              <w:rPr>
                <w:rFonts w:hint="default" w:ascii="Times New Roman" w:hAnsi="Times New Roman" w:eastAsia="宋体" w:cs="Times New Roman"/>
                <w:i w:val="0"/>
                <w:iCs w:val="0"/>
                <w:color w:val="000000"/>
                <w:kern w:val="0"/>
                <w:sz w:val="18"/>
                <w:szCs w:val="18"/>
                <w:u w:val="none"/>
                <w:lang w:val="en-US" w:eastAsia="zh-CN" w:bidi="ar"/>
              </w:rPr>
              <w:t xml:space="preserve">2 </w:t>
            </w:r>
          </w:p>
        </w:tc>
        <w:tc>
          <w:tcPr>
            <w:tcW w:w="1487" w:type="dxa"/>
            <w:tcBorders>
              <w:top w:val="single" w:color="000000" w:sz="4" w:space="0"/>
              <w:left w:val="single" w:color="000000" w:sz="4" w:space="0"/>
              <w:bottom w:val="single" w:color="000000" w:sz="4" w:space="0"/>
              <w:right w:val="single" w:color="000000" w:sz="4" w:space="0"/>
            </w:tcBorders>
            <w:noWrap/>
            <w:vAlign w:val="center"/>
          </w:tcPr>
          <w:p w14:paraId="5CD0BCF5">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20"/>
                <w:szCs w:val="20"/>
                <w:u w:val="none"/>
              </w:rPr>
            </w:pPr>
            <w:r>
              <w:rPr>
                <w:rFonts w:hint="default" w:ascii="Times New Roman" w:hAnsi="Times New Roman" w:eastAsia="宋体" w:cs="Times New Roman"/>
                <w:i w:val="0"/>
                <w:iCs w:val="0"/>
                <w:color w:val="000000"/>
                <w:kern w:val="0"/>
                <w:sz w:val="18"/>
                <w:szCs w:val="18"/>
                <w:u w:val="none"/>
                <w:lang w:val="en-US" w:eastAsia="zh-CN" w:bidi="ar"/>
              </w:rPr>
              <w:t xml:space="preserve">0.60 </w:t>
            </w:r>
          </w:p>
        </w:tc>
        <w:tc>
          <w:tcPr>
            <w:tcW w:w="2977" w:type="dxa"/>
            <w:tcBorders>
              <w:top w:val="single" w:color="000000" w:sz="4" w:space="0"/>
              <w:left w:val="single" w:color="000000" w:sz="4" w:space="0"/>
              <w:bottom w:val="single" w:color="000000" w:sz="4" w:space="0"/>
              <w:right w:val="single" w:color="000000" w:sz="4" w:space="0"/>
            </w:tcBorders>
            <w:noWrap/>
            <w:vAlign w:val="center"/>
          </w:tcPr>
          <w:p w14:paraId="675B20C2">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color w:val="000000"/>
                <w:kern w:val="0"/>
                <w:sz w:val="18"/>
                <w:szCs w:val="18"/>
                <w:u w:val="none"/>
                <w:lang w:val="en-US" w:eastAsia="zh-CN" w:bidi="ar"/>
              </w:rPr>
              <w:t>Q=8</w:t>
            </w:r>
            <w:r>
              <w:rPr>
                <w:rFonts w:hint="eastAsia" w:cs="Times New Roman"/>
                <w:i w:val="0"/>
                <w:iCs w:val="0"/>
                <w:color w:val="000000"/>
                <w:kern w:val="0"/>
                <w:sz w:val="18"/>
                <w:szCs w:val="18"/>
                <w:u w:val="none"/>
                <w:lang w:val="en-US" w:eastAsia="zh-CN" w:bidi="ar"/>
              </w:rPr>
              <w:t>m³</w:t>
            </w:r>
            <w:r>
              <w:rPr>
                <w:rFonts w:hint="default" w:ascii="Times New Roman" w:hAnsi="Times New Roman" w:eastAsia="宋体" w:cs="Times New Roman"/>
                <w:i w:val="0"/>
                <w:iCs w:val="0"/>
                <w:color w:val="000000"/>
                <w:kern w:val="0"/>
                <w:sz w:val="18"/>
                <w:szCs w:val="18"/>
                <w:u w:val="none"/>
                <w:lang w:val="en-US" w:eastAsia="zh-CN" w:bidi="ar"/>
              </w:rPr>
              <w:t>/h</w:t>
            </w:r>
            <w:r>
              <w:rPr>
                <w:rFonts w:hint="eastAsia" w:ascii="宋体" w:hAnsi="宋体" w:eastAsia="宋体" w:cs="宋体"/>
                <w:i w:val="0"/>
                <w:iCs w:val="0"/>
                <w:color w:val="000000"/>
                <w:kern w:val="0"/>
                <w:sz w:val="18"/>
                <w:szCs w:val="18"/>
                <w:u w:val="none"/>
                <w:lang w:val="en-US" w:eastAsia="zh-CN" w:bidi="ar"/>
              </w:rPr>
              <w:t>，</w:t>
            </w:r>
            <w:r>
              <w:rPr>
                <w:rFonts w:hint="default" w:ascii="Times New Roman" w:hAnsi="Times New Roman" w:eastAsia="宋体" w:cs="Times New Roman"/>
                <w:i w:val="0"/>
                <w:iCs w:val="0"/>
                <w:color w:val="000000"/>
                <w:kern w:val="0"/>
                <w:sz w:val="18"/>
                <w:szCs w:val="18"/>
                <w:u w:val="none"/>
                <w:lang w:val="en-US" w:eastAsia="zh-CN" w:bidi="ar"/>
              </w:rPr>
              <w:t>H=15m</w:t>
            </w:r>
            <w:r>
              <w:rPr>
                <w:rFonts w:hint="eastAsia" w:cs="Times New Roman"/>
                <w:i w:val="0"/>
                <w:iCs w:val="0"/>
                <w:color w:val="000000"/>
                <w:kern w:val="0"/>
                <w:sz w:val="18"/>
                <w:szCs w:val="18"/>
                <w:u w:val="none"/>
                <w:lang w:val="en-US" w:eastAsia="zh-CN" w:bidi="ar"/>
              </w:rPr>
              <w:t>，</w:t>
            </w:r>
            <w:r>
              <w:rPr>
                <w:rFonts w:hint="default" w:ascii="Times New Roman" w:hAnsi="Times New Roman" w:eastAsia="宋体" w:cs="Times New Roman"/>
                <w:i w:val="0"/>
                <w:iCs w:val="0"/>
                <w:color w:val="000000"/>
                <w:kern w:val="0"/>
                <w:sz w:val="18"/>
                <w:szCs w:val="18"/>
                <w:u w:val="none"/>
                <w:lang w:val="en-US" w:eastAsia="zh-CN" w:bidi="ar"/>
              </w:rPr>
              <w:t>N=1.1kw</w:t>
            </w:r>
          </w:p>
        </w:tc>
      </w:tr>
      <w:tr w14:paraId="04F9AAA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4" w:hRule="atLeast"/>
        </w:trPr>
        <w:tc>
          <w:tcPr>
            <w:tcW w:w="322" w:type="pct"/>
            <w:tcBorders>
              <w:top w:val="single" w:color="000000" w:sz="4" w:space="0"/>
              <w:left w:val="single" w:color="000000" w:sz="4" w:space="0"/>
              <w:bottom w:val="single" w:color="000000" w:sz="4" w:space="0"/>
              <w:right w:val="single" w:color="000000" w:sz="4" w:space="0"/>
            </w:tcBorders>
            <w:noWrap/>
            <w:vAlign w:val="center"/>
          </w:tcPr>
          <w:p w14:paraId="71CBBBEE">
            <w:pPr>
              <w:spacing w:line="240" w:lineRule="auto"/>
              <w:ind w:firstLine="0" w:firstLineChars="0"/>
              <w:jc w:val="center"/>
              <w:rPr>
                <w:rFonts w:hint="default" w:ascii="Times New Roman" w:hAnsi="Times New Roman" w:eastAsia="宋体" w:cs="Times New Roman"/>
                <w:i w:val="0"/>
                <w:iCs w:val="0"/>
                <w:color w:val="000000"/>
                <w:sz w:val="20"/>
                <w:szCs w:val="20"/>
                <w:u w:val="none"/>
              </w:rPr>
            </w:pPr>
          </w:p>
        </w:tc>
        <w:tc>
          <w:tcPr>
            <w:tcW w:w="1086" w:type="pct"/>
            <w:tcBorders>
              <w:top w:val="single" w:color="000000" w:sz="4" w:space="0"/>
              <w:left w:val="single" w:color="000000" w:sz="4" w:space="0"/>
              <w:bottom w:val="single" w:color="000000" w:sz="4" w:space="0"/>
              <w:right w:val="single" w:color="000000" w:sz="4" w:space="0"/>
            </w:tcBorders>
            <w:noWrap w:val="0"/>
            <w:vAlign w:val="center"/>
          </w:tcPr>
          <w:p w14:paraId="38B775ED">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18"/>
                <w:szCs w:val="18"/>
                <w:u w:val="none"/>
                <w:lang w:val="en-US" w:eastAsia="zh-CN" w:bidi="ar"/>
              </w:rPr>
              <w:t>电气控制系统</w:t>
            </w:r>
          </w:p>
        </w:tc>
        <w:tc>
          <w:tcPr>
            <w:tcW w:w="1008" w:type="dxa"/>
            <w:tcBorders>
              <w:top w:val="single" w:color="000000" w:sz="4" w:space="0"/>
              <w:left w:val="single" w:color="000000" w:sz="4" w:space="0"/>
              <w:bottom w:val="single" w:color="000000" w:sz="4" w:space="0"/>
              <w:right w:val="single" w:color="000000" w:sz="4" w:space="0"/>
            </w:tcBorders>
            <w:noWrap/>
            <w:vAlign w:val="center"/>
          </w:tcPr>
          <w:p w14:paraId="66A69E6C">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18"/>
                <w:szCs w:val="18"/>
                <w:u w:val="none"/>
                <w:lang w:val="en-US" w:eastAsia="zh-CN" w:bidi="ar"/>
              </w:rPr>
              <w:t>套</w:t>
            </w:r>
          </w:p>
        </w:tc>
        <w:tc>
          <w:tcPr>
            <w:tcW w:w="648" w:type="dxa"/>
            <w:tcBorders>
              <w:top w:val="single" w:color="000000" w:sz="4" w:space="0"/>
              <w:left w:val="single" w:color="000000" w:sz="4" w:space="0"/>
              <w:bottom w:val="single" w:color="000000" w:sz="4" w:space="0"/>
              <w:right w:val="single" w:color="000000" w:sz="4" w:space="0"/>
            </w:tcBorders>
            <w:noWrap/>
            <w:vAlign w:val="center"/>
          </w:tcPr>
          <w:p w14:paraId="3C8E875E">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20"/>
                <w:szCs w:val="20"/>
                <w:u w:val="none"/>
              </w:rPr>
            </w:pPr>
            <w:r>
              <w:rPr>
                <w:rFonts w:hint="default" w:ascii="Times New Roman" w:hAnsi="Times New Roman" w:eastAsia="宋体" w:cs="Times New Roman"/>
                <w:i w:val="0"/>
                <w:iCs w:val="0"/>
                <w:color w:val="000000"/>
                <w:kern w:val="0"/>
                <w:sz w:val="18"/>
                <w:szCs w:val="18"/>
                <w:u w:val="none"/>
                <w:lang w:val="en-US" w:eastAsia="zh-CN" w:bidi="ar"/>
              </w:rPr>
              <w:t xml:space="preserve">1 </w:t>
            </w:r>
          </w:p>
        </w:tc>
        <w:tc>
          <w:tcPr>
            <w:tcW w:w="1487" w:type="dxa"/>
            <w:tcBorders>
              <w:top w:val="single" w:color="000000" w:sz="4" w:space="0"/>
              <w:left w:val="single" w:color="000000" w:sz="4" w:space="0"/>
              <w:bottom w:val="single" w:color="000000" w:sz="4" w:space="0"/>
              <w:right w:val="single" w:color="000000" w:sz="4" w:space="0"/>
            </w:tcBorders>
            <w:noWrap/>
            <w:vAlign w:val="center"/>
          </w:tcPr>
          <w:p w14:paraId="11044257">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20"/>
                <w:szCs w:val="20"/>
                <w:u w:val="none"/>
              </w:rPr>
            </w:pPr>
            <w:r>
              <w:rPr>
                <w:rFonts w:hint="default" w:ascii="Times New Roman" w:hAnsi="Times New Roman" w:eastAsia="宋体" w:cs="Times New Roman"/>
                <w:i w:val="0"/>
                <w:iCs w:val="0"/>
                <w:color w:val="000000"/>
                <w:kern w:val="0"/>
                <w:sz w:val="18"/>
                <w:szCs w:val="18"/>
                <w:u w:val="none"/>
                <w:lang w:val="en-US" w:eastAsia="zh-CN" w:bidi="ar"/>
              </w:rPr>
              <w:t xml:space="preserve">43.00 </w:t>
            </w:r>
          </w:p>
        </w:tc>
        <w:tc>
          <w:tcPr>
            <w:tcW w:w="2977" w:type="dxa"/>
            <w:tcBorders>
              <w:top w:val="single" w:color="000000" w:sz="4" w:space="0"/>
              <w:left w:val="single" w:color="000000" w:sz="4" w:space="0"/>
              <w:bottom w:val="single" w:color="000000" w:sz="4" w:space="0"/>
              <w:right w:val="single" w:color="000000" w:sz="4" w:space="0"/>
            </w:tcBorders>
            <w:noWrap/>
            <w:vAlign w:val="center"/>
          </w:tcPr>
          <w:p w14:paraId="3DD591C6">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含现场柜、</w:t>
            </w:r>
            <w:r>
              <w:rPr>
                <w:rFonts w:hint="default" w:ascii="Times New Roman" w:hAnsi="Times New Roman" w:eastAsia="宋体" w:cs="Times New Roman"/>
                <w:i w:val="0"/>
                <w:iCs w:val="0"/>
                <w:color w:val="000000"/>
                <w:kern w:val="0"/>
                <w:sz w:val="18"/>
                <w:szCs w:val="18"/>
                <w:u w:val="none"/>
                <w:lang w:val="en-US" w:eastAsia="zh-CN" w:bidi="ar"/>
              </w:rPr>
              <w:t>PLC</w:t>
            </w:r>
            <w:r>
              <w:rPr>
                <w:rFonts w:hint="eastAsia" w:ascii="宋体" w:hAnsi="宋体" w:eastAsia="宋体" w:cs="宋体"/>
                <w:i w:val="0"/>
                <w:iCs w:val="0"/>
                <w:color w:val="000000"/>
                <w:kern w:val="0"/>
                <w:sz w:val="18"/>
                <w:szCs w:val="18"/>
                <w:u w:val="none"/>
                <w:lang w:val="en-US" w:eastAsia="zh-CN" w:bidi="ar"/>
              </w:rPr>
              <w:t>等</w:t>
            </w:r>
          </w:p>
        </w:tc>
      </w:tr>
      <w:tr w14:paraId="1109B42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4" w:hRule="atLeast"/>
        </w:trPr>
        <w:tc>
          <w:tcPr>
            <w:tcW w:w="322" w:type="pct"/>
            <w:tcBorders>
              <w:top w:val="single" w:color="000000" w:sz="4" w:space="0"/>
              <w:left w:val="single" w:color="000000" w:sz="4" w:space="0"/>
              <w:bottom w:val="single" w:color="000000" w:sz="4" w:space="0"/>
              <w:right w:val="single" w:color="000000" w:sz="4" w:space="0"/>
            </w:tcBorders>
            <w:noWrap/>
            <w:vAlign w:val="center"/>
          </w:tcPr>
          <w:p w14:paraId="5BC64747">
            <w:pPr>
              <w:spacing w:line="240" w:lineRule="auto"/>
              <w:ind w:firstLine="0" w:firstLineChars="0"/>
              <w:jc w:val="center"/>
              <w:rPr>
                <w:rFonts w:hint="default" w:ascii="Times New Roman" w:hAnsi="Times New Roman" w:eastAsia="宋体" w:cs="Times New Roman"/>
                <w:i w:val="0"/>
                <w:iCs w:val="0"/>
                <w:color w:val="000000"/>
                <w:sz w:val="20"/>
                <w:szCs w:val="20"/>
                <w:u w:val="none"/>
              </w:rPr>
            </w:pPr>
          </w:p>
        </w:tc>
        <w:tc>
          <w:tcPr>
            <w:tcW w:w="1086" w:type="pct"/>
            <w:tcBorders>
              <w:top w:val="single" w:color="000000" w:sz="4" w:space="0"/>
              <w:left w:val="single" w:color="000000" w:sz="4" w:space="0"/>
              <w:bottom w:val="single" w:color="000000" w:sz="4" w:space="0"/>
              <w:right w:val="single" w:color="000000" w:sz="4" w:space="0"/>
            </w:tcBorders>
            <w:noWrap w:val="0"/>
            <w:vAlign w:val="center"/>
          </w:tcPr>
          <w:p w14:paraId="218643D4">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18"/>
                <w:szCs w:val="18"/>
                <w:u w:val="none"/>
                <w:lang w:val="en-US" w:eastAsia="zh-CN" w:bidi="ar"/>
              </w:rPr>
              <w:t>系统仪器仪表</w:t>
            </w:r>
          </w:p>
        </w:tc>
        <w:tc>
          <w:tcPr>
            <w:tcW w:w="1008" w:type="dxa"/>
            <w:tcBorders>
              <w:top w:val="single" w:color="000000" w:sz="4" w:space="0"/>
              <w:left w:val="single" w:color="000000" w:sz="4" w:space="0"/>
              <w:bottom w:val="single" w:color="000000" w:sz="4" w:space="0"/>
              <w:right w:val="single" w:color="000000" w:sz="4" w:space="0"/>
            </w:tcBorders>
            <w:noWrap/>
            <w:vAlign w:val="center"/>
          </w:tcPr>
          <w:p w14:paraId="188FA76A">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18"/>
                <w:szCs w:val="18"/>
                <w:u w:val="none"/>
                <w:lang w:val="en-US" w:eastAsia="zh-CN" w:bidi="ar"/>
              </w:rPr>
              <w:t>套</w:t>
            </w:r>
          </w:p>
        </w:tc>
        <w:tc>
          <w:tcPr>
            <w:tcW w:w="648" w:type="dxa"/>
            <w:tcBorders>
              <w:top w:val="single" w:color="000000" w:sz="4" w:space="0"/>
              <w:left w:val="single" w:color="000000" w:sz="4" w:space="0"/>
              <w:bottom w:val="single" w:color="000000" w:sz="4" w:space="0"/>
              <w:right w:val="single" w:color="000000" w:sz="4" w:space="0"/>
            </w:tcBorders>
            <w:noWrap/>
            <w:vAlign w:val="center"/>
          </w:tcPr>
          <w:p w14:paraId="151D7D7F">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20"/>
                <w:szCs w:val="20"/>
                <w:u w:val="none"/>
              </w:rPr>
            </w:pPr>
            <w:r>
              <w:rPr>
                <w:rFonts w:hint="default" w:ascii="Times New Roman" w:hAnsi="Times New Roman" w:eastAsia="宋体" w:cs="Times New Roman"/>
                <w:i w:val="0"/>
                <w:iCs w:val="0"/>
                <w:color w:val="000000"/>
                <w:kern w:val="0"/>
                <w:sz w:val="18"/>
                <w:szCs w:val="18"/>
                <w:u w:val="none"/>
                <w:lang w:val="en-US" w:eastAsia="zh-CN" w:bidi="ar"/>
              </w:rPr>
              <w:t xml:space="preserve">1 </w:t>
            </w:r>
          </w:p>
        </w:tc>
        <w:tc>
          <w:tcPr>
            <w:tcW w:w="1487" w:type="dxa"/>
            <w:tcBorders>
              <w:top w:val="single" w:color="000000" w:sz="4" w:space="0"/>
              <w:left w:val="single" w:color="000000" w:sz="4" w:space="0"/>
              <w:bottom w:val="single" w:color="000000" w:sz="4" w:space="0"/>
              <w:right w:val="single" w:color="000000" w:sz="4" w:space="0"/>
            </w:tcBorders>
            <w:noWrap/>
            <w:vAlign w:val="center"/>
          </w:tcPr>
          <w:p w14:paraId="4D85624C">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20"/>
                <w:szCs w:val="20"/>
                <w:u w:val="none"/>
              </w:rPr>
            </w:pPr>
            <w:r>
              <w:rPr>
                <w:rFonts w:hint="default" w:ascii="Times New Roman" w:hAnsi="Times New Roman" w:eastAsia="宋体" w:cs="Times New Roman"/>
                <w:i w:val="0"/>
                <w:iCs w:val="0"/>
                <w:color w:val="000000"/>
                <w:kern w:val="0"/>
                <w:sz w:val="18"/>
                <w:szCs w:val="18"/>
                <w:u w:val="none"/>
                <w:lang w:val="en-US" w:eastAsia="zh-CN" w:bidi="ar"/>
              </w:rPr>
              <w:t xml:space="preserve">15.50 </w:t>
            </w:r>
          </w:p>
        </w:tc>
        <w:tc>
          <w:tcPr>
            <w:tcW w:w="2977" w:type="dxa"/>
            <w:tcBorders>
              <w:top w:val="single" w:color="000000" w:sz="4" w:space="0"/>
              <w:left w:val="single" w:color="000000" w:sz="4" w:space="0"/>
              <w:bottom w:val="single" w:color="000000" w:sz="4" w:space="0"/>
              <w:right w:val="single" w:color="000000" w:sz="4" w:space="0"/>
            </w:tcBorders>
            <w:noWrap/>
            <w:vAlign w:val="center"/>
          </w:tcPr>
          <w:p w14:paraId="5B231F2B">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流量计、压力表、</w:t>
            </w:r>
            <w:r>
              <w:rPr>
                <w:rFonts w:hint="default" w:ascii="Times New Roman" w:hAnsi="Times New Roman" w:eastAsia="宋体" w:cs="Times New Roman"/>
                <w:i w:val="0"/>
                <w:iCs w:val="0"/>
                <w:color w:val="000000"/>
                <w:kern w:val="0"/>
                <w:sz w:val="18"/>
                <w:szCs w:val="18"/>
                <w:u w:val="none"/>
                <w:lang w:val="en-US" w:eastAsia="zh-CN" w:bidi="ar"/>
              </w:rPr>
              <w:t>PH</w:t>
            </w:r>
            <w:r>
              <w:rPr>
                <w:rFonts w:hint="eastAsia" w:ascii="宋体" w:hAnsi="宋体" w:eastAsia="宋体" w:cs="宋体"/>
                <w:i w:val="0"/>
                <w:iCs w:val="0"/>
                <w:color w:val="000000"/>
                <w:kern w:val="0"/>
                <w:sz w:val="18"/>
                <w:szCs w:val="18"/>
                <w:u w:val="none"/>
                <w:lang w:val="en-US" w:eastAsia="zh-CN" w:bidi="ar"/>
              </w:rPr>
              <w:t>计、液位计等</w:t>
            </w:r>
          </w:p>
        </w:tc>
      </w:tr>
      <w:tr w14:paraId="687152B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4" w:hRule="atLeast"/>
        </w:trPr>
        <w:tc>
          <w:tcPr>
            <w:tcW w:w="322" w:type="pct"/>
            <w:tcBorders>
              <w:top w:val="single" w:color="000000" w:sz="4" w:space="0"/>
              <w:left w:val="single" w:color="000000" w:sz="4" w:space="0"/>
              <w:bottom w:val="single" w:color="000000" w:sz="4" w:space="0"/>
              <w:right w:val="single" w:color="000000" w:sz="4" w:space="0"/>
            </w:tcBorders>
            <w:noWrap/>
            <w:vAlign w:val="center"/>
          </w:tcPr>
          <w:p w14:paraId="631E40FE">
            <w:pPr>
              <w:spacing w:line="240" w:lineRule="auto"/>
              <w:ind w:firstLine="0" w:firstLineChars="0"/>
              <w:jc w:val="center"/>
              <w:rPr>
                <w:rFonts w:hint="eastAsia" w:ascii="宋体" w:hAnsi="宋体" w:eastAsia="宋体" w:cs="宋体"/>
                <w:b/>
                <w:bCs/>
                <w:i w:val="0"/>
                <w:iCs w:val="0"/>
                <w:color w:val="000000"/>
                <w:sz w:val="20"/>
                <w:szCs w:val="20"/>
                <w:u w:val="none"/>
              </w:rPr>
            </w:pPr>
          </w:p>
        </w:tc>
        <w:tc>
          <w:tcPr>
            <w:tcW w:w="1086" w:type="pct"/>
            <w:tcBorders>
              <w:top w:val="single" w:color="000000" w:sz="4" w:space="0"/>
              <w:left w:val="single" w:color="000000" w:sz="4" w:space="0"/>
              <w:bottom w:val="single" w:color="000000" w:sz="4" w:space="0"/>
              <w:right w:val="single" w:color="000000" w:sz="4" w:space="0"/>
            </w:tcBorders>
            <w:noWrap w:val="0"/>
            <w:vAlign w:val="center"/>
          </w:tcPr>
          <w:p w14:paraId="100CDFCD">
            <w:pPr>
              <w:keepNext w:val="0"/>
              <w:keepLines w:val="0"/>
              <w:widowControl/>
              <w:suppressLineNumbers w:val="0"/>
              <w:spacing w:line="240" w:lineRule="auto"/>
              <w:ind w:firstLine="0" w:firstLineChars="0"/>
              <w:jc w:val="center"/>
              <w:textAlignment w:val="center"/>
              <w:rPr>
                <w:rFonts w:hint="eastAsia" w:ascii="宋体" w:hAnsi="宋体" w:eastAsia="宋体" w:cs="宋体"/>
                <w:b/>
                <w:bCs/>
                <w:i w:val="0"/>
                <w:iCs w:val="0"/>
                <w:color w:val="000000"/>
                <w:sz w:val="20"/>
                <w:szCs w:val="20"/>
                <w:u w:val="none"/>
              </w:rPr>
            </w:pPr>
            <w:r>
              <w:rPr>
                <w:rFonts w:hint="eastAsia" w:ascii="宋体" w:hAnsi="宋体" w:eastAsia="宋体" w:cs="宋体"/>
                <w:i w:val="0"/>
                <w:iCs w:val="0"/>
                <w:color w:val="000000"/>
                <w:kern w:val="0"/>
                <w:sz w:val="18"/>
                <w:szCs w:val="18"/>
                <w:u w:val="none"/>
                <w:lang w:val="en-US" w:eastAsia="zh-CN" w:bidi="ar"/>
              </w:rPr>
              <w:t>系统管阀及配件</w:t>
            </w:r>
          </w:p>
        </w:tc>
        <w:tc>
          <w:tcPr>
            <w:tcW w:w="1008" w:type="dxa"/>
            <w:tcBorders>
              <w:top w:val="single" w:color="000000" w:sz="4" w:space="0"/>
              <w:left w:val="single" w:color="000000" w:sz="4" w:space="0"/>
              <w:bottom w:val="single" w:color="000000" w:sz="4" w:space="0"/>
              <w:right w:val="single" w:color="000000" w:sz="4" w:space="0"/>
            </w:tcBorders>
            <w:noWrap/>
            <w:vAlign w:val="center"/>
          </w:tcPr>
          <w:p w14:paraId="73B86BB8">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b/>
                <w:bCs/>
                <w:i w:val="0"/>
                <w:iCs w:val="0"/>
                <w:color w:val="000000"/>
                <w:sz w:val="20"/>
                <w:szCs w:val="20"/>
                <w:u w:val="none"/>
              </w:rPr>
            </w:pPr>
            <w:r>
              <w:rPr>
                <w:rFonts w:hint="eastAsia" w:ascii="宋体" w:hAnsi="宋体" w:eastAsia="宋体" w:cs="宋体"/>
                <w:i w:val="0"/>
                <w:iCs w:val="0"/>
                <w:color w:val="000000"/>
                <w:kern w:val="0"/>
                <w:sz w:val="18"/>
                <w:szCs w:val="18"/>
                <w:u w:val="none"/>
                <w:lang w:val="en-US" w:eastAsia="zh-CN" w:bidi="ar"/>
              </w:rPr>
              <w:t>套</w:t>
            </w:r>
          </w:p>
        </w:tc>
        <w:tc>
          <w:tcPr>
            <w:tcW w:w="648" w:type="dxa"/>
            <w:tcBorders>
              <w:top w:val="single" w:color="000000" w:sz="4" w:space="0"/>
              <w:left w:val="single" w:color="000000" w:sz="4" w:space="0"/>
              <w:bottom w:val="single" w:color="000000" w:sz="4" w:space="0"/>
              <w:right w:val="single" w:color="000000" w:sz="4" w:space="0"/>
            </w:tcBorders>
            <w:noWrap/>
            <w:vAlign w:val="center"/>
          </w:tcPr>
          <w:p w14:paraId="2601CA26">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b/>
                <w:bCs/>
                <w:i w:val="0"/>
                <w:iCs w:val="0"/>
                <w:color w:val="000000"/>
                <w:sz w:val="20"/>
                <w:szCs w:val="20"/>
                <w:u w:val="none"/>
              </w:rPr>
            </w:pPr>
            <w:r>
              <w:rPr>
                <w:rFonts w:hint="default" w:ascii="Times New Roman" w:hAnsi="Times New Roman" w:eastAsia="宋体" w:cs="Times New Roman"/>
                <w:i w:val="0"/>
                <w:iCs w:val="0"/>
                <w:color w:val="000000"/>
                <w:kern w:val="0"/>
                <w:sz w:val="18"/>
                <w:szCs w:val="18"/>
                <w:u w:val="none"/>
                <w:lang w:val="en-US" w:eastAsia="zh-CN" w:bidi="ar"/>
              </w:rPr>
              <w:t xml:space="preserve">1 </w:t>
            </w:r>
          </w:p>
        </w:tc>
        <w:tc>
          <w:tcPr>
            <w:tcW w:w="1487" w:type="dxa"/>
            <w:tcBorders>
              <w:top w:val="single" w:color="000000" w:sz="4" w:space="0"/>
              <w:left w:val="single" w:color="000000" w:sz="4" w:space="0"/>
              <w:bottom w:val="single" w:color="000000" w:sz="4" w:space="0"/>
              <w:right w:val="single" w:color="000000" w:sz="4" w:space="0"/>
            </w:tcBorders>
            <w:noWrap/>
            <w:vAlign w:val="center"/>
          </w:tcPr>
          <w:p w14:paraId="3E4C1F26">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b/>
                <w:bCs/>
                <w:i w:val="0"/>
                <w:iCs w:val="0"/>
                <w:color w:val="000000"/>
                <w:sz w:val="20"/>
                <w:szCs w:val="20"/>
                <w:u w:val="none"/>
              </w:rPr>
            </w:pPr>
            <w:r>
              <w:rPr>
                <w:rFonts w:hint="default" w:ascii="Times New Roman" w:hAnsi="Times New Roman" w:eastAsia="宋体" w:cs="Times New Roman"/>
                <w:i w:val="0"/>
                <w:iCs w:val="0"/>
                <w:color w:val="000000"/>
                <w:kern w:val="0"/>
                <w:sz w:val="18"/>
                <w:szCs w:val="18"/>
                <w:u w:val="none"/>
                <w:lang w:val="en-US" w:eastAsia="zh-CN" w:bidi="ar"/>
              </w:rPr>
              <w:t xml:space="preserve">15.50 </w:t>
            </w:r>
          </w:p>
        </w:tc>
        <w:tc>
          <w:tcPr>
            <w:tcW w:w="2977" w:type="dxa"/>
            <w:tcBorders>
              <w:top w:val="single" w:color="000000" w:sz="4" w:space="0"/>
              <w:left w:val="single" w:color="000000" w:sz="4" w:space="0"/>
              <w:bottom w:val="single" w:color="000000" w:sz="4" w:space="0"/>
              <w:right w:val="single" w:color="000000" w:sz="4" w:space="0"/>
            </w:tcBorders>
            <w:noWrap/>
            <w:vAlign w:val="center"/>
          </w:tcPr>
          <w:p w14:paraId="0EF75920">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b/>
                <w:bCs/>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含保温防腐</w:t>
            </w:r>
          </w:p>
        </w:tc>
      </w:tr>
      <w:tr w14:paraId="03FD658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4" w:hRule="atLeast"/>
        </w:trPr>
        <w:tc>
          <w:tcPr>
            <w:tcW w:w="322" w:type="pct"/>
            <w:tcBorders>
              <w:top w:val="single" w:color="000000" w:sz="4" w:space="0"/>
              <w:left w:val="single" w:color="000000" w:sz="4" w:space="0"/>
              <w:bottom w:val="single" w:color="000000" w:sz="4" w:space="0"/>
              <w:right w:val="single" w:color="000000" w:sz="4" w:space="0"/>
            </w:tcBorders>
            <w:noWrap/>
            <w:vAlign w:val="center"/>
          </w:tcPr>
          <w:p w14:paraId="03AEF1C7">
            <w:pPr>
              <w:spacing w:line="240" w:lineRule="auto"/>
              <w:ind w:firstLine="0" w:firstLineChars="0"/>
              <w:jc w:val="center"/>
              <w:rPr>
                <w:rFonts w:hint="default" w:ascii="Times New Roman" w:hAnsi="Times New Roman" w:eastAsia="宋体" w:cs="Times New Roman"/>
                <w:i w:val="0"/>
                <w:iCs w:val="0"/>
                <w:color w:val="000000"/>
                <w:sz w:val="20"/>
                <w:szCs w:val="20"/>
                <w:u w:val="none"/>
              </w:rPr>
            </w:pPr>
          </w:p>
        </w:tc>
        <w:tc>
          <w:tcPr>
            <w:tcW w:w="1086" w:type="pct"/>
            <w:tcBorders>
              <w:top w:val="single" w:color="000000" w:sz="4" w:space="0"/>
              <w:left w:val="single" w:color="000000" w:sz="4" w:space="0"/>
              <w:bottom w:val="single" w:color="000000" w:sz="4" w:space="0"/>
              <w:right w:val="single" w:color="000000" w:sz="4" w:space="0"/>
            </w:tcBorders>
            <w:noWrap w:val="0"/>
            <w:vAlign w:val="center"/>
          </w:tcPr>
          <w:p w14:paraId="03CE3201">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系统电缆桥架</w:t>
            </w:r>
          </w:p>
        </w:tc>
        <w:tc>
          <w:tcPr>
            <w:tcW w:w="1008" w:type="dxa"/>
            <w:tcBorders>
              <w:top w:val="single" w:color="000000" w:sz="4" w:space="0"/>
              <w:left w:val="single" w:color="000000" w:sz="4" w:space="0"/>
              <w:bottom w:val="single" w:color="000000" w:sz="4" w:space="0"/>
              <w:right w:val="single" w:color="000000" w:sz="4" w:space="0"/>
            </w:tcBorders>
            <w:noWrap/>
            <w:vAlign w:val="center"/>
          </w:tcPr>
          <w:p w14:paraId="133C0C59">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20"/>
                <w:szCs w:val="20"/>
                <w:u w:val="none"/>
              </w:rPr>
            </w:pPr>
            <w:r>
              <w:rPr>
                <w:rFonts w:hint="eastAsia" w:ascii="宋体" w:hAnsi="宋体" w:eastAsia="宋体" w:cs="宋体"/>
                <w:i w:val="0"/>
                <w:iCs w:val="0"/>
                <w:color w:val="000000"/>
                <w:kern w:val="0"/>
                <w:sz w:val="18"/>
                <w:szCs w:val="18"/>
                <w:u w:val="none"/>
                <w:lang w:val="en-US" w:eastAsia="zh-CN" w:bidi="ar"/>
              </w:rPr>
              <w:t>套</w:t>
            </w:r>
          </w:p>
        </w:tc>
        <w:tc>
          <w:tcPr>
            <w:tcW w:w="648" w:type="dxa"/>
            <w:tcBorders>
              <w:top w:val="single" w:color="000000" w:sz="4" w:space="0"/>
              <w:left w:val="single" w:color="000000" w:sz="4" w:space="0"/>
              <w:bottom w:val="single" w:color="000000" w:sz="4" w:space="0"/>
              <w:right w:val="single" w:color="000000" w:sz="4" w:space="0"/>
            </w:tcBorders>
            <w:noWrap/>
            <w:vAlign w:val="center"/>
          </w:tcPr>
          <w:p w14:paraId="6CD3218C">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20"/>
                <w:szCs w:val="20"/>
                <w:u w:val="none"/>
              </w:rPr>
            </w:pPr>
            <w:r>
              <w:rPr>
                <w:rFonts w:hint="default" w:ascii="Times New Roman" w:hAnsi="Times New Roman" w:eastAsia="宋体" w:cs="Times New Roman"/>
                <w:i w:val="0"/>
                <w:iCs w:val="0"/>
                <w:color w:val="000000"/>
                <w:kern w:val="0"/>
                <w:sz w:val="18"/>
                <w:szCs w:val="18"/>
                <w:u w:val="none"/>
                <w:lang w:val="en-US" w:eastAsia="zh-CN" w:bidi="ar"/>
              </w:rPr>
              <w:t xml:space="preserve">1 </w:t>
            </w:r>
          </w:p>
        </w:tc>
        <w:tc>
          <w:tcPr>
            <w:tcW w:w="1487" w:type="dxa"/>
            <w:tcBorders>
              <w:top w:val="single" w:color="000000" w:sz="4" w:space="0"/>
              <w:left w:val="single" w:color="000000" w:sz="4" w:space="0"/>
              <w:bottom w:val="single" w:color="000000" w:sz="4" w:space="0"/>
              <w:right w:val="single" w:color="000000" w:sz="4" w:space="0"/>
            </w:tcBorders>
            <w:noWrap/>
            <w:vAlign w:val="center"/>
          </w:tcPr>
          <w:p w14:paraId="6050053C">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20"/>
                <w:szCs w:val="20"/>
                <w:u w:val="none"/>
              </w:rPr>
            </w:pPr>
            <w:r>
              <w:rPr>
                <w:rFonts w:hint="default" w:ascii="Times New Roman" w:hAnsi="Times New Roman" w:eastAsia="宋体" w:cs="Times New Roman"/>
                <w:i w:val="0"/>
                <w:iCs w:val="0"/>
                <w:color w:val="000000"/>
                <w:kern w:val="0"/>
                <w:sz w:val="18"/>
                <w:szCs w:val="18"/>
                <w:u w:val="none"/>
                <w:lang w:val="en-US" w:eastAsia="zh-CN" w:bidi="ar"/>
              </w:rPr>
              <w:t xml:space="preserve">11.00 </w:t>
            </w:r>
          </w:p>
        </w:tc>
        <w:tc>
          <w:tcPr>
            <w:tcW w:w="2977" w:type="dxa"/>
            <w:tcBorders>
              <w:top w:val="single" w:color="000000" w:sz="4" w:space="0"/>
              <w:left w:val="single" w:color="000000" w:sz="4" w:space="0"/>
              <w:bottom w:val="single" w:color="000000" w:sz="4" w:space="0"/>
              <w:right w:val="single" w:color="000000" w:sz="4" w:space="0"/>
            </w:tcBorders>
            <w:noWrap/>
            <w:vAlign w:val="center"/>
          </w:tcPr>
          <w:p w14:paraId="125A0085">
            <w:pPr>
              <w:spacing w:line="240" w:lineRule="auto"/>
              <w:ind w:firstLine="0" w:firstLineChars="0"/>
              <w:jc w:val="center"/>
              <w:rPr>
                <w:rFonts w:hint="default" w:ascii="Times New Roman" w:hAnsi="Times New Roman" w:eastAsia="宋体" w:cs="Times New Roman"/>
                <w:i w:val="0"/>
                <w:iCs w:val="0"/>
                <w:color w:val="000000"/>
                <w:sz w:val="18"/>
                <w:szCs w:val="18"/>
                <w:u w:val="none"/>
              </w:rPr>
            </w:pPr>
          </w:p>
        </w:tc>
      </w:tr>
      <w:tr w14:paraId="21BD226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4" w:hRule="atLeast"/>
        </w:trPr>
        <w:tc>
          <w:tcPr>
            <w:tcW w:w="322" w:type="pct"/>
            <w:tcBorders>
              <w:top w:val="single" w:color="000000" w:sz="4" w:space="0"/>
              <w:left w:val="single" w:color="000000" w:sz="4" w:space="0"/>
              <w:bottom w:val="single" w:color="000000" w:sz="4" w:space="0"/>
              <w:right w:val="single" w:color="000000" w:sz="4" w:space="0"/>
            </w:tcBorders>
            <w:noWrap/>
            <w:vAlign w:val="center"/>
          </w:tcPr>
          <w:p w14:paraId="31384545">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20"/>
                <w:szCs w:val="20"/>
                <w:u w:val="none"/>
              </w:rPr>
            </w:pPr>
            <w:r>
              <w:rPr>
                <w:rFonts w:hint="eastAsia" w:ascii="宋体" w:hAnsi="宋体" w:eastAsia="宋体" w:cs="宋体"/>
                <w:i w:val="0"/>
                <w:iCs w:val="0"/>
                <w:color w:val="000000"/>
                <w:kern w:val="0"/>
                <w:sz w:val="18"/>
                <w:szCs w:val="18"/>
                <w:u w:val="none"/>
                <w:lang w:val="en-US" w:eastAsia="zh-CN" w:bidi="ar"/>
              </w:rPr>
              <w:t>三</w:t>
            </w:r>
          </w:p>
        </w:tc>
        <w:tc>
          <w:tcPr>
            <w:tcW w:w="1086" w:type="pct"/>
            <w:tcBorders>
              <w:top w:val="single" w:color="000000" w:sz="4" w:space="0"/>
              <w:left w:val="single" w:color="000000" w:sz="4" w:space="0"/>
              <w:bottom w:val="single" w:color="000000" w:sz="4" w:space="0"/>
              <w:right w:val="single" w:color="000000" w:sz="4" w:space="0"/>
            </w:tcBorders>
            <w:noWrap w:val="0"/>
            <w:vAlign w:val="center"/>
          </w:tcPr>
          <w:p w14:paraId="59C8647F">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渗滤液设备</w:t>
            </w:r>
          </w:p>
        </w:tc>
        <w:tc>
          <w:tcPr>
            <w:tcW w:w="1008" w:type="dxa"/>
            <w:tcBorders>
              <w:top w:val="single" w:color="000000" w:sz="4" w:space="0"/>
              <w:left w:val="single" w:color="000000" w:sz="4" w:space="0"/>
              <w:bottom w:val="single" w:color="000000" w:sz="4" w:space="0"/>
              <w:right w:val="single" w:color="000000" w:sz="4" w:space="0"/>
            </w:tcBorders>
            <w:noWrap/>
            <w:vAlign w:val="center"/>
          </w:tcPr>
          <w:p w14:paraId="1678FD47">
            <w:pPr>
              <w:spacing w:line="240" w:lineRule="auto"/>
              <w:ind w:firstLine="0" w:firstLineChars="0"/>
              <w:jc w:val="center"/>
              <w:rPr>
                <w:rFonts w:hint="default" w:ascii="Times New Roman" w:hAnsi="Times New Roman" w:eastAsia="宋体" w:cs="Times New Roman"/>
                <w:i w:val="0"/>
                <w:iCs w:val="0"/>
                <w:color w:val="000000"/>
                <w:sz w:val="20"/>
                <w:szCs w:val="20"/>
                <w:u w:val="none"/>
              </w:rPr>
            </w:pPr>
          </w:p>
        </w:tc>
        <w:tc>
          <w:tcPr>
            <w:tcW w:w="648" w:type="dxa"/>
            <w:tcBorders>
              <w:top w:val="single" w:color="000000" w:sz="4" w:space="0"/>
              <w:left w:val="single" w:color="000000" w:sz="4" w:space="0"/>
              <w:bottom w:val="single" w:color="000000" w:sz="4" w:space="0"/>
              <w:right w:val="single" w:color="000000" w:sz="4" w:space="0"/>
            </w:tcBorders>
            <w:noWrap/>
            <w:vAlign w:val="center"/>
          </w:tcPr>
          <w:p w14:paraId="4AFCDB65">
            <w:pPr>
              <w:spacing w:line="240" w:lineRule="auto"/>
              <w:ind w:firstLine="0" w:firstLineChars="0"/>
              <w:jc w:val="center"/>
              <w:rPr>
                <w:rFonts w:hint="default" w:ascii="Times New Roman" w:hAnsi="Times New Roman" w:eastAsia="宋体" w:cs="Times New Roman"/>
                <w:i w:val="0"/>
                <w:iCs w:val="0"/>
                <w:color w:val="000000"/>
                <w:sz w:val="20"/>
                <w:szCs w:val="20"/>
                <w:u w:val="none"/>
              </w:rPr>
            </w:pPr>
          </w:p>
        </w:tc>
        <w:tc>
          <w:tcPr>
            <w:tcW w:w="1487" w:type="dxa"/>
            <w:tcBorders>
              <w:top w:val="single" w:color="000000" w:sz="4" w:space="0"/>
              <w:left w:val="single" w:color="000000" w:sz="4" w:space="0"/>
              <w:bottom w:val="single" w:color="000000" w:sz="4" w:space="0"/>
              <w:right w:val="single" w:color="000000" w:sz="4" w:space="0"/>
            </w:tcBorders>
            <w:noWrap/>
            <w:vAlign w:val="center"/>
          </w:tcPr>
          <w:p w14:paraId="2478A04C">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20"/>
                <w:szCs w:val="20"/>
                <w:u w:val="none"/>
              </w:rPr>
            </w:pPr>
            <w:r>
              <w:rPr>
                <w:rFonts w:hint="default" w:ascii="Times New Roman" w:hAnsi="Times New Roman" w:eastAsia="宋体" w:cs="Times New Roman"/>
                <w:i w:val="0"/>
                <w:iCs w:val="0"/>
                <w:color w:val="000000"/>
                <w:kern w:val="0"/>
                <w:sz w:val="18"/>
                <w:szCs w:val="18"/>
                <w:u w:val="none"/>
                <w:lang w:val="en-US" w:eastAsia="zh-CN" w:bidi="ar"/>
              </w:rPr>
              <w:t xml:space="preserve">361.30 </w:t>
            </w:r>
          </w:p>
        </w:tc>
        <w:tc>
          <w:tcPr>
            <w:tcW w:w="2977" w:type="dxa"/>
            <w:tcBorders>
              <w:top w:val="single" w:color="000000" w:sz="4" w:space="0"/>
              <w:left w:val="single" w:color="000000" w:sz="4" w:space="0"/>
              <w:bottom w:val="single" w:color="000000" w:sz="4" w:space="0"/>
              <w:right w:val="single" w:color="000000" w:sz="4" w:space="0"/>
            </w:tcBorders>
            <w:noWrap/>
            <w:vAlign w:val="center"/>
          </w:tcPr>
          <w:p w14:paraId="49564663">
            <w:pPr>
              <w:spacing w:line="240" w:lineRule="auto"/>
              <w:ind w:firstLine="0" w:firstLineChars="0"/>
              <w:jc w:val="center"/>
              <w:rPr>
                <w:rFonts w:hint="default" w:ascii="Times New Roman" w:hAnsi="Times New Roman" w:eastAsia="宋体" w:cs="Times New Roman"/>
                <w:i w:val="0"/>
                <w:iCs w:val="0"/>
                <w:color w:val="000000"/>
                <w:sz w:val="18"/>
                <w:szCs w:val="18"/>
                <w:u w:val="none"/>
              </w:rPr>
            </w:pPr>
          </w:p>
        </w:tc>
      </w:tr>
      <w:tr w14:paraId="7CF86DC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4" w:hRule="atLeast"/>
        </w:trPr>
        <w:tc>
          <w:tcPr>
            <w:tcW w:w="322" w:type="pct"/>
            <w:tcBorders>
              <w:top w:val="single" w:color="000000" w:sz="4" w:space="0"/>
              <w:left w:val="single" w:color="000000" w:sz="4" w:space="0"/>
              <w:bottom w:val="single" w:color="000000" w:sz="4" w:space="0"/>
              <w:right w:val="single" w:color="000000" w:sz="4" w:space="0"/>
            </w:tcBorders>
            <w:noWrap/>
            <w:vAlign w:val="center"/>
          </w:tcPr>
          <w:p w14:paraId="06EE4FE8">
            <w:pPr>
              <w:spacing w:line="240" w:lineRule="auto"/>
              <w:ind w:firstLine="0" w:firstLineChars="0"/>
              <w:jc w:val="center"/>
              <w:rPr>
                <w:rFonts w:hint="default" w:ascii="Times New Roman" w:hAnsi="Times New Roman" w:eastAsia="宋体" w:cs="Times New Roman"/>
                <w:i w:val="0"/>
                <w:iCs w:val="0"/>
                <w:color w:val="000000"/>
                <w:kern w:val="0"/>
                <w:sz w:val="20"/>
                <w:szCs w:val="20"/>
                <w:u w:val="none"/>
                <w:lang w:val="en-US" w:eastAsia="zh-CN" w:bidi="ar"/>
              </w:rPr>
            </w:pPr>
          </w:p>
        </w:tc>
        <w:tc>
          <w:tcPr>
            <w:tcW w:w="1086" w:type="pct"/>
            <w:tcBorders>
              <w:top w:val="single" w:color="000000" w:sz="4" w:space="0"/>
              <w:left w:val="single" w:color="000000" w:sz="4" w:space="0"/>
              <w:bottom w:val="single" w:color="000000" w:sz="4" w:space="0"/>
              <w:right w:val="single" w:color="000000" w:sz="4" w:space="0"/>
            </w:tcBorders>
            <w:noWrap w:val="0"/>
            <w:vAlign w:val="center"/>
          </w:tcPr>
          <w:p w14:paraId="266EED39">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kern w:val="0"/>
                <w:sz w:val="18"/>
                <w:szCs w:val="18"/>
                <w:u w:val="none"/>
                <w:lang w:val="en-US" w:eastAsia="zh-CN" w:bidi="ar"/>
              </w:rPr>
            </w:pPr>
            <w:r>
              <w:rPr>
                <w:rFonts w:hint="eastAsia" w:ascii="宋体" w:hAnsi="宋体" w:eastAsia="宋体" w:cs="宋体"/>
                <w:i w:val="0"/>
                <w:iCs w:val="0"/>
                <w:color w:val="000000"/>
                <w:kern w:val="0"/>
                <w:sz w:val="18"/>
                <w:szCs w:val="18"/>
                <w:u w:val="none"/>
                <w:lang w:val="en-US" w:eastAsia="zh-CN" w:bidi="ar"/>
              </w:rPr>
              <w:t>全自动破碎机</w:t>
            </w:r>
          </w:p>
        </w:tc>
        <w:tc>
          <w:tcPr>
            <w:tcW w:w="1008" w:type="dxa"/>
            <w:tcBorders>
              <w:top w:val="single" w:color="000000" w:sz="4" w:space="0"/>
              <w:left w:val="single" w:color="000000" w:sz="4" w:space="0"/>
              <w:bottom w:val="single" w:color="000000" w:sz="4" w:space="0"/>
              <w:right w:val="single" w:color="000000" w:sz="4" w:space="0"/>
            </w:tcBorders>
            <w:noWrap/>
            <w:vAlign w:val="center"/>
          </w:tcPr>
          <w:p w14:paraId="2459483C">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18"/>
                <w:szCs w:val="18"/>
                <w:u w:val="none"/>
                <w:lang w:val="en-US" w:eastAsia="zh-CN" w:bidi="ar"/>
              </w:rPr>
              <w:t>批</w:t>
            </w:r>
          </w:p>
        </w:tc>
        <w:tc>
          <w:tcPr>
            <w:tcW w:w="648" w:type="dxa"/>
            <w:tcBorders>
              <w:top w:val="single" w:color="000000" w:sz="4" w:space="0"/>
              <w:left w:val="single" w:color="000000" w:sz="4" w:space="0"/>
              <w:bottom w:val="single" w:color="000000" w:sz="4" w:space="0"/>
              <w:right w:val="single" w:color="000000" w:sz="4" w:space="0"/>
            </w:tcBorders>
            <w:noWrap/>
            <w:vAlign w:val="center"/>
          </w:tcPr>
          <w:p w14:paraId="2222DB1E">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kern w:val="0"/>
                <w:sz w:val="20"/>
                <w:szCs w:val="20"/>
                <w:u w:val="none"/>
                <w:lang w:val="en-US" w:eastAsia="zh-CN" w:bidi="ar"/>
              </w:rPr>
            </w:pPr>
            <w:r>
              <w:rPr>
                <w:rFonts w:hint="default" w:ascii="Times New Roman" w:hAnsi="Times New Roman" w:eastAsia="宋体" w:cs="Times New Roman"/>
                <w:i w:val="0"/>
                <w:iCs w:val="0"/>
                <w:color w:val="000000"/>
                <w:kern w:val="0"/>
                <w:sz w:val="18"/>
                <w:szCs w:val="18"/>
                <w:u w:val="none"/>
                <w:lang w:val="en-US" w:eastAsia="zh-CN" w:bidi="ar"/>
              </w:rPr>
              <w:t xml:space="preserve">1.00 </w:t>
            </w:r>
          </w:p>
        </w:tc>
        <w:tc>
          <w:tcPr>
            <w:tcW w:w="1487" w:type="dxa"/>
            <w:tcBorders>
              <w:top w:val="single" w:color="000000" w:sz="4" w:space="0"/>
              <w:left w:val="single" w:color="000000" w:sz="4" w:space="0"/>
              <w:bottom w:val="single" w:color="000000" w:sz="4" w:space="0"/>
              <w:right w:val="single" w:color="000000" w:sz="4" w:space="0"/>
            </w:tcBorders>
            <w:noWrap/>
            <w:vAlign w:val="center"/>
          </w:tcPr>
          <w:p w14:paraId="096C8066">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kern w:val="0"/>
                <w:sz w:val="20"/>
                <w:szCs w:val="20"/>
                <w:u w:val="none"/>
                <w:lang w:val="en-US" w:eastAsia="zh-CN" w:bidi="ar"/>
              </w:rPr>
            </w:pPr>
            <w:r>
              <w:rPr>
                <w:rFonts w:hint="default" w:ascii="Times New Roman" w:hAnsi="Times New Roman" w:eastAsia="宋体" w:cs="Times New Roman"/>
                <w:i w:val="0"/>
                <w:iCs w:val="0"/>
                <w:color w:val="000000"/>
                <w:kern w:val="0"/>
                <w:sz w:val="18"/>
                <w:szCs w:val="18"/>
                <w:u w:val="none"/>
                <w:lang w:val="en-US" w:eastAsia="zh-CN" w:bidi="ar"/>
              </w:rPr>
              <w:t xml:space="preserve">325.30 </w:t>
            </w:r>
          </w:p>
        </w:tc>
        <w:tc>
          <w:tcPr>
            <w:tcW w:w="2977" w:type="dxa"/>
            <w:tcBorders>
              <w:top w:val="single" w:color="000000" w:sz="4" w:space="0"/>
              <w:left w:val="single" w:color="000000" w:sz="4" w:space="0"/>
              <w:bottom w:val="single" w:color="000000" w:sz="4" w:space="0"/>
              <w:right w:val="single" w:color="000000" w:sz="4" w:space="0"/>
            </w:tcBorders>
            <w:noWrap/>
            <w:vAlign w:val="center"/>
          </w:tcPr>
          <w:p w14:paraId="4146DF46">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color w:val="000000"/>
                <w:kern w:val="0"/>
                <w:sz w:val="18"/>
                <w:szCs w:val="18"/>
                <w:u w:val="none"/>
                <w:lang w:val="en-US" w:eastAsia="zh-CN" w:bidi="ar"/>
              </w:rPr>
              <w:t>≤90t/h</w:t>
            </w:r>
          </w:p>
        </w:tc>
      </w:tr>
      <w:tr w14:paraId="1C8265F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4" w:hRule="atLeast"/>
        </w:trPr>
        <w:tc>
          <w:tcPr>
            <w:tcW w:w="322" w:type="pct"/>
            <w:tcBorders>
              <w:top w:val="single" w:color="000000" w:sz="4" w:space="0"/>
              <w:left w:val="single" w:color="000000" w:sz="4" w:space="0"/>
              <w:bottom w:val="single" w:color="000000" w:sz="4" w:space="0"/>
              <w:right w:val="single" w:color="000000" w:sz="4" w:space="0"/>
            </w:tcBorders>
            <w:noWrap/>
            <w:vAlign w:val="center"/>
          </w:tcPr>
          <w:p w14:paraId="0A9402F1">
            <w:pPr>
              <w:spacing w:line="240" w:lineRule="auto"/>
              <w:ind w:firstLine="0" w:firstLineChars="0"/>
              <w:jc w:val="center"/>
              <w:rPr>
                <w:rFonts w:hint="default" w:ascii="Times New Roman" w:hAnsi="Times New Roman" w:eastAsia="宋体" w:cs="Times New Roman"/>
                <w:i w:val="0"/>
                <w:iCs w:val="0"/>
                <w:color w:val="000000"/>
                <w:kern w:val="0"/>
                <w:sz w:val="20"/>
                <w:szCs w:val="20"/>
                <w:u w:val="none"/>
                <w:lang w:val="en-US" w:eastAsia="zh-CN" w:bidi="ar"/>
              </w:rPr>
            </w:pPr>
          </w:p>
        </w:tc>
        <w:tc>
          <w:tcPr>
            <w:tcW w:w="1086" w:type="pct"/>
            <w:tcBorders>
              <w:top w:val="single" w:color="000000" w:sz="4" w:space="0"/>
              <w:left w:val="single" w:color="000000" w:sz="4" w:space="0"/>
              <w:bottom w:val="single" w:color="000000" w:sz="4" w:space="0"/>
              <w:right w:val="single" w:color="000000" w:sz="4" w:space="0"/>
            </w:tcBorders>
            <w:noWrap w:val="0"/>
            <w:vAlign w:val="center"/>
          </w:tcPr>
          <w:p w14:paraId="185BD520">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kern w:val="0"/>
                <w:sz w:val="18"/>
                <w:szCs w:val="18"/>
                <w:u w:val="none"/>
                <w:lang w:val="en-US" w:eastAsia="zh-CN" w:bidi="ar"/>
              </w:rPr>
            </w:pPr>
            <w:r>
              <w:rPr>
                <w:rFonts w:hint="eastAsia" w:ascii="宋体" w:hAnsi="宋体" w:eastAsia="宋体" w:cs="宋体"/>
                <w:i w:val="0"/>
                <w:iCs w:val="0"/>
                <w:color w:val="000000"/>
                <w:kern w:val="0"/>
                <w:sz w:val="18"/>
                <w:szCs w:val="18"/>
                <w:u w:val="none"/>
                <w:lang w:val="en-US" w:eastAsia="zh-CN" w:bidi="ar"/>
              </w:rPr>
              <w:t>垃圾运输车辆</w:t>
            </w:r>
          </w:p>
        </w:tc>
        <w:tc>
          <w:tcPr>
            <w:tcW w:w="1008" w:type="dxa"/>
            <w:tcBorders>
              <w:top w:val="single" w:color="000000" w:sz="4" w:space="0"/>
              <w:left w:val="single" w:color="000000" w:sz="4" w:space="0"/>
              <w:bottom w:val="single" w:color="000000" w:sz="4" w:space="0"/>
              <w:right w:val="single" w:color="000000" w:sz="4" w:space="0"/>
            </w:tcBorders>
            <w:noWrap/>
            <w:vAlign w:val="center"/>
          </w:tcPr>
          <w:p w14:paraId="021EA599">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18"/>
                <w:szCs w:val="18"/>
                <w:u w:val="none"/>
                <w:lang w:val="en-US" w:eastAsia="zh-CN" w:bidi="ar"/>
              </w:rPr>
              <w:t>辆</w:t>
            </w:r>
          </w:p>
        </w:tc>
        <w:tc>
          <w:tcPr>
            <w:tcW w:w="648" w:type="dxa"/>
            <w:tcBorders>
              <w:top w:val="single" w:color="000000" w:sz="4" w:space="0"/>
              <w:left w:val="single" w:color="000000" w:sz="4" w:space="0"/>
              <w:bottom w:val="single" w:color="000000" w:sz="4" w:space="0"/>
              <w:right w:val="single" w:color="000000" w:sz="4" w:space="0"/>
            </w:tcBorders>
            <w:noWrap/>
            <w:vAlign w:val="center"/>
          </w:tcPr>
          <w:p w14:paraId="0CD60C37">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kern w:val="0"/>
                <w:sz w:val="20"/>
                <w:szCs w:val="20"/>
                <w:u w:val="none"/>
                <w:lang w:val="en-US" w:eastAsia="zh-CN" w:bidi="ar"/>
              </w:rPr>
            </w:pPr>
            <w:r>
              <w:rPr>
                <w:rFonts w:hint="default" w:ascii="Times New Roman" w:hAnsi="Times New Roman" w:eastAsia="宋体" w:cs="Times New Roman"/>
                <w:i w:val="0"/>
                <w:iCs w:val="0"/>
                <w:color w:val="000000"/>
                <w:kern w:val="0"/>
                <w:sz w:val="18"/>
                <w:szCs w:val="18"/>
                <w:u w:val="none"/>
                <w:lang w:val="en-US" w:eastAsia="zh-CN" w:bidi="ar"/>
              </w:rPr>
              <w:t xml:space="preserve">1.00 </w:t>
            </w:r>
          </w:p>
        </w:tc>
        <w:tc>
          <w:tcPr>
            <w:tcW w:w="1487" w:type="dxa"/>
            <w:tcBorders>
              <w:top w:val="single" w:color="000000" w:sz="4" w:space="0"/>
              <w:left w:val="single" w:color="000000" w:sz="4" w:space="0"/>
              <w:bottom w:val="single" w:color="000000" w:sz="4" w:space="0"/>
              <w:right w:val="single" w:color="000000" w:sz="4" w:space="0"/>
            </w:tcBorders>
            <w:noWrap/>
            <w:vAlign w:val="center"/>
          </w:tcPr>
          <w:p w14:paraId="66802938">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kern w:val="0"/>
                <w:sz w:val="20"/>
                <w:szCs w:val="20"/>
                <w:u w:val="none"/>
                <w:lang w:val="en-US" w:eastAsia="zh-CN" w:bidi="ar"/>
              </w:rPr>
            </w:pPr>
            <w:r>
              <w:rPr>
                <w:rFonts w:hint="default" w:ascii="Times New Roman" w:hAnsi="Times New Roman" w:eastAsia="宋体" w:cs="Times New Roman"/>
                <w:i w:val="0"/>
                <w:iCs w:val="0"/>
                <w:color w:val="000000"/>
                <w:kern w:val="0"/>
                <w:sz w:val="18"/>
                <w:szCs w:val="18"/>
                <w:u w:val="none"/>
                <w:lang w:val="en-US" w:eastAsia="zh-CN" w:bidi="ar"/>
              </w:rPr>
              <w:t xml:space="preserve">36.00 </w:t>
            </w:r>
          </w:p>
        </w:tc>
        <w:tc>
          <w:tcPr>
            <w:tcW w:w="2977" w:type="dxa"/>
            <w:tcBorders>
              <w:top w:val="single" w:color="000000" w:sz="4" w:space="0"/>
              <w:left w:val="single" w:color="000000" w:sz="4" w:space="0"/>
              <w:bottom w:val="single" w:color="000000" w:sz="4" w:space="0"/>
              <w:right w:val="single" w:color="000000" w:sz="4" w:space="0"/>
            </w:tcBorders>
            <w:noWrap/>
            <w:vAlign w:val="center"/>
          </w:tcPr>
          <w:p w14:paraId="20D2641E">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color w:val="000000"/>
                <w:kern w:val="0"/>
                <w:sz w:val="18"/>
                <w:szCs w:val="18"/>
                <w:u w:val="none"/>
                <w:lang w:val="en-US" w:eastAsia="zh-CN" w:bidi="ar"/>
              </w:rPr>
              <w:t>4.5</w:t>
            </w:r>
            <w:r>
              <w:rPr>
                <w:rFonts w:hint="eastAsia" w:ascii="宋体" w:hAnsi="宋体" w:eastAsia="宋体" w:cs="宋体"/>
                <w:i w:val="0"/>
                <w:iCs w:val="0"/>
                <w:color w:val="000000"/>
                <w:kern w:val="0"/>
                <w:sz w:val="18"/>
                <w:szCs w:val="18"/>
                <w:u w:val="none"/>
                <w:lang w:val="en-US" w:eastAsia="zh-CN" w:bidi="ar"/>
              </w:rPr>
              <w:t>吨</w:t>
            </w:r>
          </w:p>
        </w:tc>
      </w:tr>
      <w:tr w14:paraId="3A9CA32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4" w:hRule="atLeast"/>
        </w:trPr>
        <w:tc>
          <w:tcPr>
            <w:tcW w:w="322" w:type="pct"/>
            <w:tcBorders>
              <w:top w:val="single" w:color="000000" w:sz="4" w:space="0"/>
              <w:left w:val="single" w:color="000000" w:sz="4" w:space="0"/>
              <w:bottom w:val="single" w:color="000000" w:sz="4" w:space="0"/>
              <w:right w:val="single" w:color="000000" w:sz="4" w:space="0"/>
            </w:tcBorders>
            <w:noWrap/>
            <w:vAlign w:val="center"/>
          </w:tcPr>
          <w:p w14:paraId="2C2ED34D">
            <w:pPr>
              <w:spacing w:line="240" w:lineRule="auto"/>
              <w:ind w:firstLine="0" w:firstLineChars="0"/>
              <w:jc w:val="center"/>
              <w:rPr>
                <w:rFonts w:hint="default" w:ascii="Times New Roman" w:hAnsi="Times New Roman" w:eastAsia="宋体" w:cs="Times New Roman"/>
                <w:i w:val="0"/>
                <w:iCs w:val="0"/>
                <w:color w:val="000000"/>
                <w:kern w:val="0"/>
                <w:sz w:val="20"/>
                <w:szCs w:val="20"/>
                <w:u w:val="none"/>
                <w:lang w:val="en-US" w:eastAsia="zh-CN" w:bidi="ar"/>
              </w:rPr>
            </w:pPr>
          </w:p>
        </w:tc>
        <w:tc>
          <w:tcPr>
            <w:tcW w:w="1086" w:type="pct"/>
            <w:tcBorders>
              <w:top w:val="single" w:color="000000" w:sz="4" w:space="0"/>
              <w:left w:val="single" w:color="000000" w:sz="4" w:space="0"/>
              <w:bottom w:val="single" w:color="000000" w:sz="4" w:space="0"/>
              <w:right w:val="single" w:color="000000" w:sz="4" w:space="0"/>
            </w:tcBorders>
            <w:noWrap w:val="0"/>
            <w:vAlign w:val="center"/>
          </w:tcPr>
          <w:p w14:paraId="226CE43E">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kern w:val="0"/>
                <w:sz w:val="18"/>
                <w:szCs w:val="18"/>
                <w:u w:val="none"/>
                <w:lang w:val="en-US" w:eastAsia="zh-CN" w:bidi="ar"/>
              </w:rPr>
            </w:pPr>
            <w:r>
              <w:rPr>
                <w:rFonts w:hint="default" w:ascii="Times New Roman" w:hAnsi="Times New Roman" w:eastAsia="宋体" w:cs="Times New Roman"/>
                <w:i w:val="0"/>
                <w:iCs w:val="0"/>
                <w:color w:val="000000"/>
                <w:kern w:val="0"/>
                <w:sz w:val="18"/>
                <w:szCs w:val="18"/>
                <w:u w:val="none"/>
                <w:lang w:val="en-US" w:eastAsia="zh-CN" w:bidi="ar"/>
              </w:rPr>
              <w:t>UPVC</w:t>
            </w:r>
            <w:r>
              <w:rPr>
                <w:rFonts w:hint="eastAsia" w:ascii="宋体" w:hAnsi="宋体" w:eastAsia="宋体" w:cs="宋体"/>
                <w:i w:val="0"/>
                <w:iCs w:val="0"/>
                <w:color w:val="000000"/>
                <w:kern w:val="0"/>
                <w:sz w:val="18"/>
                <w:szCs w:val="18"/>
                <w:u w:val="none"/>
                <w:lang w:val="en-US" w:eastAsia="zh-CN" w:bidi="ar"/>
              </w:rPr>
              <w:t>管</w:t>
            </w:r>
          </w:p>
        </w:tc>
        <w:tc>
          <w:tcPr>
            <w:tcW w:w="1008" w:type="dxa"/>
            <w:tcBorders>
              <w:top w:val="single" w:color="000000" w:sz="4" w:space="0"/>
              <w:left w:val="single" w:color="000000" w:sz="4" w:space="0"/>
              <w:bottom w:val="single" w:color="000000" w:sz="4" w:space="0"/>
              <w:right w:val="single" w:color="000000" w:sz="4" w:space="0"/>
            </w:tcBorders>
            <w:noWrap/>
            <w:vAlign w:val="center"/>
          </w:tcPr>
          <w:p w14:paraId="70C4F662">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default" w:ascii="Times New Roman" w:hAnsi="Times New Roman" w:eastAsia="宋体" w:cs="Times New Roman"/>
                <w:i w:val="0"/>
                <w:iCs w:val="0"/>
                <w:color w:val="000000"/>
                <w:kern w:val="0"/>
                <w:sz w:val="18"/>
                <w:szCs w:val="18"/>
                <w:u w:val="none"/>
                <w:lang w:val="en-US" w:eastAsia="zh-CN" w:bidi="ar"/>
              </w:rPr>
              <w:t>m</w:t>
            </w:r>
          </w:p>
        </w:tc>
        <w:tc>
          <w:tcPr>
            <w:tcW w:w="648" w:type="dxa"/>
            <w:tcBorders>
              <w:top w:val="single" w:color="000000" w:sz="4" w:space="0"/>
              <w:left w:val="single" w:color="000000" w:sz="4" w:space="0"/>
              <w:bottom w:val="single" w:color="000000" w:sz="4" w:space="0"/>
              <w:right w:val="single" w:color="000000" w:sz="4" w:space="0"/>
            </w:tcBorders>
            <w:noWrap/>
            <w:vAlign w:val="center"/>
          </w:tcPr>
          <w:p w14:paraId="691CDC66">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kern w:val="0"/>
                <w:sz w:val="20"/>
                <w:szCs w:val="20"/>
                <w:u w:val="none"/>
                <w:lang w:val="en-US" w:eastAsia="zh-CN" w:bidi="ar"/>
              </w:rPr>
            </w:pPr>
            <w:r>
              <w:rPr>
                <w:rFonts w:hint="default" w:ascii="Times New Roman" w:hAnsi="Times New Roman" w:eastAsia="宋体" w:cs="Times New Roman"/>
                <w:i w:val="0"/>
                <w:iCs w:val="0"/>
                <w:color w:val="000000"/>
                <w:kern w:val="0"/>
                <w:sz w:val="18"/>
                <w:szCs w:val="18"/>
                <w:u w:val="none"/>
                <w:lang w:val="en-US" w:eastAsia="zh-CN" w:bidi="ar"/>
              </w:rPr>
              <w:t xml:space="preserve">10.00 </w:t>
            </w:r>
          </w:p>
        </w:tc>
        <w:tc>
          <w:tcPr>
            <w:tcW w:w="1487" w:type="dxa"/>
            <w:tcBorders>
              <w:top w:val="single" w:color="000000" w:sz="4" w:space="0"/>
              <w:left w:val="single" w:color="000000" w:sz="4" w:space="0"/>
              <w:bottom w:val="single" w:color="000000" w:sz="4" w:space="0"/>
              <w:right w:val="single" w:color="000000" w:sz="4" w:space="0"/>
            </w:tcBorders>
            <w:noWrap/>
            <w:vAlign w:val="center"/>
          </w:tcPr>
          <w:p w14:paraId="53AB5EB6">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kern w:val="0"/>
                <w:sz w:val="20"/>
                <w:szCs w:val="20"/>
                <w:u w:val="none"/>
                <w:lang w:val="en-US" w:eastAsia="zh-CN" w:bidi="ar"/>
              </w:rPr>
            </w:pPr>
            <w:r>
              <w:rPr>
                <w:rFonts w:hint="default" w:ascii="Times New Roman" w:hAnsi="Times New Roman" w:eastAsia="宋体" w:cs="Times New Roman"/>
                <w:i w:val="0"/>
                <w:iCs w:val="0"/>
                <w:color w:val="000000"/>
                <w:kern w:val="0"/>
                <w:sz w:val="18"/>
                <w:szCs w:val="18"/>
                <w:u w:val="none"/>
                <w:lang w:val="en-US" w:eastAsia="zh-CN" w:bidi="ar"/>
              </w:rPr>
              <w:t xml:space="preserve">0.08 </w:t>
            </w:r>
          </w:p>
        </w:tc>
        <w:tc>
          <w:tcPr>
            <w:tcW w:w="2977" w:type="dxa"/>
            <w:tcBorders>
              <w:top w:val="single" w:color="000000" w:sz="4" w:space="0"/>
              <w:left w:val="single" w:color="000000" w:sz="4" w:space="0"/>
              <w:bottom w:val="single" w:color="000000" w:sz="4" w:space="0"/>
              <w:right w:val="single" w:color="000000" w:sz="4" w:space="0"/>
            </w:tcBorders>
            <w:noWrap/>
            <w:vAlign w:val="center"/>
          </w:tcPr>
          <w:p w14:paraId="0CE7004E">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color w:val="000000"/>
                <w:kern w:val="0"/>
                <w:sz w:val="18"/>
                <w:szCs w:val="18"/>
                <w:u w:val="none"/>
                <w:lang w:val="en-US" w:eastAsia="zh-CN" w:bidi="ar"/>
              </w:rPr>
              <w:t>DN200</w:t>
            </w:r>
          </w:p>
        </w:tc>
      </w:tr>
      <w:tr w14:paraId="495524E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4" w:hRule="atLeast"/>
        </w:trPr>
        <w:tc>
          <w:tcPr>
            <w:tcW w:w="322" w:type="pct"/>
            <w:tcBorders>
              <w:top w:val="single" w:color="000000" w:sz="4" w:space="0"/>
              <w:left w:val="single" w:color="000000" w:sz="4" w:space="0"/>
              <w:bottom w:val="single" w:color="000000" w:sz="4" w:space="0"/>
              <w:right w:val="single" w:color="000000" w:sz="4" w:space="0"/>
            </w:tcBorders>
            <w:noWrap/>
            <w:vAlign w:val="center"/>
          </w:tcPr>
          <w:p w14:paraId="5E03C410">
            <w:pPr>
              <w:spacing w:line="240" w:lineRule="auto"/>
              <w:ind w:firstLine="0" w:firstLineChars="0"/>
              <w:jc w:val="center"/>
              <w:rPr>
                <w:rFonts w:hint="default" w:ascii="Times New Roman" w:hAnsi="Times New Roman" w:eastAsia="宋体" w:cs="Times New Roman"/>
                <w:i w:val="0"/>
                <w:iCs w:val="0"/>
                <w:color w:val="000000"/>
                <w:kern w:val="0"/>
                <w:sz w:val="20"/>
                <w:szCs w:val="20"/>
                <w:u w:val="none"/>
                <w:lang w:val="en-US" w:eastAsia="zh-CN" w:bidi="ar"/>
              </w:rPr>
            </w:pPr>
          </w:p>
        </w:tc>
        <w:tc>
          <w:tcPr>
            <w:tcW w:w="1086" w:type="pct"/>
            <w:tcBorders>
              <w:top w:val="single" w:color="000000" w:sz="4" w:space="0"/>
              <w:left w:val="single" w:color="000000" w:sz="4" w:space="0"/>
              <w:bottom w:val="single" w:color="000000" w:sz="4" w:space="0"/>
              <w:right w:val="single" w:color="000000" w:sz="4" w:space="0"/>
            </w:tcBorders>
            <w:noWrap w:val="0"/>
            <w:vAlign w:val="center"/>
          </w:tcPr>
          <w:p w14:paraId="7F2DA530">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kern w:val="0"/>
                <w:sz w:val="18"/>
                <w:szCs w:val="18"/>
                <w:u w:val="none"/>
                <w:lang w:val="en-US" w:eastAsia="zh-CN" w:bidi="ar"/>
              </w:rPr>
            </w:pPr>
            <w:r>
              <w:rPr>
                <w:rFonts w:hint="default" w:ascii="Times New Roman" w:hAnsi="Times New Roman" w:eastAsia="宋体" w:cs="Times New Roman"/>
                <w:i w:val="0"/>
                <w:iCs w:val="0"/>
                <w:color w:val="000000"/>
                <w:kern w:val="0"/>
                <w:sz w:val="18"/>
                <w:szCs w:val="18"/>
                <w:u w:val="none"/>
                <w:lang w:val="en-US" w:eastAsia="zh-CN" w:bidi="ar"/>
              </w:rPr>
              <w:t>UPVC</w:t>
            </w:r>
            <w:r>
              <w:rPr>
                <w:rFonts w:hint="eastAsia" w:ascii="宋体" w:hAnsi="宋体" w:eastAsia="宋体" w:cs="宋体"/>
                <w:i w:val="0"/>
                <w:iCs w:val="0"/>
                <w:color w:val="000000"/>
                <w:kern w:val="0"/>
                <w:sz w:val="18"/>
                <w:szCs w:val="18"/>
                <w:u w:val="none"/>
                <w:lang w:val="en-US" w:eastAsia="zh-CN" w:bidi="ar"/>
              </w:rPr>
              <w:t>管</w:t>
            </w:r>
          </w:p>
        </w:tc>
        <w:tc>
          <w:tcPr>
            <w:tcW w:w="1008" w:type="dxa"/>
            <w:tcBorders>
              <w:top w:val="single" w:color="000000" w:sz="4" w:space="0"/>
              <w:left w:val="single" w:color="000000" w:sz="4" w:space="0"/>
              <w:bottom w:val="single" w:color="000000" w:sz="4" w:space="0"/>
              <w:right w:val="single" w:color="000000" w:sz="4" w:space="0"/>
            </w:tcBorders>
            <w:noWrap/>
            <w:vAlign w:val="center"/>
          </w:tcPr>
          <w:p w14:paraId="17B555E9">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default" w:ascii="Times New Roman" w:hAnsi="Times New Roman" w:eastAsia="宋体" w:cs="Times New Roman"/>
                <w:i w:val="0"/>
                <w:iCs w:val="0"/>
                <w:color w:val="000000"/>
                <w:kern w:val="0"/>
                <w:sz w:val="18"/>
                <w:szCs w:val="18"/>
                <w:u w:val="none"/>
                <w:lang w:val="en-US" w:eastAsia="zh-CN" w:bidi="ar"/>
              </w:rPr>
              <w:t>m</w:t>
            </w:r>
          </w:p>
        </w:tc>
        <w:tc>
          <w:tcPr>
            <w:tcW w:w="648" w:type="dxa"/>
            <w:tcBorders>
              <w:top w:val="single" w:color="000000" w:sz="4" w:space="0"/>
              <w:left w:val="single" w:color="000000" w:sz="4" w:space="0"/>
              <w:bottom w:val="single" w:color="000000" w:sz="4" w:space="0"/>
              <w:right w:val="single" w:color="000000" w:sz="4" w:space="0"/>
            </w:tcBorders>
            <w:noWrap/>
            <w:vAlign w:val="center"/>
          </w:tcPr>
          <w:p w14:paraId="63ADB252">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kern w:val="0"/>
                <w:sz w:val="20"/>
                <w:szCs w:val="20"/>
                <w:u w:val="none"/>
                <w:lang w:val="en-US" w:eastAsia="zh-CN" w:bidi="ar"/>
              </w:rPr>
            </w:pPr>
            <w:r>
              <w:rPr>
                <w:rFonts w:hint="default" w:ascii="Times New Roman" w:hAnsi="Times New Roman" w:eastAsia="宋体" w:cs="Times New Roman"/>
                <w:i w:val="0"/>
                <w:iCs w:val="0"/>
                <w:color w:val="000000"/>
                <w:kern w:val="0"/>
                <w:sz w:val="18"/>
                <w:szCs w:val="18"/>
                <w:u w:val="none"/>
                <w:lang w:val="en-US" w:eastAsia="zh-CN" w:bidi="ar"/>
              </w:rPr>
              <w:t xml:space="preserve">15.00 </w:t>
            </w:r>
          </w:p>
        </w:tc>
        <w:tc>
          <w:tcPr>
            <w:tcW w:w="1487" w:type="dxa"/>
            <w:tcBorders>
              <w:top w:val="single" w:color="000000" w:sz="4" w:space="0"/>
              <w:left w:val="single" w:color="000000" w:sz="4" w:space="0"/>
              <w:bottom w:val="single" w:color="000000" w:sz="4" w:space="0"/>
              <w:right w:val="single" w:color="000000" w:sz="4" w:space="0"/>
            </w:tcBorders>
            <w:noWrap/>
            <w:vAlign w:val="center"/>
          </w:tcPr>
          <w:p w14:paraId="5B4E6F10">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kern w:val="0"/>
                <w:sz w:val="20"/>
                <w:szCs w:val="20"/>
                <w:u w:val="none"/>
                <w:lang w:val="en-US" w:eastAsia="zh-CN" w:bidi="ar"/>
              </w:rPr>
            </w:pPr>
            <w:r>
              <w:rPr>
                <w:rFonts w:hint="default" w:ascii="Times New Roman" w:hAnsi="Times New Roman" w:eastAsia="宋体" w:cs="Times New Roman"/>
                <w:i w:val="0"/>
                <w:iCs w:val="0"/>
                <w:color w:val="000000"/>
                <w:kern w:val="0"/>
                <w:sz w:val="18"/>
                <w:szCs w:val="18"/>
                <w:u w:val="none"/>
                <w:lang w:val="en-US" w:eastAsia="zh-CN" w:bidi="ar"/>
              </w:rPr>
              <w:t xml:space="preserve">0.17 </w:t>
            </w:r>
          </w:p>
        </w:tc>
        <w:tc>
          <w:tcPr>
            <w:tcW w:w="2977" w:type="dxa"/>
            <w:tcBorders>
              <w:top w:val="single" w:color="000000" w:sz="4" w:space="0"/>
              <w:left w:val="single" w:color="000000" w:sz="4" w:space="0"/>
              <w:bottom w:val="single" w:color="000000" w:sz="4" w:space="0"/>
              <w:right w:val="single" w:color="000000" w:sz="4" w:space="0"/>
            </w:tcBorders>
            <w:noWrap/>
            <w:vAlign w:val="center"/>
          </w:tcPr>
          <w:p w14:paraId="36F2F97F">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color w:val="000000"/>
                <w:kern w:val="0"/>
                <w:sz w:val="18"/>
                <w:szCs w:val="18"/>
                <w:u w:val="none"/>
                <w:lang w:val="en-US" w:eastAsia="zh-CN" w:bidi="ar"/>
              </w:rPr>
              <w:t>DN300</w:t>
            </w:r>
          </w:p>
        </w:tc>
      </w:tr>
      <w:tr w14:paraId="2DFBC0E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4" w:hRule="atLeast"/>
        </w:trPr>
        <w:tc>
          <w:tcPr>
            <w:tcW w:w="322" w:type="pct"/>
            <w:tcBorders>
              <w:top w:val="single" w:color="000000" w:sz="4" w:space="0"/>
              <w:left w:val="single" w:color="000000" w:sz="4" w:space="0"/>
              <w:bottom w:val="single" w:color="000000" w:sz="4" w:space="0"/>
              <w:right w:val="single" w:color="000000" w:sz="4" w:space="0"/>
            </w:tcBorders>
            <w:noWrap/>
            <w:vAlign w:val="center"/>
          </w:tcPr>
          <w:p w14:paraId="70DCEA06">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kern w:val="0"/>
                <w:sz w:val="20"/>
                <w:szCs w:val="20"/>
                <w:u w:val="none"/>
                <w:lang w:val="en-US" w:eastAsia="zh-CN" w:bidi="ar"/>
              </w:rPr>
            </w:pPr>
            <w:r>
              <w:rPr>
                <w:rFonts w:hint="default" w:ascii="Times New Roman" w:hAnsi="Times New Roman" w:eastAsia="宋体" w:cs="Times New Roman"/>
                <w:b/>
                <w:bCs/>
                <w:i w:val="0"/>
                <w:iCs w:val="0"/>
                <w:color w:val="000000"/>
                <w:kern w:val="0"/>
                <w:sz w:val="18"/>
                <w:szCs w:val="18"/>
                <w:u w:val="none"/>
                <w:lang w:val="en-US" w:eastAsia="zh-CN" w:bidi="ar"/>
              </w:rPr>
              <w:t>Ⅱ</w:t>
            </w:r>
          </w:p>
        </w:tc>
        <w:tc>
          <w:tcPr>
            <w:tcW w:w="1086" w:type="pct"/>
            <w:tcBorders>
              <w:top w:val="single" w:color="000000" w:sz="4" w:space="0"/>
              <w:left w:val="single" w:color="000000" w:sz="4" w:space="0"/>
              <w:bottom w:val="single" w:color="000000" w:sz="4" w:space="0"/>
              <w:right w:val="single" w:color="000000" w:sz="4" w:space="0"/>
            </w:tcBorders>
            <w:noWrap w:val="0"/>
            <w:vAlign w:val="center"/>
          </w:tcPr>
          <w:p w14:paraId="7EA97768">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kern w:val="0"/>
                <w:sz w:val="18"/>
                <w:szCs w:val="18"/>
                <w:u w:val="none"/>
                <w:lang w:val="en-US" w:eastAsia="zh-CN" w:bidi="ar"/>
              </w:rPr>
            </w:pPr>
            <w:r>
              <w:rPr>
                <w:rFonts w:hint="eastAsia" w:ascii="宋体" w:hAnsi="宋体" w:eastAsia="宋体" w:cs="宋体"/>
                <w:b/>
                <w:bCs/>
                <w:i w:val="0"/>
                <w:iCs w:val="0"/>
                <w:color w:val="000000"/>
                <w:kern w:val="0"/>
                <w:sz w:val="18"/>
                <w:szCs w:val="18"/>
                <w:u w:val="none"/>
                <w:lang w:val="en-US" w:eastAsia="zh-CN" w:bidi="ar"/>
              </w:rPr>
              <w:t>自控系统</w:t>
            </w:r>
          </w:p>
        </w:tc>
        <w:tc>
          <w:tcPr>
            <w:tcW w:w="1008" w:type="dxa"/>
            <w:tcBorders>
              <w:top w:val="single" w:color="000000" w:sz="4" w:space="0"/>
              <w:left w:val="single" w:color="000000" w:sz="4" w:space="0"/>
              <w:bottom w:val="single" w:color="000000" w:sz="4" w:space="0"/>
              <w:right w:val="single" w:color="000000" w:sz="4" w:space="0"/>
            </w:tcBorders>
            <w:noWrap/>
            <w:vAlign w:val="center"/>
          </w:tcPr>
          <w:p w14:paraId="65A3E105">
            <w:pPr>
              <w:spacing w:line="240" w:lineRule="auto"/>
              <w:ind w:firstLine="0" w:firstLineChars="0"/>
              <w:jc w:val="center"/>
              <w:rPr>
                <w:rFonts w:hint="eastAsia" w:ascii="宋体" w:hAnsi="宋体" w:eastAsia="宋体" w:cs="宋体"/>
                <w:i w:val="0"/>
                <w:iCs w:val="0"/>
                <w:color w:val="000000"/>
                <w:kern w:val="0"/>
                <w:sz w:val="20"/>
                <w:szCs w:val="20"/>
                <w:u w:val="none"/>
                <w:lang w:val="en-US" w:eastAsia="zh-CN" w:bidi="ar"/>
              </w:rPr>
            </w:pPr>
          </w:p>
        </w:tc>
        <w:tc>
          <w:tcPr>
            <w:tcW w:w="648" w:type="dxa"/>
            <w:tcBorders>
              <w:top w:val="single" w:color="000000" w:sz="4" w:space="0"/>
              <w:left w:val="single" w:color="000000" w:sz="4" w:space="0"/>
              <w:bottom w:val="single" w:color="000000" w:sz="4" w:space="0"/>
              <w:right w:val="single" w:color="000000" w:sz="4" w:space="0"/>
            </w:tcBorders>
            <w:noWrap/>
            <w:vAlign w:val="center"/>
          </w:tcPr>
          <w:p w14:paraId="19935C92">
            <w:pPr>
              <w:spacing w:line="240" w:lineRule="auto"/>
              <w:ind w:firstLine="0" w:firstLineChars="0"/>
              <w:jc w:val="center"/>
              <w:rPr>
                <w:rFonts w:hint="default" w:ascii="Times New Roman" w:hAnsi="Times New Roman" w:eastAsia="宋体" w:cs="Times New Roman"/>
                <w:i w:val="0"/>
                <w:iCs w:val="0"/>
                <w:color w:val="000000"/>
                <w:kern w:val="0"/>
                <w:sz w:val="20"/>
                <w:szCs w:val="20"/>
                <w:u w:val="none"/>
                <w:lang w:val="en-US" w:eastAsia="zh-CN" w:bidi="ar"/>
              </w:rPr>
            </w:pPr>
          </w:p>
        </w:tc>
        <w:tc>
          <w:tcPr>
            <w:tcW w:w="1487" w:type="dxa"/>
            <w:tcBorders>
              <w:top w:val="single" w:color="000000" w:sz="4" w:space="0"/>
              <w:left w:val="single" w:color="000000" w:sz="4" w:space="0"/>
              <w:bottom w:val="single" w:color="000000" w:sz="4" w:space="0"/>
              <w:right w:val="single" w:color="000000" w:sz="4" w:space="0"/>
            </w:tcBorders>
            <w:noWrap/>
            <w:vAlign w:val="center"/>
          </w:tcPr>
          <w:p w14:paraId="01F96BEB">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kern w:val="0"/>
                <w:sz w:val="20"/>
                <w:szCs w:val="20"/>
                <w:u w:val="none"/>
                <w:lang w:val="en-US" w:eastAsia="zh-CN" w:bidi="ar"/>
              </w:rPr>
            </w:pPr>
            <w:r>
              <w:rPr>
                <w:rFonts w:hint="default" w:ascii="Times New Roman" w:hAnsi="Times New Roman" w:eastAsia="宋体" w:cs="Times New Roman"/>
                <w:b/>
                <w:bCs/>
                <w:i w:val="0"/>
                <w:iCs w:val="0"/>
                <w:color w:val="000000"/>
                <w:kern w:val="0"/>
                <w:sz w:val="18"/>
                <w:szCs w:val="18"/>
                <w:u w:val="none"/>
                <w:lang w:val="en-US" w:eastAsia="zh-CN" w:bidi="ar"/>
              </w:rPr>
              <w:t xml:space="preserve">235.00 </w:t>
            </w:r>
          </w:p>
        </w:tc>
        <w:tc>
          <w:tcPr>
            <w:tcW w:w="2977" w:type="dxa"/>
            <w:tcBorders>
              <w:top w:val="single" w:color="000000" w:sz="4" w:space="0"/>
              <w:left w:val="single" w:color="000000" w:sz="4" w:space="0"/>
              <w:bottom w:val="single" w:color="000000" w:sz="4" w:space="0"/>
              <w:right w:val="single" w:color="000000" w:sz="4" w:space="0"/>
            </w:tcBorders>
            <w:noWrap/>
            <w:vAlign w:val="center"/>
          </w:tcPr>
          <w:p w14:paraId="185CA11C">
            <w:pPr>
              <w:spacing w:line="240" w:lineRule="auto"/>
              <w:ind w:firstLine="0" w:firstLineChars="0"/>
              <w:jc w:val="center"/>
              <w:rPr>
                <w:rFonts w:hint="default" w:ascii="Times New Roman" w:hAnsi="Times New Roman" w:eastAsia="宋体" w:cs="Times New Roman"/>
                <w:i w:val="0"/>
                <w:iCs w:val="0"/>
                <w:color w:val="000000"/>
                <w:sz w:val="18"/>
                <w:szCs w:val="18"/>
                <w:u w:val="none"/>
              </w:rPr>
            </w:pPr>
          </w:p>
        </w:tc>
      </w:tr>
      <w:tr w14:paraId="6385815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4" w:hRule="atLeast"/>
        </w:trPr>
        <w:tc>
          <w:tcPr>
            <w:tcW w:w="322" w:type="pct"/>
            <w:tcBorders>
              <w:top w:val="single" w:color="000000" w:sz="4" w:space="0"/>
              <w:left w:val="single" w:color="000000" w:sz="4" w:space="0"/>
              <w:bottom w:val="single" w:color="000000" w:sz="4" w:space="0"/>
              <w:right w:val="single" w:color="000000" w:sz="4" w:space="0"/>
            </w:tcBorders>
            <w:noWrap/>
            <w:vAlign w:val="center"/>
          </w:tcPr>
          <w:p w14:paraId="45D6231C">
            <w:pPr>
              <w:spacing w:line="240" w:lineRule="auto"/>
              <w:ind w:firstLine="0" w:firstLineChars="0"/>
              <w:jc w:val="center"/>
              <w:rPr>
                <w:rFonts w:hint="default" w:ascii="Times New Roman" w:hAnsi="Times New Roman" w:eastAsia="宋体" w:cs="Times New Roman"/>
                <w:i w:val="0"/>
                <w:iCs w:val="0"/>
                <w:color w:val="000000"/>
                <w:kern w:val="0"/>
                <w:sz w:val="20"/>
                <w:szCs w:val="20"/>
                <w:u w:val="none"/>
                <w:lang w:val="en-US" w:eastAsia="zh-CN" w:bidi="ar"/>
              </w:rPr>
            </w:pPr>
          </w:p>
        </w:tc>
        <w:tc>
          <w:tcPr>
            <w:tcW w:w="1086" w:type="pct"/>
            <w:tcBorders>
              <w:top w:val="single" w:color="000000" w:sz="4" w:space="0"/>
              <w:left w:val="single" w:color="000000" w:sz="4" w:space="0"/>
              <w:bottom w:val="single" w:color="000000" w:sz="4" w:space="0"/>
              <w:right w:val="single" w:color="000000" w:sz="4" w:space="0"/>
            </w:tcBorders>
            <w:noWrap w:val="0"/>
            <w:vAlign w:val="center"/>
          </w:tcPr>
          <w:p w14:paraId="025693DD">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kern w:val="0"/>
                <w:sz w:val="18"/>
                <w:szCs w:val="18"/>
                <w:u w:val="none"/>
                <w:lang w:val="en-US" w:eastAsia="zh-CN" w:bidi="ar"/>
              </w:rPr>
            </w:pPr>
            <w:r>
              <w:rPr>
                <w:rFonts w:hint="eastAsia" w:ascii="宋体" w:hAnsi="宋体" w:eastAsia="宋体" w:cs="宋体"/>
                <w:i w:val="0"/>
                <w:iCs w:val="0"/>
                <w:color w:val="000000"/>
                <w:kern w:val="0"/>
                <w:sz w:val="18"/>
                <w:szCs w:val="18"/>
                <w:u w:val="none"/>
                <w:lang w:val="en-US" w:eastAsia="zh-CN" w:bidi="ar"/>
              </w:rPr>
              <w:t>中控系统</w:t>
            </w:r>
          </w:p>
        </w:tc>
        <w:tc>
          <w:tcPr>
            <w:tcW w:w="1008" w:type="dxa"/>
            <w:tcBorders>
              <w:top w:val="single" w:color="000000" w:sz="4" w:space="0"/>
              <w:left w:val="single" w:color="000000" w:sz="4" w:space="0"/>
              <w:bottom w:val="single" w:color="000000" w:sz="4" w:space="0"/>
              <w:right w:val="single" w:color="000000" w:sz="4" w:space="0"/>
            </w:tcBorders>
            <w:noWrap/>
            <w:vAlign w:val="center"/>
          </w:tcPr>
          <w:p w14:paraId="691EE15F">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18"/>
                <w:szCs w:val="18"/>
                <w:u w:val="none"/>
                <w:lang w:val="en-US" w:eastAsia="zh-CN" w:bidi="ar"/>
              </w:rPr>
              <w:t>项</w:t>
            </w:r>
          </w:p>
        </w:tc>
        <w:tc>
          <w:tcPr>
            <w:tcW w:w="648" w:type="dxa"/>
            <w:tcBorders>
              <w:top w:val="single" w:color="000000" w:sz="4" w:space="0"/>
              <w:left w:val="single" w:color="000000" w:sz="4" w:space="0"/>
              <w:bottom w:val="single" w:color="000000" w:sz="4" w:space="0"/>
              <w:right w:val="single" w:color="000000" w:sz="4" w:space="0"/>
            </w:tcBorders>
            <w:noWrap/>
            <w:vAlign w:val="center"/>
          </w:tcPr>
          <w:p w14:paraId="47D2336C">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kern w:val="0"/>
                <w:sz w:val="20"/>
                <w:szCs w:val="20"/>
                <w:u w:val="none"/>
                <w:lang w:val="en-US" w:eastAsia="zh-CN" w:bidi="ar"/>
              </w:rPr>
            </w:pPr>
            <w:r>
              <w:rPr>
                <w:rFonts w:hint="default" w:ascii="Times New Roman" w:hAnsi="Times New Roman" w:eastAsia="宋体" w:cs="Times New Roman"/>
                <w:i w:val="0"/>
                <w:iCs w:val="0"/>
                <w:color w:val="000000"/>
                <w:kern w:val="0"/>
                <w:sz w:val="18"/>
                <w:szCs w:val="18"/>
                <w:u w:val="none"/>
                <w:lang w:val="en-US" w:eastAsia="zh-CN" w:bidi="ar"/>
              </w:rPr>
              <w:t xml:space="preserve">1.00 </w:t>
            </w:r>
          </w:p>
        </w:tc>
        <w:tc>
          <w:tcPr>
            <w:tcW w:w="1487" w:type="dxa"/>
            <w:tcBorders>
              <w:top w:val="single" w:color="000000" w:sz="4" w:space="0"/>
              <w:left w:val="single" w:color="000000" w:sz="4" w:space="0"/>
              <w:bottom w:val="single" w:color="000000" w:sz="4" w:space="0"/>
              <w:right w:val="single" w:color="000000" w:sz="4" w:space="0"/>
            </w:tcBorders>
            <w:noWrap/>
            <w:vAlign w:val="center"/>
          </w:tcPr>
          <w:p w14:paraId="5839818A">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kern w:val="0"/>
                <w:sz w:val="20"/>
                <w:szCs w:val="20"/>
                <w:u w:val="none"/>
                <w:lang w:val="en-US" w:eastAsia="zh-CN" w:bidi="ar"/>
              </w:rPr>
            </w:pPr>
            <w:r>
              <w:rPr>
                <w:rFonts w:hint="default" w:ascii="Times New Roman" w:hAnsi="Times New Roman" w:eastAsia="宋体" w:cs="Times New Roman"/>
                <w:i w:val="0"/>
                <w:iCs w:val="0"/>
                <w:color w:val="000000"/>
                <w:kern w:val="0"/>
                <w:sz w:val="18"/>
                <w:szCs w:val="18"/>
                <w:u w:val="none"/>
                <w:lang w:val="en-US" w:eastAsia="zh-CN" w:bidi="ar"/>
              </w:rPr>
              <w:t xml:space="preserve">56.00 </w:t>
            </w:r>
          </w:p>
        </w:tc>
        <w:tc>
          <w:tcPr>
            <w:tcW w:w="2977" w:type="dxa"/>
            <w:tcBorders>
              <w:top w:val="single" w:color="000000" w:sz="4" w:space="0"/>
              <w:left w:val="single" w:color="000000" w:sz="4" w:space="0"/>
              <w:bottom w:val="single" w:color="000000" w:sz="4" w:space="0"/>
              <w:right w:val="single" w:color="000000" w:sz="4" w:space="0"/>
            </w:tcBorders>
            <w:noWrap/>
            <w:vAlign w:val="center"/>
          </w:tcPr>
          <w:p w14:paraId="24977BC9">
            <w:pPr>
              <w:spacing w:line="240" w:lineRule="auto"/>
              <w:ind w:firstLine="0" w:firstLineChars="0"/>
              <w:jc w:val="center"/>
              <w:rPr>
                <w:rFonts w:hint="default" w:ascii="Times New Roman" w:hAnsi="Times New Roman" w:eastAsia="宋体" w:cs="Times New Roman"/>
                <w:i w:val="0"/>
                <w:iCs w:val="0"/>
                <w:color w:val="000000"/>
                <w:sz w:val="18"/>
                <w:szCs w:val="18"/>
                <w:u w:val="none"/>
              </w:rPr>
            </w:pPr>
          </w:p>
        </w:tc>
      </w:tr>
      <w:tr w14:paraId="747853E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4" w:hRule="atLeast"/>
        </w:trPr>
        <w:tc>
          <w:tcPr>
            <w:tcW w:w="322" w:type="pct"/>
            <w:tcBorders>
              <w:top w:val="single" w:color="000000" w:sz="4" w:space="0"/>
              <w:left w:val="single" w:color="000000" w:sz="4" w:space="0"/>
              <w:bottom w:val="single" w:color="000000" w:sz="4" w:space="0"/>
              <w:right w:val="single" w:color="000000" w:sz="4" w:space="0"/>
            </w:tcBorders>
            <w:noWrap/>
            <w:vAlign w:val="center"/>
          </w:tcPr>
          <w:p w14:paraId="3B30B37E">
            <w:pPr>
              <w:spacing w:line="240" w:lineRule="auto"/>
              <w:ind w:firstLine="0" w:firstLineChars="0"/>
              <w:jc w:val="center"/>
              <w:rPr>
                <w:rFonts w:hint="default" w:ascii="Times New Roman" w:hAnsi="Times New Roman" w:eastAsia="宋体" w:cs="Times New Roman"/>
                <w:i w:val="0"/>
                <w:iCs w:val="0"/>
                <w:color w:val="000000"/>
                <w:kern w:val="0"/>
                <w:sz w:val="20"/>
                <w:szCs w:val="20"/>
                <w:u w:val="none"/>
                <w:lang w:val="en-US" w:eastAsia="zh-CN" w:bidi="ar"/>
              </w:rPr>
            </w:pPr>
          </w:p>
        </w:tc>
        <w:tc>
          <w:tcPr>
            <w:tcW w:w="1086" w:type="pct"/>
            <w:tcBorders>
              <w:top w:val="single" w:color="000000" w:sz="4" w:space="0"/>
              <w:left w:val="single" w:color="000000" w:sz="4" w:space="0"/>
              <w:bottom w:val="single" w:color="000000" w:sz="4" w:space="0"/>
              <w:right w:val="single" w:color="000000" w:sz="4" w:space="0"/>
            </w:tcBorders>
            <w:noWrap w:val="0"/>
            <w:vAlign w:val="center"/>
          </w:tcPr>
          <w:p w14:paraId="488EE2E3">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kern w:val="0"/>
                <w:sz w:val="18"/>
                <w:szCs w:val="18"/>
                <w:u w:val="none"/>
                <w:lang w:val="en-US" w:eastAsia="zh-CN" w:bidi="ar"/>
              </w:rPr>
            </w:pPr>
            <w:r>
              <w:rPr>
                <w:rFonts w:hint="eastAsia" w:ascii="宋体" w:hAnsi="宋体" w:eastAsia="宋体" w:cs="宋体"/>
                <w:i w:val="0"/>
                <w:iCs w:val="0"/>
                <w:color w:val="000000"/>
                <w:kern w:val="0"/>
                <w:sz w:val="18"/>
                <w:szCs w:val="18"/>
                <w:u w:val="none"/>
                <w:lang w:val="en-US" w:eastAsia="zh-CN" w:bidi="ar"/>
              </w:rPr>
              <w:t>视频监控及安防系统</w:t>
            </w:r>
          </w:p>
        </w:tc>
        <w:tc>
          <w:tcPr>
            <w:tcW w:w="1008" w:type="dxa"/>
            <w:tcBorders>
              <w:top w:val="single" w:color="000000" w:sz="4" w:space="0"/>
              <w:left w:val="single" w:color="000000" w:sz="4" w:space="0"/>
              <w:bottom w:val="single" w:color="000000" w:sz="4" w:space="0"/>
              <w:right w:val="single" w:color="000000" w:sz="4" w:space="0"/>
            </w:tcBorders>
            <w:noWrap/>
            <w:vAlign w:val="center"/>
          </w:tcPr>
          <w:p w14:paraId="5B2ABEC0">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18"/>
                <w:szCs w:val="18"/>
                <w:u w:val="none"/>
                <w:lang w:val="en-US" w:eastAsia="zh-CN" w:bidi="ar"/>
              </w:rPr>
              <w:t>项</w:t>
            </w:r>
          </w:p>
        </w:tc>
        <w:tc>
          <w:tcPr>
            <w:tcW w:w="648" w:type="dxa"/>
            <w:tcBorders>
              <w:top w:val="single" w:color="000000" w:sz="4" w:space="0"/>
              <w:left w:val="single" w:color="000000" w:sz="4" w:space="0"/>
              <w:bottom w:val="single" w:color="000000" w:sz="4" w:space="0"/>
              <w:right w:val="single" w:color="000000" w:sz="4" w:space="0"/>
            </w:tcBorders>
            <w:noWrap/>
            <w:vAlign w:val="center"/>
          </w:tcPr>
          <w:p w14:paraId="35B04F48">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kern w:val="0"/>
                <w:sz w:val="20"/>
                <w:szCs w:val="20"/>
                <w:u w:val="none"/>
                <w:lang w:val="en-US" w:eastAsia="zh-CN" w:bidi="ar"/>
              </w:rPr>
            </w:pPr>
            <w:r>
              <w:rPr>
                <w:rFonts w:hint="default" w:ascii="Times New Roman" w:hAnsi="Times New Roman" w:eastAsia="宋体" w:cs="Times New Roman"/>
                <w:i w:val="0"/>
                <w:iCs w:val="0"/>
                <w:color w:val="000000"/>
                <w:kern w:val="0"/>
                <w:sz w:val="18"/>
                <w:szCs w:val="18"/>
                <w:u w:val="none"/>
                <w:lang w:val="en-US" w:eastAsia="zh-CN" w:bidi="ar"/>
              </w:rPr>
              <w:t xml:space="preserve">1.00 </w:t>
            </w:r>
          </w:p>
        </w:tc>
        <w:tc>
          <w:tcPr>
            <w:tcW w:w="1487" w:type="dxa"/>
            <w:tcBorders>
              <w:top w:val="single" w:color="000000" w:sz="4" w:space="0"/>
              <w:left w:val="single" w:color="000000" w:sz="4" w:space="0"/>
              <w:bottom w:val="single" w:color="000000" w:sz="4" w:space="0"/>
              <w:right w:val="single" w:color="000000" w:sz="4" w:space="0"/>
            </w:tcBorders>
            <w:noWrap/>
            <w:vAlign w:val="center"/>
          </w:tcPr>
          <w:p w14:paraId="4F2844D0">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kern w:val="0"/>
                <w:sz w:val="20"/>
                <w:szCs w:val="20"/>
                <w:u w:val="none"/>
                <w:lang w:val="en-US" w:eastAsia="zh-CN" w:bidi="ar"/>
              </w:rPr>
            </w:pPr>
            <w:r>
              <w:rPr>
                <w:rFonts w:hint="default" w:ascii="Times New Roman" w:hAnsi="Times New Roman" w:eastAsia="宋体" w:cs="Times New Roman"/>
                <w:i w:val="0"/>
                <w:iCs w:val="0"/>
                <w:color w:val="000000"/>
                <w:kern w:val="0"/>
                <w:sz w:val="18"/>
                <w:szCs w:val="18"/>
                <w:u w:val="none"/>
                <w:lang w:val="en-US" w:eastAsia="zh-CN" w:bidi="ar"/>
              </w:rPr>
              <w:t xml:space="preserve">34.00 </w:t>
            </w:r>
          </w:p>
        </w:tc>
        <w:tc>
          <w:tcPr>
            <w:tcW w:w="2977" w:type="dxa"/>
            <w:tcBorders>
              <w:top w:val="single" w:color="000000" w:sz="4" w:space="0"/>
              <w:left w:val="single" w:color="000000" w:sz="4" w:space="0"/>
              <w:bottom w:val="single" w:color="000000" w:sz="4" w:space="0"/>
              <w:right w:val="single" w:color="000000" w:sz="4" w:space="0"/>
            </w:tcBorders>
            <w:noWrap/>
            <w:vAlign w:val="center"/>
          </w:tcPr>
          <w:p w14:paraId="7CF23CDC">
            <w:pPr>
              <w:spacing w:line="240" w:lineRule="auto"/>
              <w:ind w:firstLine="0" w:firstLineChars="0"/>
              <w:jc w:val="center"/>
              <w:rPr>
                <w:rFonts w:hint="default" w:ascii="Times New Roman" w:hAnsi="Times New Roman" w:eastAsia="宋体" w:cs="Times New Roman"/>
                <w:i w:val="0"/>
                <w:iCs w:val="0"/>
                <w:color w:val="000000"/>
                <w:sz w:val="18"/>
                <w:szCs w:val="18"/>
                <w:u w:val="none"/>
              </w:rPr>
            </w:pPr>
          </w:p>
        </w:tc>
      </w:tr>
      <w:tr w14:paraId="3E0A55C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4" w:hRule="atLeast"/>
        </w:trPr>
        <w:tc>
          <w:tcPr>
            <w:tcW w:w="322" w:type="pct"/>
            <w:tcBorders>
              <w:top w:val="single" w:color="000000" w:sz="4" w:space="0"/>
              <w:left w:val="single" w:color="000000" w:sz="4" w:space="0"/>
              <w:bottom w:val="single" w:color="000000" w:sz="4" w:space="0"/>
              <w:right w:val="single" w:color="000000" w:sz="4" w:space="0"/>
            </w:tcBorders>
            <w:noWrap/>
            <w:vAlign w:val="center"/>
          </w:tcPr>
          <w:p w14:paraId="3C2FB886">
            <w:pPr>
              <w:spacing w:line="240" w:lineRule="auto"/>
              <w:ind w:firstLine="0" w:firstLineChars="0"/>
              <w:jc w:val="center"/>
              <w:rPr>
                <w:rFonts w:hint="default" w:ascii="Times New Roman" w:hAnsi="Times New Roman" w:eastAsia="宋体" w:cs="Times New Roman"/>
                <w:i w:val="0"/>
                <w:iCs w:val="0"/>
                <w:color w:val="000000"/>
                <w:kern w:val="0"/>
                <w:sz w:val="20"/>
                <w:szCs w:val="20"/>
                <w:u w:val="none"/>
                <w:lang w:val="en-US" w:eastAsia="zh-CN" w:bidi="ar"/>
              </w:rPr>
            </w:pPr>
          </w:p>
        </w:tc>
        <w:tc>
          <w:tcPr>
            <w:tcW w:w="1086" w:type="pct"/>
            <w:tcBorders>
              <w:top w:val="single" w:color="000000" w:sz="4" w:space="0"/>
              <w:left w:val="single" w:color="000000" w:sz="4" w:space="0"/>
              <w:bottom w:val="single" w:color="000000" w:sz="4" w:space="0"/>
              <w:right w:val="single" w:color="000000" w:sz="4" w:space="0"/>
            </w:tcBorders>
            <w:noWrap w:val="0"/>
            <w:vAlign w:val="center"/>
          </w:tcPr>
          <w:p w14:paraId="00E71D8B">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kern w:val="0"/>
                <w:sz w:val="18"/>
                <w:szCs w:val="18"/>
                <w:u w:val="none"/>
                <w:lang w:val="en-US" w:eastAsia="zh-CN" w:bidi="ar"/>
              </w:rPr>
            </w:pPr>
            <w:r>
              <w:rPr>
                <w:rFonts w:hint="eastAsia" w:ascii="宋体" w:hAnsi="宋体" w:eastAsia="宋体" w:cs="宋体"/>
                <w:i w:val="0"/>
                <w:iCs w:val="0"/>
                <w:color w:val="000000"/>
                <w:kern w:val="0"/>
                <w:sz w:val="18"/>
                <w:szCs w:val="18"/>
                <w:u w:val="none"/>
                <w:lang w:val="en-US" w:eastAsia="zh-CN" w:bidi="ar"/>
              </w:rPr>
              <w:t>消防报警</w:t>
            </w:r>
          </w:p>
        </w:tc>
        <w:tc>
          <w:tcPr>
            <w:tcW w:w="1008" w:type="dxa"/>
            <w:tcBorders>
              <w:top w:val="single" w:color="000000" w:sz="4" w:space="0"/>
              <w:left w:val="single" w:color="000000" w:sz="4" w:space="0"/>
              <w:bottom w:val="single" w:color="000000" w:sz="4" w:space="0"/>
              <w:right w:val="single" w:color="000000" w:sz="4" w:space="0"/>
            </w:tcBorders>
            <w:noWrap/>
            <w:vAlign w:val="center"/>
          </w:tcPr>
          <w:p w14:paraId="1697AC1A">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18"/>
                <w:szCs w:val="18"/>
                <w:u w:val="none"/>
                <w:lang w:val="en-US" w:eastAsia="zh-CN" w:bidi="ar"/>
              </w:rPr>
              <w:t>项</w:t>
            </w:r>
          </w:p>
        </w:tc>
        <w:tc>
          <w:tcPr>
            <w:tcW w:w="648" w:type="dxa"/>
            <w:tcBorders>
              <w:top w:val="single" w:color="000000" w:sz="4" w:space="0"/>
              <w:left w:val="single" w:color="000000" w:sz="4" w:space="0"/>
              <w:bottom w:val="single" w:color="000000" w:sz="4" w:space="0"/>
              <w:right w:val="single" w:color="000000" w:sz="4" w:space="0"/>
            </w:tcBorders>
            <w:noWrap/>
            <w:vAlign w:val="center"/>
          </w:tcPr>
          <w:p w14:paraId="7AA28B25">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kern w:val="0"/>
                <w:sz w:val="20"/>
                <w:szCs w:val="20"/>
                <w:u w:val="none"/>
                <w:lang w:val="en-US" w:eastAsia="zh-CN" w:bidi="ar"/>
              </w:rPr>
            </w:pPr>
            <w:r>
              <w:rPr>
                <w:rFonts w:hint="default" w:ascii="Times New Roman" w:hAnsi="Times New Roman" w:eastAsia="宋体" w:cs="Times New Roman"/>
                <w:i w:val="0"/>
                <w:iCs w:val="0"/>
                <w:color w:val="000000"/>
                <w:kern w:val="0"/>
                <w:sz w:val="18"/>
                <w:szCs w:val="18"/>
                <w:u w:val="none"/>
                <w:lang w:val="en-US" w:eastAsia="zh-CN" w:bidi="ar"/>
              </w:rPr>
              <w:t xml:space="preserve">1.00 </w:t>
            </w:r>
          </w:p>
        </w:tc>
        <w:tc>
          <w:tcPr>
            <w:tcW w:w="1487" w:type="dxa"/>
            <w:tcBorders>
              <w:top w:val="single" w:color="000000" w:sz="4" w:space="0"/>
              <w:left w:val="single" w:color="000000" w:sz="4" w:space="0"/>
              <w:bottom w:val="single" w:color="000000" w:sz="4" w:space="0"/>
              <w:right w:val="single" w:color="000000" w:sz="4" w:space="0"/>
            </w:tcBorders>
            <w:noWrap/>
            <w:vAlign w:val="center"/>
          </w:tcPr>
          <w:p w14:paraId="21AB6061">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kern w:val="0"/>
                <w:sz w:val="20"/>
                <w:szCs w:val="20"/>
                <w:u w:val="none"/>
                <w:lang w:val="en-US" w:eastAsia="zh-CN" w:bidi="ar"/>
              </w:rPr>
            </w:pPr>
            <w:r>
              <w:rPr>
                <w:rFonts w:hint="default" w:ascii="Times New Roman" w:hAnsi="Times New Roman" w:eastAsia="宋体" w:cs="Times New Roman"/>
                <w:i w:val="0"/>
                <w:iCs w:val="0"/>
                <w:color w:val="000000"/>
                <w:kern w:val="0"/>
                <w:sz w:val="18"/>
                <w:szCs w:val="18"/>
                <w:u w:val="none"/>
                <w:lang w:val="en-US" w:eastAsia="zh-CN" w:bidi="ar"/>
              </w:rPr>
              <w:t xml:space="preserve">45.00 </w:t>
            </w:r>
          </w:p>
        </w:tc>
        <w:tc>
          <w:tcPr>
            <w:tcW w:w="2977" w:type="dxa"/>
            <w:tcBorders>
              <w:top w:val="single" w:color="000000" w:sz="4" w:space="0"/>
              <w:left w:val="single" w:color="000000" w:sz="4" w:space="0"/>
              <w:bottom w:val="single" w:color="000000" w:sz="4" w:space="0"/>
              <w:right w:val="single" w:color="000000" w:sz="4" w:space="0"/>
            </w:tcBorders>
            <w:noWrap/>
            <w:vAlign w:val="center"/>
          </w:tcPr>
          <w:p w14:paraId="2A0FE005">
            <w:pPr>
              <w:spacing w:line="240" w:lineRule="auto"/>
              <w:ind w:firstLine="0" w:firstLineChars="0"/>
              <w:jc w:val="center"/>
              <w:rPr>
                <w:rFonts w:hint="default" w:ascii="Times New Roman" w:hAnsi="Times New Roman" w:eastAsia="宋体" w:cs="Times New Roman"/>
                <w:i w:val="0"/>
                <w:iCs w:val="0"/>
                <w:color w:val="000000"/>
                <w:sz w:val="18"/>
                <w:szCs w:val="18"/>
                <w:u w:val="none"/>
              </w:rPr>
            </w:pPr>
          </w:p>
        </w:tc>
      </w:tr>
      <w:tr w14:paraId="057727B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4" w:hRule="atLeast"/>
        </w:trPr>
        <w:tc>
          <w:tcPr>
            <w:tcW w:w="322" w:type="pct"/>
            <w:tcBorders>
              <w:top w:val="single" w:color="000000" w:sz="4" w:space="0"/>
              <w:left w:val="single" w:color="000000" w:sz="4" w:space="0"/>
              <w:bottom w:val="single" w:color="000000" w:sz="4" w:space="0"/>
              <w:right w:val="single" w:color="000000" w:sz="4" w:space="0"/>
            </w:tcBorders>
            <w:noWrap/>
            <w:vAlign w:val="center"/>
          </w:tcPr>
          <w:p w14:paraId="110084A1">
            <w:pPr>
              <w:spacing w:line="240" w:lineRule="auto"/>
              <w:ind w:firstLine="0" w:firstLineChars="0"/>
              <w:jc w:val="center"/>
              <w:rPr>
                <w:rFonts w:hint="default" w:ascii="Times New Roman" w:hAnsi="Times New Roman" w:eastAsia="宋体" w:cs="Times New Roman"/>
                <w:i w:val="0"/>
                <w:iCs w:val="0"/>
                <w:color w:val="000000"/>
                <w:kern w:val="0"/>
                <w:sz w:val="20"/>
                <w:szCs w:val="20"/>
                <w:u w:val="none"/>
                <w:lang w:val="en-US" w:eastAsia="zh-CN" w:bidi="ar"/>
              </w:rPr>
            </w:pPr>
          </w:p>
        </w:tc>
        <w:tc>
          <w:tcPr>
            <w:tcW w:w="1086" w:type="pct"/>
            <w:tcBorders>
              <w:top w:val="single" w:color="000000" w:sz="4" w:space="0"/>
              <w:left w:val="single" w:color="000000" w:sz="4" w:space="0"/>
              <w:bottom w:val="single" w:color="000000" w:sz="4" w:space="0"/>
              <w:right w:val="single" w:color="000000" w:sz="4" w:space="0"/>
            </w:tcBorders>
            <w:noWrap w:val="0"/>
            <w:vAlign w:val="center"/>
          </w:tcPr>
          <w:p w14:paraId="5AF023D2">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kern w:val="0"/>
                <w:sz w:val="18"/>
                <w:szCs w:val="18"/>
                <w:u w:val="none"/>
                <w:lang w:val="en-US" w:eastAsia="zh-CN" w:bidi="ar"/>
              </w:rPr>
            </w:pPr>
            <w:r>
              <w:rPr>
                <w:rFonts w:hint="eastAsia" w:ascii="宋体" w:hAnsi="宋体" w:eastAsia="宋体" w:cs="宋体"/>
                <w:i w:val="0"/>
                <w:iCs w:val="0"/>
                <w:color w:val="000000"/>
                <w:kern w:val="0"/>
                <w:sz w:val="18"/>
                <w:szCs w:val="18"/>
                <w:u w:val="none"/>
                <w:lang w:val="en-US" w:eastAsia="zh-CN" w:bidi="ar"/>
              </w:rPr>
              <w:t>监控设备柜</w:t>
            </w:r>
          </w:p>
        </w:tc>
        <w:tc>
          <w:tcPr>
            <w:tcW w:w="1008" w:type="dxa"/>
            <w:tcBorders>
              <w:top w:val="single" w:color="000000" w:sz="4" w:space="0"/>
              <w:left w:val="single" w:color="000000" w:sz="4" w:space="0"/>
              <w:bottom w:val="single" w:color="000000" w:sz="4" w:space="0"/>
              <w:right w:val="single" w:color="000000" w:sz="4" w:space="0"/>
            </w:tcBorders>
            <w:noWrap/>
            <w:vAlign w:val="center"/>
          </w:tcPr>
          <w:p w14:paraId="49B25123">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18"/>
                <w:szCs w:val="18"/>
                <w:u w:val="none"/>
                <w:lang w:val="en-US" w:eastAsia="zh-CN" w:bidi="ar"/>
              </w:rPr>
              <w:t>项</w:t>
            </w:r>
          </w:p>
        </w:tc>
        <w:tc>
          <w:tcPr>
            <w:tcW w:w="648" w:type="dxa"/>
            <w:tcBorders>
              <w:top w:val="single" w:color="000000" w:sz="4" w:space="0"/>
              <w:left w:val="single" w:color="000000" w:sz="4" w:space="0"/>
              <w:bottom w:val="single" w:color="000000" w:sz="4" w:space="0"/>
              <w:right w:val="single" w:color="000000" w:sz="4" w:space="0"/>
            </w:tcBorders>
            <w:noWrap/>
            <w:vAlign w:val="center"/>
          </w:tcPr>
          <w:p w14:paraId="7DE8E316">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kern w:val="0"/>
                <w:sz w:val="20"/>
                <w:szCs w:val="20"/>
                <w:u w:val="none"/>
                <w:lang w:val="en-US" w:eastAsia="zh-CN" w:bidi="ar"/>
              </w:rPr>
            </w:pPr>
            <w:r>
              <w:rPr>
                <w:rFonts w:hint="default" w:ascii="Times New Roman" w:hAnsi="Times New Roman" w:eastAsia="宋体" w:cs="Times New Roman"/>
                <w:i w:val="0"/>
                <w:iCs w:val="0"/>
                <w:color w:val="000000"/>
                <w:kern w:val="0"/>
                <w:sz w:val="18"/>
                <w:szCs w:val="18"/>
                <w:u w:val="none"/>
                <w:lang w:val="en-US" w:eastAsia="zh-CN" w:bidi="ar"/>
              </w:rPr>
              <w:t xml:space="preserve">1.00 </w:t>
            </w:r>
          </w:p>
        </w:tc>
        <w:tc>
          <w:tcPr>
            <w:tcW w:w="1487" w:type="dxa"/>
            <w:tcBorders>
              <w:top w:val="single" w:color="000000" w:sz="4" w:space="0"/>
              <w:left w:val="single" w:color="000000" w:sz="4" w:space="0"/>
              <w:bottom w:val="single" w:color="000000" w:sz="4" w:space="0"/>
              <w:right w:val="single" w:color="000000" w:sz="4" w:space="0"/>
            </w:tcBorders>
            <w:noWrap/>
            <w:vAlign w:val="center"/>
          </w:tcPr>
          <w:p w14:paraId="3B14C626">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kern w:val="0"/>
                <w:sz w:val="20"/>
                <w:szCs w:val="20"/>
                <w:u w:val="none"/>
                <w:lang w:val="en-US" w:eastAsia="zh-CN" w:bidi="ar"/>
              </w:rPr>
            </w:pPr>
            <w:r>
              <w:rPr>
                <w:rFonts w:hint="default" w:ascii="Times New Roman" w:hAnsi="Times New Roman" w:eastAsia="宋体" w:cs="Times New Roman"/>
                <w:i w:val="0"/>
                <w:iCs w:val="0"/>
                <w:color w:val="000000"/>
                <w:kern w:val="0"/>
                <w:sz w:val="18"/>
                <w:szCs w:val="18"/>
                <w:u w:val="none"/>
                <w:lang w:val="en-US" w:eastAsia="zh-CN" w:bidi="ar"/>
              </w:rPr>
              <w:t xml:space="preserve">100.00 </w:t>
            </w:r>
          </w:p>
        </w:tc>
        <w:tc>
          <w:tcPr>
            <w:tcW w:w="2977" w:type="dxa"/>
            <w:tcBorders>
              <w:top w:val="single" w:color="000000" w:sz="4" w:space="0"/>
              <w:left w:val="single" w:color="000000" w:sz="4" w:space="0"/>
              <w:bottom w:val="single" w:color="000000" w:sz="4" w:space="0"/>
              <w:right w:val="single" w:color="000000" w:sz="4" w:space="0"/>
            </w:tcBorders>
            <w:noWrap/>
            <w:vAlign w:val="center"/>
          </w:tcPr>
          <w:p w14:paraId="24EADBA5">
            <w:pPr>
              <w:spacing w:line="240" w:lineRule="auto"/>
              <w:ind w:firstLine="0" w:firstLineChars="0"/>
              <w:jc w:val="center"/>
              <w:rPr>
                <w:rFonts w:hint="default" w:ascii="Times New Roman" w:hAnsi="Times New Roman" w:eastAsia="宋体" w:cs="Times New Roman"/>
                <w:i w:val="0"/>
                <w:iCs w:val="0"/>
                <w:color w:val="000000"/>
                <w:sz w:val="18"/>
                <w:szCs w:val="18"/>
                <w:u w:val="none"/>
              </w:rPr>
            </w:pPr>
          </w:p>
        </w:tc>
      </w:tr>
      <w:tr w14:paraId="5AFE0CC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4" w:hRule="atLeast"/>
        </w:trPr>
        <w:tc>
          <w:tcPr>
            <w:tcW w:w="322" w:type="pct"/>
            <w:tcBorders>
              <w:top w:val="single" w:color="000000" w:sz="4" w:space="0"/>
              <w:left w:val="single" w:color="000000" w:sz="4" w:space="0"/>
              <w:bottom w:val="single" w:color="000000" w:sz="4" w:space="0"/>
              <w:right w:val="single" w:color="000000" w:sz="4" w:space="0"/>
            </w:tcBorders>
            <w:noWrap/>
            <w:vAlign w:val="center"/>
          </w:tcPr>
          <w:p w14:paraId="4888F631">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kern w:val="0"/>
                <w:sz w:val="20"/>
                <w:szCs w:val="20"/>
                <w:u w:val="none"/>
                <w:lang w:val="en-US" w:eastAsia="zh-CN" w:bidi="ar"/>
              </w:rPr>
            </w:pPr>
            <w:r>
              <w:rPr>
                <w:rFonts w:hint="default" w:ascii="Times New Roman" w:hAnsi="Times New Roman" w:eastAsia="宋体" w:cs="Times New Roman"/>
                <w:b/>
                <w:bCs/>
                <w:i w:val="0"/>
                <w:iCs w:val="0"/>
                <w:color w:val="000000"/>
                <w:kern w:val="0"/>
                <w:sz w:val="18"/>
                <w:szCs w:val="18"/>
                <w:u w:val="none"/>
                <w:lang w:val="en-US" w:eastAsia="zh-CN" w:bidi="ar"/>
              </w:rPr>
              <w:t>Ⅲ</w:t>
            </w:r>
          </w:p>
        </w:tc>
        <w:tc>
          <w:tcPr>
            <w:tcW w:w="1086" w:type="pct"/>
            <w:tcBorders>
              <w:top w:val="single" w:color="000000" w:sz="4" w:space="0"/>
              <w:left w:val="single" w:color="000000" w:sz="4" w:space="0"/>
              <w:bottom w:val="single" w:color="000000" w:sz="4" w:space="0"/>
              <w:right w:val="single" w:color="000000" w:sz="4" w:space="0"/>
            </w:tcBorders>
            <w:noWrap w:val="0"/>
            <w:vAlign w:val="center"/>
          </w:tcPr>
          <w:p w14:paraId="77F2291B">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kern w:val="0"/>
                <w:sz w:val="18"/>
                <w:szCs w:val="18"/>
                <w:u w:val="none"/>
                <w:lang w:val="en-US" w:eastAsia="zh-CN" w:bidi="ar"/>
              </w:rPr>
            </w:pPr>
            <w:r>
              <w:rPr>
                <w:rFonts w:hint="eastAsia" w:ascii="宋体" w:hAnsi="宋体" w:eastAsia="宋体" w:cs="宋体"/>
                <w:b/>
                <w:bCs/>
                <w:i w:val="0"/>
                <w:iCs w:val="0"/>
                <w:color w:val="000000"/>
                <w:kern w:val="0"/>
                <w:sz w:val="18"/>
                <w:szCs w:val="18"/>
                <w:u w:val="none"/>
                <w:lang w:val="en-US" w:eastAsia="zh-CN" w:bidi="ar"/>
              </w:rPr>
              <w:t>智慧垃圾分类设施</w:t>
            </w:r>
          </w:p>
        </w:tc>
        <w:tc>
          <w:tcPr>
            <w:tcW w:w="1008" w:type="dxa"/>
            <w:tcBorders>
              <w:top w:val="single" w:color="000000" w:sz="4" w:space="0"/>
              <w:left w:val="single" w:color="000000" w:sz="4" w:space="0"/>
              <w:bottom w:val="single" w:color="000000" w:sz="4" w:space="0"/>
              <w:right w:val="single" w:color="000000" w:sz="4" w:space="0"/>
            </w:tcBorders>
            <w:noWrap/>
            <w:vAlign w:val="center"/>
          </w:tcPr>
          <w:p w14:paraId="17EAFD00">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cs="宋体"/>
                <w:b/>
                <w:bCs/>
                <w:i w:val="0"/>
                <w:iCs w:val="0"/>
                <w:color w:val="000000"/>
                <w:kern w:val="0"/>
                <w:sz w:val="18"/>
                <w:szCs w:val="18"/>
                <w:u w:val="none"/>
                <w:lang w:val="en-US" w:eastAsia="zh-CN" w:bidi="ar"/>
              </w:rPr>
              <w:t>项</w:t>
            </w:r>
          </w:p>
        </w:tc>
        <w:tc>
          <w:tcPr>
            <w:tcW w:w="648" w:type="dxa"/>
            <w:tcBorders>
              <w:top w:val="single" w:color="000000" w:sz="4" w:space="0"/>
              <w:left w:val="single" w:color="000000" w:sz="4" w:space="0"/>
              <w:bottom w:val="single" w:color="000000" w:sz="4" w:space="0"/>
              <w:right w:val="single" w:color="000000" w:sz="4" w:space="0"/>
            </w:tcBorders>
            <w:noWrap/>
            <w:vAlign w:val="center"/>
          </w:tcPr>
          <w:p w14:paraId="1D670EE0">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kern w:val="0"/>
                <w:sz w:val="20"/>
                <w:szCs w:val="20"/>
                <w:u w:val="none"/>
                <w:lang w:val="en-US" w:eastAsia="zh-CN" w:bidi="ar"/>
              </w:rPr>
            </w:pPr>
            <w:r>
              <w:rPr>
                <w:rFonts w:hint="eastAsia" w:cs="Times New Roman"/>
                <w:b/>
                <w:bCs/>
                <w:i w:val="0"/>
                <w:iCs w:val="0"/>
                <w:color w:val="000000"/>
                <w:kern w:val="0"/>
                <w:sz w:val="18"/>
                <w:szCs w:val="18"/>
                <w:u w:val="none"/>
                <w:lang w:val="en-US" w:eastAsia="zh-CN" w:bidi="ar"/>
              </w:rPr>
              <w:t>1.</w:t>
            </w:r>
            <w:r>
              <w:rPr>
                <w:rFonts w:hint="default" w:ascii="Times New Roman" w:hAnsi="Times New Roman" w:eastAsia="宋体" w:cs="Times New Roman"/>
                <w:b/>
                <w:bCs/>
                <w:i w:val="0"/>
                <w:iCs w:val="0"/>
                <w:color w:val="000000"/>
                <w:kern w:val="0"/>
                <w:sz w:val="18"/>
                <w:szCs w:val="18"/>
                <w:u w:val="none"/>
                <w:lang w:val="en-US" w:eastAsia="zh-CN" w:bidi="ar"/>
              </w:rPr>
              <w:t xml:space="preserve">00 </w:t>
            </w:r>
          </w:p>
        </w:tc>
        <w:tc>
          <w:tcPr>
            <w:tcW w:w="1487" w:type="dxa"/>
            <w:tcBorders>
              <w:top w:val="single" w:color="000000" w:sz="4" w:space="0"/>
              <w:left w:val="single" w:color="000000" w:sz="4" w:space="0"/>
              <w:bottom w:val="single" w:color="000000" w:sz="4" w:space="0"/>
              <w:right w:val="single" w:color="000000" w:sz="4" w:space="0"/>
            </w:tcBorders>
            <w:noWrap/>
            <w:vAlign w:val="center"/>
          </w:tcPr>
          <w:p w14:paraId="364F54D1">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kern w:val="0"/>
                <w:sz w:val="20"/>
                <w:szCs w:val="20"/>
                <w:u w:val="none"/>
                <w:lang w:val="en-US" w:eastAsia="zh-CN" w:bidi="ar"/>
              </w:rPr>
            </w:pPr>
            <w:r>
              <w:rPr>
                <w:rFonts w:hint="default" w:ascii="Times New Roman" w:hAnsi="Times New Roman" w:eastAsia="宋体" w:cs="Times New Roman"/>
                <w:b/>
                <w:bCs/>
                <w:i w:val="0"/>
                <w:iCs w:val="0"/>
                <w:color w:val="000000"/>
                <w:kern w:val="0"/>
                <w:sz w:val="18"/>
                <w:szCs w:val="18"/>
                <w:u w:val="none"/>
                <w:lang w:val="en-US" w:eastAsia="zh-CN" w:bidi="ar"/>
              </w:rPr>
              <w:t xml:space="preserve">128.10 </w:t>
            </w:r>
          </w:p>
        </w:tc>
        <w:tc>
          <w:tcPr>
            <w:tcW w:w="2977" w:type="dxa"/>
            <w:tcBorders>
              <w:top w:val="single" w:color="000000" w:sz="4" w:space="0"/>
              <w:left w:val="single" w:color="000000" w:sz="4" w:space="0"/>
              <w:bottom w:val="single" w:color="000000" w:sz="4" w:space="0"/>
              <w:right w:val="single" w:color="000000" w:sz="4" w:space="0"/>
            </w:tcBorders>
            <w:noWrap/>
            <w:vAlign w:val="center"/>
          </w:tcPr>
          <w:p w14:paraId="41771124">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18"/>
                <w:szCs w:val="18"/>
                <w:u w:val="none"/>
              </w:rPr>
            </w:pPr>
          </w:p>
        </w:tc>
      </w:tr>
      <w:tr w14:paraId="1C54F23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4" w:hRule="atLeast"/>
        </w:trPr>
        <w:tc>
          <w:tcPr>
            <w:tcW w:w="322" w:type="pct"/>
            <w:tcBorders>
              <w:top w:val="single" w:color="000000" w:sz="4" w:space="0"/>
              <w:left w:val="single" w:color="000000" w:sz="4" w:space="0"/>
              <w:bottom w:val="single" w:color="000000" w:sz="4" w:space="0"/>
              <w:right w:val="single" w:color="000000" w:sz="4" w:space="0"/>
            </w:tcBorders>
            <w:noWrap/>
            <w:vAlign w:val="center"/>
          </w:tcPr>
          <w:p w14:paraId="647F1C02">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kern w:val="0"/>
                <w:sz w:val="20"/>
                <w:szCs w:val="20"/>
                <w:u w:val="none"/>
                <w:lang w:val="en-US" w:eastAsia="zh-CN" w:bidi="ar"/>
              </w:rPr>
            </w:pPr>
            <w:r>
              <w:rPr>
                <w:rFonts w:hint="default" w:ascii="Times New Roman" w:hAnsi="Times New Roman" w:eastAsia="宋体" w:cs="Times New Roman"/>
                <w:b/>
                <w:bCs/>
                <w:i w:val="0"/>
                <w:iCs w:val="0"/>
                <w:color w:val="000000"/>
                <w:kern w:val="0"/>
                <w:sz w:val="18"/>
                <w:szCs w:val="18"/>
                <w:u w:val="none"/>
                <w:lang w:val="en-US" w:eastAsia="zh-CN" w:bidi="ar"/>
              </w:rPr>
              <w:t>Ⅳ</w:t>
            </w:r>
          </w:p>
        </w:tc>
        <w:tc>
          <w:tcPr>
            <w:tcW w:w="1086" w:type="pct"/>
            <w:tcBorders>
              <w:top w:val="single" w:color="000000" w:sz="4" w:space="0"/>
              <w:left w:val="single" w:color="000000" w:sz="4" w:space="0"/>
              <w:bottom w:val="single" w:color="000000" w:sz="4" w:space="0"/>
              <w:right w:val="single" w:color="000000" w:sz="4" w:space="0"/>
            </w:tcBorders>
            <w:noWrap w:val="0"/>
            <w:vAlign w:val="center"/>
          </w:tcPr>
          <w:p w14:paraId="2A030C3D">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kern w:val="0"/>
                <w:sz w:val="18"/>
                <w:szCs w:val="18"/>
                <w:u w:val="none"/>
                <w:lang w:val="en-US" w:eastAsia="zh-CN" w:bidi="ar"/>
              </w:rPr>
            </w:pPr>
            <w:r>
              <w:rPr>
                <w:rFonts w:hint="eastAsia" w:ascii="宋体" w:hAnsi="宋体" w:eastAsia="宋体" w:cs="宋体"/>
                <w:b/>
                <w:bCs/>
                <w:i w:val="0"/>
                <w:iCs w:val="0"/>
                <w:color w:val="000000"/>
                <w:kern w:val="0"/>
                <w:sz w:val="18"/>
                <w:szCs w:val="18"/>
                <w:u w:val="none"/>
                <w:lang w:val="en-US" w:eastAsia="zh-CN" w:bidi="ar"/>
              </w:rPr>
              <w:t>信息化工程</w:t>
            </w:r>
          </w:p>
        </w:tc>
        <w:tc>
          <w:tcPr>
            <w:tcW w:w="1008" w:type="dxa"/>
            <w:tcBorders>
              <w:top w:val="single" w:color="000000" w:sz="4" w:space="0"/>
              <w:left w:val="single" w:color="000000" w:sz="4" w:space="0"/>
              <w:bottom w:val="single" w:color="000000" w:sz="4" w:space="0"/>
              <w:right w:val="single" w:color="000000" w:sz="4" w:space="0"/>
            </w:tcBorders>
            <w:noWrap/>
            <w:vAlign w:val="center"/>
          </w:tcPr>
          <w:p w14:paraId="79A782B1">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b/>
                <w:bCs/>
                <w:i w:val="0"/>
                <w:iCs w:val="0"/>
                <w:color w:val="000000"/>
                <w:kern w:val="0"/>
                <w:sz w:val="18"/>
                <w:szCs w:val="18"/>
                <w:u w:val="none"/>
                <w:lang w:val="en-US" w:eastAsia="zh-CN" w:bidi="ar"/>
              </w:rPr>
              <w:t>项</w:t>
            </w:r>
          </w:p>
        </w:tc>
        <w:tc>
          <w:tcPr>
            <w:tcW w:w="648" w:type="dxa"/>
            <w:tcBorders>
              <w:top w:val="single" w:color="000000" w:sz="4" w:space="0"/>
              <w:left w:val="single" w:color="000000" w:sz="4" w:space="0"/>
              <w:bottom w:val="single" w:color="000000" w:sz="4" w:space="0"/>
              <w:right w:val="single" w:color="000000" w:sz="4" w:space="0"/>
            </w:tcBorders>
            <w:noWrap/>
            <w:vAlign w:val="center"/>
          </w:tcPr>
          <w:p w14:paraId="108C3EEB">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kern w:val="0"/>
                <w:sz w:val="20"/>
                <w:szCs w:val="20"/>
                <w:u w:val="none"/>
                <w:lang w:val="en-US" w:eastAsia="zh-CN" w:bidi="ar"/>
              </w:rPr>
            </w:pPr>
            <w:r>
              <w:rPr>
                <w:rFonts w:hint="default" w:ascii="Times New Roman" w:hAnsi="Times New Roman" w:eastAsia="宋体" w:cs="Times New Roman"/>
                <w:b/>
                <w:bCs/>
                <w:i w:val="0"/>
                <w:iCs w:val="0"/>
                <w:color w:val="000000"/>
                <w:kern w:val="0"/>
                <w:sz w:val="18"/>
                <w:szCs w:val="18"/>
                <w:u w:val="none"/>
                <w:lang w:val="en-US" w:eastAsia="zh-CN" w:bidi="ar"/>
              </w:rPr>
              <w:t xml:space="preserve">1.00 </w:t>
            </w:r>
          </w:p>
        </w:tc>
        <w:tc>
          <w:tcPr>
            <w:tcW w:w="1487" w:type="dxa"/>
            <w:tcBorders>
              <w:top w:val="single" w:color="000000" w:sz="4" w:space="0"/>
              <w:left w:val="single" w:color="000000" w:sz="4" w:space="0"/>
              <w:bottom w:val="single" w:color="000000" w:sz="4" w:space="0"/>
              <w:right w:val="single" w:color="000000" w:sz="4" w:space="0"/>
            </w:tcBorders>
            <w:noWrap/>
            <w:vAlign w:val="center"/>
          </w:tcPr>
          <w:p w14:paraId="365069D7">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kern w:val="0"/>
                <w:sz w:val="20"/>
                <w:szCs w:val="20"/>
                <w:u w:val="none"/>
                <w:lang w:val="en-US" w:eastAsia="zh-CN" w:bidi="ar"/>
              </w:rPr>
            </w:pPr>
            <w:r>
              <w:rPr>
                <w:rFonts w:hint="default" w:ascii="Times New Roman" w:hAnsi="Times New Roman" w:eastAsia="宋体" w:cs="Times New Roman"/>
                <w:b/>
                <w:bCs/>
                <w:i w:val="0"/>
                <w:iCs w:val="0"/>
                <w:color w:val="000000"/>
                <w:kern w:val="0"/>
                <w:sz w:val="18"/>
                <w:szCs w:val="18"/>
                <w:u w:val="none"/>
                <w:lang w:val="en-US" w:eastAsia="zh-CN" w:bidi="ar"/>
              </w:rPr>
              <w:t xml:space="preserve">1750.00 </w:t>
            </w:r>
          </w:p>
        </w:tc>
        <w:tc>
          <w:tcPr>
            <w:tcW w:w="2977" w:type="dxa"/>
            <w:tcBorders>
              <w:top w:val="single" w:color="000000" w:sz="4" w:space="0"/>
              <w:left w:val="single" w:color="000000" w:sz="4" w:space="0"/>
              <w:bottom w:val="single" w:color="000000" w:sz="4" w:space="0"/>
              <w:right w:val="single" w:color="000000" w:sz="4" w:space="0"/>
            </w:tcBorders>
            <w:noWrap/>
            <w:vAlign w:val="center"/>
          </w:tcPr>
          <w:p w14:paraId="3B3BCDAA">
            <w:pPr>
              <w:spacing w:line="240" w:lineRule="auto"/>
              <w:ind w:firstLine="0" w:firstLineChars="0"/>
              <w:jc w:val="center"/>
              <w:rPr>
                <w:rFonts w:hint="default" w:ascii="Times New Roman" w:hAnsi="Times New Roman" w:eastAsia="宋体" w:cs="Times New Roman"/>
                <w:i w:val="0"/>
                <w:iCs w:val="0"/>
                <w:color w:val="000000"/>
                <w:sz w:val="18"/>
                <w:szCs w:val="18"/>
                <w:u w:val="none"/>
              </w:rPr>
            </w:pPr>
          </w:p>
        </w:tc>
      </w:tr>
      <w:tr w14:paraId="5A5D053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4" w:hRule="atLeast"/>
        </w:trPr>
        <w:tc>
          <w:tcPr>
            <w:tcW w:w="322" w:type="pct"/>
            <w:tcBorders>
              <w:top w:val="single" w:color="000000" w:sz="4" w:space="0"/>
              <w:left w:val="single" w:color="000000" w:sz="4" w:space="0"/>
              <w:bottom w:val="single" w:color="000000" w:sz="4" w:space="0"/>
              <w:right w:val="single" w:color="000000" w:sz="4" w:space="0"/>
            </w:tcBorders>
            <w:noWrap/>
            <w:vAlign w:val="center"/>
          </w:tcPr>
          <w:p w14:paraId="6A3CD59B">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kern w:val="0"/>
                <w:sz w:val="20"/>
                <w:szCs w:val="20"/>
                <w:u w:val="none"/>
                <w:lang w:val="en-US" w:eastAsia="zh-CN" w:bidi="ar"/>
              </w:rPr>
            </w:pPr>
            <w:r>
              <w:rPr>
                <w:rFonts w:hint="default" w:ascii="Times New Roman" w:hAnsi="Times New Roman" w:eastAsia="宋体" w:cs="Times New Roman"/>
                <w:b/>
                <w:bCs/>
                <w:i w:val="0"/>
                <w:iCs w:val="0"/>
                <w:color w:val="000000"/>
                <w:kern w:val="0"/>
                <w:sz w:val="18"/>
                <w:szCs w:val="18"/>
                <w:u w:val="none"/>
                <w:lang w:val="en-US" w:eastAsia="zh-CN" w:bidi="ar"/>
              </w:rPr>
              <w:t>Ⅴ</w:t>
            </w:r>
          </w:p>
        </w:tc>
        <w:tc>
          <w:tcPr>
            <w:tcW w:w="1086" w:type="pct"/>
            <w:tcBorders>
              <w:top w:val="single" w:color="000000" w:sz="4" w:space="0"/>
              <w:left w:val="single" w:color="000000" w:sz="4" w:space="0"/>
              <w:bottom w:val="single" w:color="000000" w:sz="4" w:space="0"/>
              <w:right w:val="single" w:color="000000" w:sz="4" w:space="0"/>
            </w:tcBorders>
            <w:noWrap w:val="0"/>
            <w:vAlign w:val="center"/>
          </w:tcPr>
          <w:p w14:paraId="2A10A002">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kern w:val="0"/>
                <w:sz w:val="18"/>
                <w:szCs w:val="18"/>
                <w:u w:val="none"/>
                <w:lang w:val="en-US" w:eastAsia="zh-CN" w:bidi="ar"/>
              </w:rPr>
            </w:pPr>
            <w:r>
              <w:rPr>
                <w:rFonts w:hint="eastAsia" w:ascii="宋体" w:hAnsi="宋体" w:eastAsia="宋体" w:cs="宋体"/>
                <w:b/>
                <w:bCs/>
                <w:i w:val="0"/>
                <w:iCs w:val="0"/>
                <w:color w:val="000000"/>
                <w:kern w:val="0"/>
                <w:sz w:val="18"/>
                <w:szCs w:val="18"/>
                <w:u w:val="none"/>
                <w:lang w:val="en-US" w:eastAsia="zh-CN" w:bidi="ar"/>
              </w:rPr>
              <w:t>强电工程</w:t>
            </w:r>
          </w:p>
        </w:tc>
        <w:tc>
          <w:tcPr>
            <w:tcW w:w="1008" w:type="dxa"/>
            <w:tcBorders>
              <w:top w:val="single" w:color="000000" w:sz="4" w:space="0"/>
              <w:left w:val="single" w:color="000000" w:sz="4" w:space="0"/>
              <w:bottom w:val="single" w:color="000000" w:sz="4" w:space="0"/>
              <w:right w:val="single" w:color="000000" w:sz="4" w:space="0"/>
            </w:tcBorders>
            <w:noWrap/>
            <w:vAlign w:val="center"/>
          </w:tcPr>
          <w:p w14:paraId="6A06D4D4">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b/>
                <w:bCs/>
                <w:i w:val="0"/>
                <w:iCs w:val="0"/>
                <w:color w:val="000000"/>
                <w:kern w:val="0"/>
                <w:sz w:val="18"/>
                <w:szCs w:val="18"/>
                <w:u w:val="none"/>
                <w:lang w:val="en-US" w:eastAsia="zh-CN" w:bidi="ar"/>
              </w:rPr>
              <w:t>项</w:t>
            </w:r>
          </w:p>
        </w:tc>
        <w:tc>
          <w:tcPr>
            <w:tcW w:w="648" w:type="dxa"/>
            <w:tcBorders>
              <w:top w:val="single" w:color="000000" w:sz="4" w:space="0"/>
              <w:left w:val="single" w:color="000000" w:sz="4" w:space="0"/>
              <w:bottom w:val="single" w:color="000000" w:sz="4" w:space="0"/>
              <w:right w:val="single" w:color="000000" w:sz="4" w:space="0"/>
            </w:tcBorders>
            <w:noWrap/>
            <w:vAlign w:val="center"/>
          </w:tcPr>
          <w:p w14:paraId="1498CDA3">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kern w:val="0"/>
                <w:sz w:val="20"/>
                <w:szCs w:val="20"/>
                <w:u w:val="none"/>
                <w:lang w:val="en-US" w:eastAsia="zh-CN" w:bidi="ar"/>
              </w:rPr>
            </w:pPr>
            <w:r>
              <w:rPr>
                <w:rFonts w:hint="default" w:ascii="Times New Roman" w:hAnsi="Times New Roman" w:eastAsia="宋体" w:cs="Times New Roman"/>
                <w:b/>
                <w:bCs/>
                <w:i w:val="0"/>
                <w:iCs w:val="0"/>
                <w:color w:val="000000"/>
                <w:kern w:val="0"/>
                <w:sz w:val="18"/>
                <w:szCs w:val="18"/>
                <w:u w:val="none"/>
                <w:lang w:val="en-US" w:eastAsia="zh-CN" w:bidi="ar"/>
              </w:rPr>
              <w:t xml:space="preserve">1.00 </w:t>
            </w:r>
          </w:p>
        </w:tc>
        <w:tc>
          <w:tcPr>
            <w:tcW w:w="1487" w:type="dxa"/>
            <w:tcBorders>
              <w:top w:val="single" w:color="000000" w:sz="4" w:space="0"/>
              <w:left w:val="single" w:color="000000" w:sz="4" w:space="0"/>
              <w:bottom w:val="single" w:color="000000" w:sz="4" w:space="0"/>
              <w:right w:val="single" w:color="000000" w:sz="4" w:space="0"/>
            </w:tcBorders>
            <w:noWrap/>
            <w:vAlign w:val="center"/>
          </w:tcPr>
          <w:p w14:paraId="0ADC9BCD">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kern w:val="0"/>
                <w:sz w:val="20"/>
                <w:szCs w:val="20"/>
                <w:u w:val="none"/>
                <w:lang w:val="en-US" w:eastAsia="zh-CN" w:bidi="ar"/>
              </w:rPr>
            </w:pPr>
            <w:r>
              <w:rPr>
                <w:rFonts w:hint="default" w:ascii="Times New Roman" w:hAnsi="Times New Roman" w:eastAsia="宋体" w:cs="Times New Roman"/>
                <w:b/>
                <w:bCs/>
                <w:i w:val="0"/>
                <w:iCs w:val="0"/>
                <w:color w:val="000000"/>
                <w:kern w:val="0"/>
                <w:sz w:val="18"/>
                <w:szCs w:val="18"/>
                <w:u w:val="none"/>
                <w:lang w:val="en-US" w:eastAsia="zh-CN" w:bidi="ar"/>
              </w:rPr>
              <w:t xml:space="preserve">31.00 </w:t>
            </w:r>
          </w:p>
        </w:tc>
        <w:tc>
          <w:tcPr>
            <w:tcW w:w="2977" w:type="dxa"/>
            <w:tcBorders>
              <w:top w:val="single" w:color="000000" w:sz="4" w:space="0"/>
              <w:left w:val="single" w:color="000000" w:sz="4" w:space="0"/>
              <w:bottom w:val="single" w:color="000000" w:sz="4" w:space="0"/>
              <w:right w:val="single" w:color="000000" w:sz="4" w:space="0"/>
            </w:tcBorders>
            <w:noWrap/>
            <w:vAlign w:val="center"/>
          </w:tcPr>
          <w:p w14:paraId="60201E8B">
            <w:pPr>
              <w:spacing w:line="240" w:lineRule="auto"/>
              <w:ind w:firstLine="0" w:firstLineChars="0"/>
              <w:jc w:val="center"/>
              <w:rPr>
                <w:rFonts w:hint="default" w:ascii="Times New Roman" w:hAnsi="Times New Roman" w:eastAsia="宋体" w:cs="Times New Roman"/>
                <w:i w:val="0"/>
                <w:iCs w:val="0"/>
                <w:color w:val="000000"/>
                <w:sz w:val="18"/>
                <w:szCs w:val="18"/>
                <w:u w:val="none"/>
              </w:rPr>
            </w:pPr>
          </w:p>
        </w:tc>
      </w:tr>
    </w:tbl>
    <w:p w14:paraId="74127F11">
      <w:pPr>
        <w:pStyle w:val="22"/>
        <w:bidi w:val="0"/>
        <w:rPr>
          <w:rFonts w:hint="eastAsia" w:cs="Times New Roman"/>
          <w:b/>
          <w:bCs/>
        </w:rPr>
      </w:pPr>
      <w:bookmarkStart w:id="183" w:name="bookmark34"/>
      <w:bookmarkEnd w:id="183"/>
      <w:bookmarkStart w:id="184" w:name="bookmark38"/>
      <w:bookmarkEnd w:id="184"/>
      <w:bookmarkStart w:id="185" w:name="bookmark33"/>
      <w:bookmarkEnd w:id="185"/>
      <w:bookmarkStart w:id="186" w:name="bookmark37"/>
      <w:bookmarkEnd w:id="186"/>
      <w:bookmarkStart w:id="187" w:name="_Toc24281"/>
      <w:bookmarkStart w:id="188" w:name="_Toc25788"/>
      <w:bookmarkStart w:id="189" w:name="_Toc16383"/>
      <w:bookmarkStart w:id="190" w:name="_Toc28821"/>
      <w:bookmarkStart w:id="191" w:name="_Toc25224"/>
      <w:bookmarkStart w:id="192" w:name="_Toc31348"/>
      <w:bookmarkStart w:id="193" w:name="_Toc148988747"/>
      <w:bookmarkStart w:id="194" w:name="_Toc30899"/>
      <w:bookmarkStart w:id="195" w:name="_Toc150348278"/>
      <w:bookmarkStart w:id="196" w:name="_Toc3492"/>
      <w:bookmarkStart w:id="197" w:name="_Toc22798"/>
      <w:r>
        <w:rPr>
          <w:rFonts w:hint="eastAsia" w:cs="Times New Roman"/>
          <w:b/>
          <w:bCs/>
          <w:lang w:val="en-US" w:eastAsia="zh-CN"/>
        </w:rPr>
        <w:t>1.2.3设备的使用及管理</w:t>
      </w:r>
      <w:bookmarkEnd w:id="187"/>
    </w:p>
    <w:p w14:paraId="4D0D9F0F">
      <w:pPr>
        <w:pStyle w:val="22"/>
        <w:bidi w:val="0"/>
        <w:rPr>
          <w:rFonts w:hint="eastAsia"/>
        </w:rPr>
      </w:pPr>
      <w:r>
        <w:rPr>
          <w:rFonts w:hint="eastAsia"/>
        </w:rPr>
        <w:t>设备是项目的重要财富，是完成业务的重要物资手段，是重要的生产要素之首，对设备的使用和管理是项目的重要内容。因此特制定以下使用制度：</w:t>
      </w:r>
    </w:p>
    <w:p w14:paraId="513068E8">
      <w:pPr>
        <w:pStyle w:val="22"/>
        <w:bidi w:val="0"/>
        <w:rPr>
          <w:rFonts w:hint="eastAsia"/>
          <w:lang w:eastAsia="zh-CN"/>
        </w:rPr>
      </w:pPr>
      <w:r>
        <w:rPr>
          <w:rFonts w:hint="eastAsia"/>
        </w:rPr>
        <w:t>所有生产设备应有生产许可证、出厂合格证、安全检测合格牌，并经资阳市雁江区检测取得安全使用合格证，并挂操作规程牌，方可投入使用；生产设备操作工，必须经过专业技术培训，了解设备的构造和性能，熟悉设备的保养和安全操作规程，持有市局级以上操作证，方可上岗操作；大型设备必须定人、定机、定岗位，专人专机负责制，右面机组人员不得擅自操作，维修时必须2人以上在场；大型设备必须有灵敏限位、保险装置、缓冲装置，严禁使用超标准、报废、锈蚀钢丝绳和作业用的吊装钢丝；运输司机必须严格按性能表中规定的指标进行操作，严禁超载使用和违章作业夜间工作时，现场必须具有充分的照明设备的维护和保养，必须经常进行检查，保证传动部分应有足够的润滑油。对易损件必须经常检查、维修和更换；对机械的紧固螺栓，特别是经常振动的零件，应经常进行检查是否松动，必须及时拧紧各机构的制动器，必须经常进行检查和调整，保证随时灵敏可靠；冬季使用时，必须抹冬季润滑油，待油温上升和控制阀动作灵活后，再正式使用；经常检查电缆、电线有无损伤；安全保护器是否灵敏；电动机是否有过热现象；电刷接触面是否清洁平整（接触面不小于50%）；交流接触器、行程开关的触点，开关是否灵活，不得有弧坑；电闸控制箱、配电箱经常保持清洁，机坑不得有积水，排水良好，接地电阻不得大于4Ω；所有作业人员须热爱本职工作，忠于职守，保证工作质量。对技术精益求精、同心同德、团结协作，对国家/集体/自己负责，尽职尽责地安全地使用好、保养好、爱护好产设备</w:t>
      </w:r>
      <w:r>
        <w:rPr>
          <w:rFonts w:hint="eastAsia"/>
          <w:lang w:eastAsia="zh-CN"/>
        </w:rPr>
        <w:t>。</w:t>
      </w:r>
    </w:p>
    <w:p w14:paraId="6F8921E1">
      <w:pPr>
        <w:pStyle w:val="22"/>
        <w:bidi w:val="0"/>
        <w:rPr>
          <w:rFonts w:hint="eastAsia" w:cs="Times New Roman"/>
          <w:b/>
          <w:bCs/>
        </w:rPr>
      </w:pPr>
      <w:bookmarkStart w:id="198" w:name="_Toc3172"/>
      <w:bookmarkStart w:id="199" w:name="_Toc22114"/>
      <w:r>
        <w:rPr>
          <w:rFonts w:hint="eastAsia" w:cs="Times New Roman"/>
          <w:b/>
          <w:bCs/>
          <w:lang w:val="en-US" w:eastAsia="zh-CN"/>
        </w:rPr>
        <w:t>1.3工程</w:t>
      </w:r>
      <w:r>
        <w:rPr>
          <w:rFonts w:hint="eastAsia" w:cs="Times New Roman"/>
          <w:b/>
          <w:bCs/>
        </w:rPr>
        <w:t>方案</w:t>
      </w:r>
      <w:bookmarkEnd w:id="188"/>
      <w:bookmarkEnd w:id="189"/>
      <w:bookmarkEnd w:id="190"/>
      <w:bookmarkEnd w:id="191"/>
      <w:bookmarkEnd w:id="192"/>
      <w:bookmarkEnd w:id="193"/>
      <w:bookmarkEnd w:id="194"/>
      <w:bookmarkEnd w:id="195"/>
      <w:bookmarkEnd w:id="196"/>
      <w:bookmarkEnd w:id="197"/>
      <w:bookmarkEnd w:id="198"/>
      <w:bookmarkEnd w:id="199"/>
    </w:p>
    <w:p w14:paraId="018E0D68">
      <w:pPr>
        <w:pStyle w:val="22"/>
        <w:bidi w:val="0"/>
        <w:rPr>
          <w:rFonts w:hint="default" w:cs="Times New Roman"/>
          <w:b/>
          <w:bCs/>
          <w:lang w:val="en-US" w:eastAsia="zh-CN"/>
        </w:rPr>
      </w:pPr>
      <w:bookmarkStart w:id="200" w:name="_Toc13370"/>
      <w:r>
        <w:rPr>
          <w:rFonts w:hint="eastAsia" w:cs="Times New Roman"/>
          <w:b/>
          <w:bCs/>
          <w:lang w:val="en-US" w:eastAsia="zh-CN"/>
        </w:rPr>
        <w:t>1.3.1总平面布置</w:t>
      </w:r>
      <w:bookmarkEnd w:id="200"/>
    </w:p>
    <w:p w14:paraId="32FD5C39">
      <w:pPr>
        <w:pStyle w:val="22"/>
        <w:bidi w:val="0"/>
        <w:rPr>
          <w:rFonts w:hint="eastAsia"/>
        </w:rPr>
      </w:pPr>
      <w:r>
        <w:rPr>
          <w:rFonts w:hint="eastAsia"/>
        </w:rPr>
        <w:t>一、设计要求</w:t>
      </w:r>
    </w:p>
    <w:p w14:paraId="5687C243">
      <w:pPr>
        <w:pStyle w:val="22"/>
        <w:bidi w:val="0"/>
        <w:rPr>
          <w:rFonts w:hint="eastAsia"/>
        </w:rPr>
      </w:pPr>
      <w:r>
        <w:rPr>
          <w:rFonts w:hint="eastAsia"/>
        </w:rPr>
        <w:t>总平面的设计应方便运营，有利于管理，符合相关规范。</w:t>
      </w:r>
    </w:p>
    <w:p w14:paraId="5B5BF717">
      <w:pPr>
        <w:pStyle w:val="22"/>
        <w:bidi w:val="0"/>
        <w:rPr>
          <w:rFonts w:hint="eastAsia"/>
        </w:rPr>
      </w:pPr>
      <w:r>
        <w:rPr>
          <w:rFonts w:hint="eastAsia"/>
        </w:rPr>
        <w:t>中心地面将用钢筋混凝土结构，防止对土壤的污染，周边设置排水沟渠，参考资阳市历史上最大降雨时的排水容量而设计。</w:t>
      </w:r>
    </w:p>
    <w:p w14:paraId="004BC393">
      <w:pPr>
        <w:pStyle w:val="22"/>
        <w:bidi w:val="0"/>
        <w:rPr>
          <w:rFonts w:hint="eastAsia"/>
        </w:rPr>
      </w:pPr>
      <w:r>
        <w:rPr>
          <w:rFonts w:hint="eastAsia"/>
        </w:rPr>
        <w:t>在构造上，室外的雨水等也不能流进室内；室内的地面，特别是重型机械经过的地方都是钢筋混凝土结构。另外，室外设有雨水回收的储存罐，有效地利用水资源。</w:t>
      </w:r>
    </w:p>
    <w:p w14:paraId="0C4ECE47">
      <w:pPr>
        <w:pStyle w:val="22"/>
        <w:bidi w:val="0"/>
        <w:rPr>
          <w:rFonts w:hint="eastAsia"/>
        </w:rPr>
      </w:pPr>
      <w:r>
        <w:rPr>
          <w:rFonts w:hint="eastAsia"/>
        </w:rPr>
        <w:t>生活垃圾应在源头进行单独分类、收集并密闭运输，垃圾集中压缩设施宜与生活垃圾渗滤液处理设施集中布局。</w:t>
      </w:r>
    </w:p>
    <w:p w14:paraId="1C71CFFD">
      <w:pPr>
        <w:pStyle w:val="22"/>
        <w:bidi w:val="0"/>
        <w:rPr>
          <w:rFonts w:hint="eastAsia"/>
        </w:rPr>
      </w:pPr>
      <w:r>
        <w:rPr>
          <w:rFonts w:hint="eastAsia"/>
        </w:rPr>
        <w:t>中心应通风、光线良好，安全设施齐全</w:t>
      </w:r>
    </w:p>
    <w:p w14:paraId="661BC78E">
      <w:pPr>
        <w:pStyle w:val="22"/>
        <w:bidi w:val="0"/>
        <w:rPr>
          <w:rFonts w:hint="eastAsia"/>
        </w:rPr>
      </w:pPr>
      <w:r>
        <w:rPr>
          <w:rFonts w:hint="eastAsia"/>
        </w:rPr>
        <w:t>满足运输、消防、施工等有关规范或规定。</w:t>
      </w:r>
    </w:p>
    <w:p w14:paraId="45489334">
      <w:pPr>
        <w:pStyle w:val="22"/>
        <w:bidi w:val="0"/>
        <w:rPr>
          <w:rFonts w:hint="eastAsia"/>
        </w:rPr>
      </w:pPr>
      <w:r>
        <w:rPr>
          <w:rFonts w:hint="eastAsia"/>
        </w:rPr>
        <w:t>二、设计依据</w:t>
      </w:r>
    </w:p>
    <w:p w14:paraId="6B2AE693">
      <w:pPr>
        <w:pStyle w:val="22"/>
        <w:bidi w:val="0"/>
        <w:rPr>
          <w:rFonts w:hint="eastAsia"/>
        </w:rPr>
      </w:pPr>
      <w:r>
        <w:rPr>
          <w:rFonts w:hint="eastAsia"/>
        </w:rPr>
        <w:t>《工业项目建设用地控制指标（征求意见稿）》2021；</w:t>
      </w:r>
    </w:p>
    <w:p w14:paraId="3DC7FA8B">
      <w:pPr>
        <w:pStyle w:val="22"/>
        <w:bidi w:val="0"/>
        <w:rPr>
          <w:rFonts w:hint="eastAsia"/>
        </w:rPr>
      </w:pPr>
      <w:r>
        <w:rPr>
          <w:rFonts w:hint="eastAsia"/>
        </w:rPr>
        <w:t>《工业企业总平面设计规范》（GB50187-2012）；</w:t>
      </w:r>
    </w:p>
    <w:p w14:paraId="10DA4EBA">
      <w:pPr>
        <w:pStyle w:val="22"/>
        <w:bidi w:val="0"/>
        <w:rPr>
          <w:rFonts w:hint="eastAsia"/>
        </w:rPr>
      </w:pPr>
      <w:r>
        <w:rPr>
          <w:rFonts w:hint="eastAsia"/>
        </w:rPr>
        <w:t>《厂矿道路设计规范》（GBJ50022-87）；</w:t>
      </w:r>
    </w:p>
    <w:p w14:paraId="78946327">
      <w:pPr>
        <w:pStyle w:val="22"/>
        <w:bidi w:val="0"/>
        <w:rPr>
          <w:rFonts w:hint="eastAsia"/>
        </w:rPr>
      </w:pPr>
      <w:r>
        <w:rPr>
          <w:rFonts w:hint="eastAsia"/>
        </w:rPr>
        <w:t>《建筑设计防火规范》（GB50016-2006）；</w:t>
      </w:r>
    </w:p>
    <w:p w14:paraId="754EBE78">
      <w:pPr>
        <w:pStyle w:val="22"/>
        <w:bidi w:val="0"/>
        <w:rPr>
          <w:rFonts w:hint="eastAsia"/>
        </w:rPr>
      </w:pPr>
      <w:r>
        <w:rPr>
          <w:rFonts w:hint="eastAsia"/>
        </w:rPr>
        <w:t>《工业企业厂界噪声标准》（GB12348-2008）；</w:t>
      </w:r>
    </w:p>
    <w:p w14:paraId="2C796719">
      <w:pPr>
        <w:pStyle w:val="22"/>
        <w:bidi w:val="0"/>
        <w:rPr>
          <w:rFonts w:hint="eastAsia"/>
        </w:rPr>
      </w:pPr>
      <w:r>
        <w:rPr>
          <w:rFonts w:hint="eastAsia"/>
        </w:rPr>
        <w:t>《工业企业噪声控制设计规范》（GB/T50087-2013）；</w:t>
      </w:r>
    </w:p>
    <w:p w14:paraId="29A6D9DC">
      <w:pPr>
        <w:pStyle w:val="22"/>
        <w:bidi w:val="0"/>
        <w:rPr>
          <w:rFonts w:hint="eastAsia"/>
        </w:rPr>
      </w:pPr>
      <w:r>
        <w:rPr>
          <w:rFonts w:hint="eastAsia"/>
        </w:rPr>
        <w:t>《工业企业设计卫生标准》（GBZ1-2010）；</w:t>
      </w:r>
    </w:p>
    <w:p w14:paraId="5B22A6DF">
      <w:pPr>
        <w:pStyle w:val="22"/>
        <w:bidi w:val="0"/>
        <w:rPr>
          <w:rFonts w:hint="eastAsia"/>
        </w:rPr>
      </w:pPr>
      <w:r>
        <w:rPr>
          <w:rFonts w:hint="eastAsia"/>
        </w:rPr>
        <w:t>《建筑采光设计标准》（GB50033-2013）。</w:t>
      </w:r>
    </w:p>
    <w:p w14:paraId="4A89A4F1">
      <w:pPr>
        <w:pStyle w:val="22"/>
        <w:bidi w:val="0"/>
        <w:rPr>
          <w:rFonts w:hint="eastAsia"/>
        </w:rPr>
      </w:pPr>
      <w:r>
        <w:rPr>
          <w:rFonts w:hint="eastAsia"/>
        </w:rPr>
        <w:t>三、总平面布置</w:t>
      </w:r>
    </w:p>
    <w:p w14:paraId="6425F220">
      <w:pPr>
        <w:pStyle w:val="22"/>
        <w:bidi w:val="0"/>
        <w:rPr>
          <w:rFonts w:hint="eastAsia"/>
        </w:rPr>
      </w:pPr>
      <w:r>
        <w:rPr>
          <w:rFonts w:hint="eastAsia"/>
        </w:rPr>
        <w:t>平面布置严格按照《建筑设计防火规范》和《工业企业总平面设计规范》要求进行，并考虑安全、实用等原则，要求如下：</w:t>
      </w:r>
    </w:p>
    <w:p w14:paraId="05CA6B11">
      <w:pPr>
        <w:pStyle w:val="22"/>
        <w:bidi w:val="0"/>
        <w:rPr>
          <w:rFonts w:hint="eastAsia"/>
        </w:rPr>
      </w:pPr>
      <w:r>
        <w:rPr>
          <w:rFonts w:hint="eastAsia"/>
        </w:rPr>
        <w:t>1、按使用功能分区要求布置。总平面布置方案根据中心现有各组成部分的性质、使用功能、交通、防火和卫生等因素，按功能分类原则进行布置</w:t>
      </w:r>
    </w:p>
    <w:p w14:paraId="585BA339">
      <w:pPr>
        <w:pStyle w:val="22"/>
        <w:bidi w:val="0"/>
        <w:rPr>
          <w:rFonts w:hint="eastAsia"/>
        </w:rPr>
      </w:pPr>
      <w:r>
        <w:rPr>
          <w:rFonts w:hint="eastAsia"/>
        </w:rPr>
        <w:t>2、充分利用现有条件，节省工程投资。充分利用地形、地势、工程地质及水文地质条件，合理地布置建筑物、构筑物和有关设施，减少土（石）方工程量和基础工程费用；最大可能地利用现有场地生产条件，节省工程投资，保持整个项目功能布局的整体性、统一性、协调性。</w:t>
      </w:r>
    </w:p>
    <w:p w14:paraId="353C04DA">
      <w:pPr>
        <w:pStyle w:val="22"/>
        <w:bidi w:val="0"/>
        <w:rPr>
          <w:rFonts w:hint="eastAsia"/>
        </w:rPr>
      </w:pPr>
      <w:r>
        <w:rPr>
          <w:rFonts w:hint="eastAsia"/>
        </w:rPr>
        <w:t>3、正确处理建筑物的组合安排。结合当地气象条件，使建筑物具有良好的朝向、采光和自然通风条件；安排好建筑体型、间距、布置方式与地形、道路、管线的协调等。中心布置时尽量将生活区布置在风向上游，配电设施和配电房不安排在循环水池主导风向的下风处。</w:t>
      </w:r>
    </w:p>
    <w:p w14:paraId="16474C56">
      <w:pPr>
        <w:pStyle w:val="22"/>
        <w:bidi w:val="0"/>
        <w:rPr>
          <w:rFonts w:hint="eastAsia"/>
        </w:rPr>
      </w:pPr>
      <w:r>
        <w:rPr>
          <w:rFonts w:hint="eastAsia"/>
        </w:rPr>
        <w:t>4、合理组织交通流线。根据工程作业线和工艺流程的要求合理</w:t>
      </w:r>
    </w:p>
    <w:p w14:paraId="0F759B67">
      <w:pPr>
        <w:pStyle w:val="22"/>
        <w:bidi w:val="0"/>
      </w:pPr>
      <w:r>
        <w:rPr>
          <w:rFonts w:hint="eastAsia"/>
        </w:rPr>
        <w:t>组织物流、流量和车行系统和人行系统，使中心运输畅通，合理分散人流和物流。在平面布置过程中，充分考虑投资强度，建筑系数、容积率以及用地政策的符合性，项目总图布置按功能分区，既满足生产工艺要求，又能美化环境。按照整体规划，中心围墙采用砖混+铁艺围墙。共设计2个出入口，内部道路为环形，主干道宽度为8m，次干道宽度为6m，联系各出入口形成顺畅的运输和消防通道。</w:t>
      </w:r>
    </w:p>
    <w:p w14:paraId="0B5CDDC5">
      <w:pPr>
        <w:pStyle w:val="22"/>
        <w:bidi w:val="0"/>
        <w:rPr>
          <w:rFonts w:hint="eastAsia" w:cs="Times New Roman"/>
          <w:b/>
          <w:bCs/>
          <w:lang w:eastAsia="zh-CN"/>
        </w:rPr>
      </w:pPr>
      <w:bookmarkStart w:id="201" w:name="_Toc198"/>
      <w:r>
        <w:rPr>
          <w:rFonts w:hint="eastAsia" w:cs="Times New Roman"/>
          <w:b/>
          <w:bCs/>
          <w:lang w:val="en-US" w:eastAsia="zh-CN"/>
        </w:rPr>
        <w:t>1.3.2竖向设计</w:t>
      </w:r>
      <w:bookmarkEnd w:id="201"/>
    </w:p>
    <w:p w14:paraId="3C7C45CE">
      <w:pPr>
        <w:pStyle w:val="22"/>
        <w:bidi w:val="0"/>
        <w:rPr>
          <w:rFonts w:hint="eastAsia"/>
        </w:rPr>
      </w:pPr>
      <w:r>
        <w:rPr>
          <w:rFonts w:hint="eastAsia"/>
        </w:rPr>
        <w:t>项目竖向设计应与总平面布置同时进行，且与经济区现有和规划的运输线路、排水系统、周围场地标高等相协调，竖向设计采用平坡式，并根据场地的地形和地质条件、面积、建筑物大小、工艺、运输方式、建筑密度、管线敷设、施工方法等因素合理确定。满足生产、运输要求；使项目不被洪水、潮水及内涝水淹没；合理利用自然地形，尽量减少土（石）方、建筑物和构筑物基础、护坡和挡土墙等工程量；填、挖方工程应防止产生滑坡、塌方。充分利用和保护现有排水系统，与现有场地竖向相协调。</w:t>
      </w:r>
    </w:p>
    <w:p w14:paraId="297BC8DC">
      <w:pPr>
        <w:pStyle w:val="22"/>
        <w:bidi w:val="0"/>
      </w:pPr>
      <w:r>
        <w:rPr>
          <w:rFonts w:hint="eastAsia"/>
        </w:rPr>
        <w:t>在项目建设过程中，由于各种管线要地下埋设，因此建筑设计时要求做好竖向设计，避免施工中发生交叉矛盾，影响建设质量和工期。</w:t>
      </w:r>
    </w:p>
    <w:p w14:paraId="052AB951">
      <w:pPr>
        <w:pStyle w:val="22"/>
        <w:bidi w:val="0"/>
        <w:rPr>
          <w:rFonts w:hint="default" w:cs="Times New Roman"/>
          <w:b/>
          <w:bCs/>
          <w:lang w:val="en-US" w:eastAsia="zh-CN"/>
        </w:rPr>
      </w:pPr>
      <w:bookmarkStart w:id="202" w:name="_Toc3757"/>
      <w:bookmarkStart w:id="203" w:name="_Toc9503"/>
      <w:r>
        <w:rPr>
          <w:rFonts w:hint="eastAsia" w:cs="Times New Roman"/>
          <w:b/>
          <w:bCs/>
          <w:lang w:val="en-US" w:eastAsia="zh-CN"/>
        </w:rPr>
        <w:t>1.3.3建筑设计</w:t>
      </w:r>
      <w:bookmarkEnd w:id="202"/>
      <w:bookmarkEnd w:id="203"/>
    </w:p>
    <w:p w14:paraId="33D4A66C">
      <w:pPr>
        <w:pStyle w:val="22"/>
        <w:bidi w:val="0"/>
        <w:rPr>
          <w:rFonts w:hint="default"/>
          <w:lang w:val="en-US" w:eastAsia="zh-CN"/>
        </w:rPr>
      </w:pPr>
      <w:r>
        <w:rPr>
          <w:rFonts w:hint="eastAsia"/>
          <w:lang w:val="en-US" w:eastAsia="zh-CN"/>
        </w:rPr>
        <w:t>一、设计依据</w:t>
      </w:r>
    </w:p>
    <w:p w14:paraId="39531A21">
      <w:pPr>
        <w:pStyle w:val="22"/>
        <w:bidi w:val="0"/>
        <w:rPr>
          <w:rFonts w:hint="eastAsia"/>
        </w:rPr>
      </w:pPr>
      <w:r>
        <w:rPr>
          <w:rFonts w:hint="eastAsia"/>
        </w:rPr>
        <w:t>《建筑防火通用规范》GB 55037-2022；</w:t>
      </w:r>
    </w:p>
    <w:p w14:paraId="7B72FBE4">
      <w:pPr>
        <w:pStyle w:val="22"/>
        <w:bidi w:val="0"/>
        <w:rPr>
          <w:rFonts w:hint="eastAsia"/>
        </w:rPr>
      </w:pPr>
      <w:r>
        <w:rPr>
          <w:rFonts w:hint="eastAsia"/>
        </w:rPr>
        <w:t>《建筑设计防火规范（2018版）》（GB50016-2014）；</w:t>
      </w:r>
    </w:p>
    <w:p w14:paraId="057AAA6F">
      <w:pPr>
        <w:pStyle w:val="22"/>
        <w:bidi w:val="0"/>
        <w:rPr>
          <w:rFonts w:hint="eastAsia"/>
        </w:rPr>
      </w:pPr>
      <w:r>
        <w:rPr>
          <w:rFonts w:hint="eastAsia"/>
        </w:rPr>
        <w:t>《建筑内部装修设计防火规范》（GB50222-2017）；</w:t>
      </w:r>
    </w:p>
    <w:p w14:paraId="0A1A9669">
      <w:pPr>
        <w:pStyle w:val="22"/>
        <w:bidi w:val="0"/>
        <w:rPr>
          <w:rFonts w:hint="eastAsia"/>
        </w:rPr>
      </w:pPr>
      <w:r>
        <w:rPr>
          <w:rFonts w:hint="eastAsia"/>
        </w:rPr>
        <w:t>《民用建筑通用规范》</w:t>
      </w:r>
      <w:r>
        <w:rPr>
          <w:rFonts w:hint="eastAsia"/>
          <w:lang w:eastAsia="zh-CN"/>
        </w:rPr>
        <w:t>（</w:t>
      </w:r>
      <w:r>
        <w:rPr>
          <w:rFonts w:hint="eastAsia"/>
        </w:rPr>
        <w:t>GB 50031-2022</w:t>
      </w:r>
      <w:r>
        <w:rPr>
          <w:rFonts w:hint="eastAsia"/>
          <w:lang w:eastAsia="zh-CN"/>
        </w:rPr>
        <w:t>）</w:t>
      </w:r>
      <w:r>
        <w:rPr>
          <w:rFonts w:hint="eastAsia"/>
        </w:rPr>
        <w:t>；</w:t>
      </w:r>
    </w:p>
    <w:p w14:paraId="792DC4E1">
      <w:pPr>
        <w:pStyle w:val="22"/>
        <w:bidi w:val="0"/>
        <w:rPr>
          <w:rFonts w:hint="eastAsia"/>
        </w:rPr>
      </w:pPr>
      <w:r>
        <w:rPr>
          <w:rFonts w:hint="eastAsia"/>
        </w:rPr>
        <w:t>《消防设施通用规范》</w:t>
      </w:r>
      <w:r>
        <w:rPr>
          <w:rFonts w:hint="eastAsia"/>
          <w:lang w:eastAsia="zh-CN"/>
        </w:rPr>
        <w:t>（</w:t>
      </w:r>
      <w:r>
        <w:rPr>
          <w:rFonts w:hint="eastAsia"/>
        </w:rPr>
        <w:t>GB55036-2022</w:t>
      </w:r>
      <w:r>
        <w:rPr>
          <w:rFonts w:hint="eastAsia"/>
          <w:lang w:eastAsia="zh-CN"/>
        </w:rPr>
        <w:t>）</w:t>
      </w:r>
      <w:r>
        <w:rPr>
          <w:rFonts w:hint="eastAsia"/>
        </w:rPr>
        <w:t>；</w:t>
      </w:r>
    </w:p>
    <w:p w14:paraId="1A6E0618">
      <w:pPr>
        <w:pStyle w:val="22"/>
        <w:bidi w:val="0"/>
        <w:rPr>
          <w:rFonts w:hint="eastAsia"/>
        </w:rPr>
      </w:pPr>
      <w:r>
        <w:rPr>
          <w:rFonts w:hint="eastAsia"/>
        </w:rPr>
        <w:t>《建筑防火封堵应用技术规程》</w:t>
      </w:r>
      <w:r>
        <w:rPr>
          <w:rFonts w:hint="eastAsia"/>
          <w:lang w:eastAsia="zh-CN"/>
        </w:rPr>
        <w:t>（</w:t>
      </w:r>
      <w:r>
        <w:rPr>
          <w:rFonts w:hint="eastAsia"/>
        </w:rPr>
        <w:t>GB/T51410-2020</w:t>
      </w:r>
      <w:r>
        <w:rPr>
          <w:rFonts w:hint="eastAsia"/>
          <w:lang w:eastAsia="zh-CN"/>
        </w:rPr>
        <w:t>）</w:t>
      </w:r>
      <w:r>
        <w:rPr>
          <w:rFonts w:hint="eastAsia"/>
        </w:rPr>
        <w:t>；</w:t>
      </w:r>
    </w:p>
    <w:p w14:paraId="0C8832B2">
      <w:pPr>
        <w:pStyle w:val="22"/>
        <w:bidi w:val="0"/>
        <w:rPr>
          <w:rFonts w:hint="eastAsia"/>
        </w:rPr>
      </w:pPr>
      <w:r>
        <w:rPr>
          <w:rFonts w:hint="eastAsia"/>
        </w:rPr>
        <w:t>《建筑与市政工程防水通用规范》</w:t>
      </w:r>
      <w:r>
        <w:rPr>
          <w:rFonts w:hint="eastAsia"/>
          <w:lang w:eastAsia="zh-CN"/>
        </w:rPr>
        <w:t>（</w:t>
      </w:r>
      <w:r>
        <w:rPr>
          <w:rFonts w:hint="eastAsia"/>
        </w:rPr>
        <w:t>GB55030-2022</w:t>
      </w:r>
      <w:r>
        <w:rPr>
          <w:rFonts w:hint="eastAsia"/>
          <w:lang w:eastAsia="zh-CN"/>
        </w:rPr>
        <w:t>）</w:t>
      </w:r>
      <w:r>
        <w:rPr>
          <w:rFonts w:hint="eastAsia"/>
        </w:rPr>
        <w:t>；</w:t>
      </w:r>
    </w:p>
    <w:p w14:paraId="0E4DEF29">
      <w:pPr>
        <w:pStyle w:val="22"/>
        <w:bidi w:val="0"/>
        <w:rPr>
          <w:rFonts w:hint="eastAsia"/>
        </w:rPr>
      </w:pPr>
      <w:r>
        <w:rPr>
          <w:rFonts w:hint="eastAsia"/>
        </w:rPr>
        <w:t>《建筑节能与可再生能源利用通用规范》</w:t>
      </w:r>
      <w:r>
        <w:rPr>
          <w:rFonts w:hint="eastAsia"/>
          <w:lang w:eastAsia="zh-CN"/>
        </w:rPr>
        <w:t>（</w:t>
      </w:r>
      <w:r>
        <w:rPr>
          <w:rFonts w:hint="eastAsia"/>
        </w:rPr>
        <w:t>GB55015-2021</w:t>
      </w:r>
      <w:r>
        <w:rPr>
          <w:rFonts w:hint="eastAsia"/>
          <w:lang w:eastAsia="zh-CN"/>
        </w:rPr>
        <w:t>）</w:t>
      </w:r>
      <w:r>
        <w:rPr>
          <w:rFonts w:hint="eastAsia"/>
        </w:rPr>
        <w:t>；</w:t>
      </w:r>
    </w:p>
    <w:p w14:paraId="724444B7">
      <w:pPr>
        <w:pStyle w:val="22"/>
        <w:bidi w:val="0"/>
        <w:rPr>
          <w:rFonts w:hint="eastAsia"/>
        </w:rPr>
      </w:pPr>
      <w:r>
        <w:rPr>
          <w:rFonts w:hint="eastAsia"/>
        </w:rPr>
        <w:t>《公共建筑节能设计标准》（GB50189-2015）；</w:t>
      </w:r>
    </w:p>
    <w:p w14:paraId="7103AFF6">
      <w:pPr>
        <w:pStyle w:val="22"/>
        <w:bidi w:val="0"/>
        <w:rPr>
          <w:rFonts w:hint="eastAsia"/>
        </w:rPr>
      </w:pPr>
      <w:r>
        <w:rPr>
          <w:rFonts w:hint="eastAsia"/>
        </w:rPr>
        <w:t>《房屋建筑室内装饰装修制图标准》（MTGJ/T244-2011）；</w:t>
      </w:r>
    </w:p>
    <w:p w14:paraId="09ACD5AA">
      <w:pPr>
        <w:pStyle w:val="22"/>
        <w:bidi w:val="0"/>
        <w:rPr>
          <w:rFonts w:hint="eastAsia"/>
        </w:rPr>
      </w:pPr>
      <w:r>
        <w:rPr>
          <w:rFonts w:hint="eastAsia"/>
        </w:rPr>
        <w:t>《建筑照明设计标准》（GB50034-2013）；</w:t>
      </w:r>
    </w:p>
    <w:p w14:paraId="4F5784CC">
      <w:pPr>
        <w:pStyle w:val="22"/>
        <w:bidi w:val="0"/>
        <w:rPr>
          <w:rFonts w:hint="eastAsia"/>
        </w:rPr>
      </w:pPr>
      <w:r>
        <w:rPr>
          <w:rFonts w:hint="eastAsia"/>
        </w:rPr>
        <w:t>《建筑地面设计规范》（GB50037-2013）；</w:t>
      </w:r>
    </w:p>
    <w:p w14:paraId="4B91F67C">
      <w:pPr>
        <w:pStyle w:val="22"/>
        <w:bidi w:val="0"/>
        <w:rPr>
          <w:rFonts w:hint="eastAsia"/>
        </w:rPr>
      </w:pPr>
      <w:r>
        <w:rPr>
          <w:rFonts w:hint="eastAsia"/>
        </w:rPr>
        <w:t>《民用建筑电气设计规范》（JGJ/T16-2008）；</w:t>
      </w:r>
    </w:p>
    <w:p w14:paraId="2429D3F0">
      <w:pPr>
        <w:pStyle w:val="22"/>
        <w:bidi w:val="0"/>
        <w:rPr>
          <w:rFonts w:hint="eastAsia"/>
        </w:rPr>
      </w:pPr>
      <w:r>
        <w:rPr>
          <w:rFonts w:hint="eastAsia"/>
        </w:rPr>
        <w:t>《低压配电设计规范》（GB50054-2011）；</w:t>
      </w:r>
    </w:p>
    <w:p w14:paraId="3C905FE3">
      <w:pPr>
        <w:pStyle w:val="22"/>
        <w:bidi w:val="0"/>
        <w:rPr>
          <w:rFonts w:hint="eastAsia"/>
        </w:rPr>
      </w:pPr>
      <w:r>
        <w:rPr>
          <w:rFonts w:hint="eastAsia"/>
        </w:rPr>
        <w:t>相关的国家、地方、行业规范、规程。</w:t>
      </w:r>
    </w:p>
    <w:p w14:paraId="751CEB4A">
      <w:pPr>
        <w:pStyle w:val="22"/>
        <w:bidi w:val="0"/>
        <w:rPr>
          <w:rFonts w:hint="eastAsia"/>
        </w:rPr>
      </w:pPr>
      <w:r>
        <w:rPr>
          <w:rFonts w:hint="eastAsia"/>
        </w:rPr>
        <w:t>二、平/剖面布局</w:t>
      </w:r>
    </w:p>
    <w:p w14:paraId="1C970001">
      <w:pPr>
        <w:pStyle w:val="22"/>
        <w:bidi w:val="0"/>
        <w:rPr>
          <w:rFonts w:hint="eastAsia"/>
        </w:rPr>
      </w:pPr>
      <w:r>
        <w:rPr>
          <w:rFonts w:hint="eastAsia"/>
        </w:rPr>
        <w:t>新建城东环卫运营中心1处、50吨垃圾渗滤液处置中心1座、大件垃圾拆解处置站1座、智慧垃圾分类驿站200处，如下：</w:t>
      </w:r>
    </w:p>
    <w:p w14:paraId="69562F03">
      <w:pPr>
        <w:pStyle w:val="22"/>
        <w:bidi w:val="0"/>
        <w:rPr>
          <w:rFonts w:hint="eastAsia"/>
        </w:rPr>
      </w:pPr>
      <w:r>
        <w:rPr>
          <w:rFonts w:hint="eastAsia"/>
        </w:rPr>
        <w:t>三、立面造型</w:t>
      </w:r>
    </w:p>
    <w:p w14:paraId="0110A659">
      <w:pPr>
        <w:pStyle w:val="22"/>
        <w:bidi w:val="0"/>
        <w:rPr>
          <w:rFonts w:hint="eastAsia"/>
        </w:rPr>
      </w:pPr>
      <w:r>
        <w:rPr>
          <w:rFonts w:hint="eastAsia"/>
        </w:rPr>
        <w:t>在建筑造型设计上，采用现代建筑的设计手法，颇具时代感。</w:t>
      </w:r>
    </w:p>
    <w:p w14:paraId="5BC62373">
      <w:pPr>
        <w:pStyle w:val="22"/>
        <w:bidi w:val="0"/>
        <w:rPr>
          <w:rFonts w:hint="eastAsia"/>
        </w:rPr>
      </w:pPr>
      <w:r>
        <w:rPr>
          <w:rFonts w:hint="eastAsia"/>
        </w:rPr>
        <w:t>功能优先，体量简明，通过韵律、序列等手法的运用，使建筑体量与总体布局虚实相间，凹凸有致，层次丰富；内外环境相互渗透，阳光和绿色得以自然过渡，打破了建筑群体的单调感，整体造型简洁大方。建筑设计力求体现蓬勃发展、锐意进取的崭新面貌，创造一个充满活力，富有时代气息建筑形象。</w:t>
      </w:r>
    </w:p>
    <w:p w14:paraId="2DBA1AE2">
      <w:pPr>
        <w:pStyle w:val="22"/>
        <w:bidi w:val="0"/>
        <w:rPr>
          <w:rFonts w:hint="eastAsia"/>
        </w:rPr>
      </w:pPr>
      <w:r>
        <w:rPr>
          <w:rFonts w:hint="eastAsia"/>
        </w:rPr>
        <w:t>立面造型采用不同部分体量的对比穿插，将不同外墙材质和不同体块的对比进</w:t>
      </w:r>
    </w:p>
    <w:p w14:paraId="68C54389">
      <w:pPr>
        <w:pStyle w:val="22"/>
        <w:bidi w:val="0"/>
        <w:rPr>
          <w:rFonts w:hint="eastAsia"/>
        </w:rPr>
      </w:pPr>
      <w:r>
        <w:rPr>
          <w:rFonts w:hint="eastAsia"/>
        </w:rPr>
        <w:t>行严格区分，大实大虚对比强烈，增强视觉冲击感，形式新颖。</w:t>
      </w:r>
    </w:p>
    <w:p w14:paraId="305DB5F9">
      <w:pPr>
        <w:pStyle w:val="22"/>
        <w:bidi w:val="0"/>
        <w:rPr>
          <w:rFonts w:hint="eastAsia"/>
        </w:rPr>
      </w:pPr>
      <w:r>
        <w:rPr>
          <w:rFonts w:hint="eastAsia"/>
        </w:rPr>
        <w:t>四、建筑用料</w:t>
      </w:r>
    </w:p>
    <w:p w14:paraId="3C97A48F">
      <w:pPr>
        <w:pStyle w:val="22"/>
        <w:bidi w:val="0"/>
        <w:rPr>
          <w:rFonts w:hint="eastAsia"/>
        </w:rPr>
      </w:pPr>
      <w:r>
        <w:rPr>
          <w:rFonts w:hint="eastAsia"/>
        </w:rPr>
        <w:t>不上人屋面：40厚C20细石混凝土，0.4mm厚聚乙烯膜隔离层，50厚岩棉板保温层，1.5mm厚高聚物改性沥青防水卷材二道（自粘无胎）+1.5mm厚JS-Ⅱ型聚合物水泥防水涂料，20厚DS M15水泥砂浆找平层，最薄处30厚04级配泡沫混凝土找坡2%面层抹光，钢筋混凝土结构板。</w:t>
      </w:r>
    </w:p>
    <w:p w14:paraId="1AAAF3D0">
      <w:pPr>
        <w:pStyle w:val="22"/>
        <w:bidi w:val="0"/>
        <w:rPr>
          <w:rFonts w:hint="eastAsia"/>
          <w:lang w:val="en-US" w:eastAsia="zh-CN"/>
        </w:rPr>
      </w:pPr>
      <w:r>
        <w:rPr>
          <w:rFonts w:hint="eastAsia"/>
        </w:rPr>
        <w:t>底层主入口选用不锈钢门框卷帘门、木质人行疏散门和玻璃门。外立面采用高级外墙真石漆、铝板、铝合金窗。外墙用200厚页岩多孔砖，内墙为200厚页岩多孔砖。外窗采用隔热金属型材铝合金窗框，LOW-E玻璃。入口和局部砼路基上铺广场砖，建筑物四周为沥青车行道路面（满足消防车最大荷载要求）</w:t>
      </w:r>
      <w:r>
        <w:rPr>
          <w:rFonts w:hint="eastAsia"/>
          <w:lang w:val="en-US" w:eastAsia="zh-CN"/>
        </w:rPr>
        <w:t>。</w:t>
      </w:r>
    </w:p>
    <w:p w14:paraId="087D0226">
      <w:pPr>
        <w:pStyle w:val="22"/>
        <w:bidi w:val="0"/>
        <w:rPr>
          <w:rFonts w:hint="eastAsia" w:cs="Times New Roman"/>
          <w:b/>
          <w:bCs/>
          <w:lang w:val="en-US" w:eastAsia="zh-CN"/>
        </w:rPr>
      </w:pPr>
      <w:bookmarkStart w:id="204" w:name="_Toc2885"/>
      <w:bookmarkStart w:id="205" w:name="_Toc10001"/>
      <w:r>
        <w:rPr>
          <w:rFonts w:hint="eastAsia" w:cs="Times New Roman"/>
          <w:b/>
          <w:bCs/>
          <w:lang w:val="en-US" w:eastAsia="zh-CN"/>
        </w:rPr>
        <w:t>1.3.4结构设计</w:t>
      </w:r>
      <w:bookmarkEnd w:id="204"/>
      <w:bookmarkEnd w:id="205"/>
    </w:p>
    <w:p w14:paraId="5AA03F5C">
      <w:pPr>
        <w:pStyle w:val="22"/>
        <w:bidi w:val="0"/>
        <w:rPr>
          <w:rFonts w:hint="eastAsia"/>
        </w:rPr>
      </w:pPr>
      <w:r>
        <w:rPr>
          <w:rFonts w:hint="eastAsia"/>
        </w:rPr>
        <w:t>一、设计依据</w:t>
      </w:r>
    </w:p>
    <w:p w14:paraId="4CD01327">
      <w:pPr>
        <w:pStyle w:val="22"/>
        <w:bidi w:val="0"/>
        <w:rPr>
          <w:rFonts w:hint="eastAsia"/>
        </w:rPr>
      </w:pPr>
      <w:r>
        <w:rPr>
          <w:rFonts w:hint="eastAsia"/>
        </w:rPr>
        <w:t>《建筑结构可靠性设计统一标准》（GB50068-2018）；</w:t>
      </w:r>
    </w:p>
    <w:p w14:paraId="711BB7DD">
      <w:pPr>
        <w:pStyle w:val="22"/>
        <w:bidi w:val="0"/>
        <w:rPr>
          <w:rFonts w:hint="eastAsia"/>
        </w:rPr>
      </w:pPr>
      <w:r>
        <w:rPr>
          <w:rFonts w:hint="eastAsia"/>
        </w:rPr>
        <w:t>《建筑工程抗震设防分类标准》（GB50223-2008）；</w:t>
      </w:r>
    </w:p>
    <w:p w14:paraId="735D4B55">
      <w:pPr>
        <w:pStyle w:val="22"/>
        <w:bidi w:val="0"/>
        <w:rPr>
          <w:rFonts w:hint="eastAsia"/>
        </w:rPr>
      </w:pPr>
      <w:r>
        <w:rPr>
          <w:rFonts w:hint="eastAsia"/>
        </w:rPr>
        <w:t>《建筑结构荷载规范》（GB50009-2012）；</w:t>
      </w:r>
    </w:p>
    <w:p w14:paraId="14662979">
      <w:pPr>
        <w:pStyle w:val="22"/>
        <w:bidi w:val="0"/>
        <w:rPr>
          <w:rFonts w:hint="eastAsia"/>
        </w:rPr>
      </w:pPr>
      <w:r>
        <w:rPr>
          <w:rFonts w:hint="eastAsia"/>
        </w:rPr>
        <w:t>《工程结构通用规范》（GB55001-2021）；</w:t>
      </w:r>
    </w:p>
    <w:p w14:paraId="18A5987C">
      <w:pPr>
        <w:pStyle w:val="22"/>
        <w:bidi w:val="0"/>
        <w:rPr>
          <w:rFonts w:hint="eastAsia"/>
        </w:rPr>
      </w:pPr>
      <w:r>
        <w:rPr>
          <w:rFonts w:hint="eastAsia"/>
        </w:rPr>
        <w:t>《建筑抗震设计规范》（GB50011-2010）（2016版）；</w:t>
      </w:r>
    </w:p>
    <w:p w14:paraId="4738A146">
      <w:pPr>
        <w:pStyle w:val="22"/>
        <w:bidi w:val="0"/>
        <w:rPr>
          <w:rFonts w:hint="eastAsia"/>
        </w:rPr>
      </w:pPr>
      <w:r>
        <w:rPr>
          <w:rFonts w:hint="eastAsia"/>
        </w:rPr>
        <w:t>《混凝土结构设计规范》（GB50010-2010）（2015版）；</w:t>
      </w:r>
    </w:p>
    <w:p w14:paraId="21CBE316">
      <w:pPr>
        <w:pStyle w:val="22"/>
        <w:bidi w:val="0"/>
        <w:rPr>
          <w:rFonts w:hint="eastAsia"/>
        </w:rPr>
      </w:pPr>
      <w:r>
        <w:rPr>
          <w:rFonts w:hint="eastAsia"/>
        </w:rPr>
        <w:t>《建筑地基基础设计规范》（GB50007-2011）；</w:t>
      </w:r>
    </w:p>
    <w:p w14:paraId="4199A36A">
      <w:pPr>
        <w:pStyle w:val="22"/>
        <w:bidi w:val="0"/>
        <w:rPr>
          <w:rFonts w:hint="eastAsia"/>
        </w:rPr>
      </w:pPr>
      <w:r>
        <w:rPr>
          <w:rFonts w:hint="eastAsia"/>
        </w:rPr>
        <w:t>《建筑地基处理技术规范》（JGJ79-2012）；</w:t>
      </w:r>
    </w:p>
    <w:p w14:paraId="630A39F6">
      <w:pPr>
        <w:pStyle w:val="22"/>
        <w:bidi w:val="0"/>
        <w:rPr>
          <w:rFonts w:hint="eastAsia"/>
        </w:rPr>
      </w:pPr>
      <w:r>
        <w:rPr>
          <w:rFonts w:hint="eastAsia"/>
        </w:rPr>
        <w:t>《建筑设计防火规范》（GB50016-2014）（2018年版）；</w:t>
      </w:r>
    </w:p>
    <w:p w14:paraId="69F7F20B">
      <w:pPr>
        <w:pStyle w:val="22"/>
        <w:bidi w:val="0"/>
        <w:rPr>
          <w:rFonts w:hint="eastAsia"/>
        </w:rPr>
      </w:pPr>
      <w:r>
        <w:rPr>
          <w:rFonts w:hint="eastAsia"/>
        </w:rPr>
        <w:t>《混凝土结构耐久性设计规范》（GB/T50476-2019）；</w:t>
      </w:r>
    </w:p>
    <w:p w14:paraId="4BFA72C3">
      <w:pPr>
        <w:pStyle w:val="22"/>
        <w:bidi w:val="0"/>
        <w:rPr>
          <w:rFonts w:hint="eastAsia"/>
        </w:rPr>
      </w:pPr>
      <w:r>
        <w:rPr>
          <w:rFonts w:hint="eastAsia"/>
        </w:rPr>
        <w:t>《混凝土外加剂应用技术规范》（GB50119-2013）；</w:t>
      </w:r>
    </w:p>
    <w:p w14:paraId="3440A27C">
      <w:pPr>
        <w:pStyle w:val="22"/>
        <w:bidi w:val="0"/>
        <w:rPr>
          <w:rFonts w:hint="eastAsia"/>
        </w:rPr>
      </w:pPr>
      <w:r>
        <w:rPr>
          <w:rFonts w:hint="eastAsia"/>
        </w:rPr>
        <w:t>《建筑变形测量规范》（JGJ8-2016）；</w:t>
      </w:r>
    </w:p>
    <w:p w14:paraId="19A31C1E">
      <w:pPr>
        <w:pStyle w:val="22"/>
        <w:bidi w:val="0"/>
        <w:rPr>
          <w:rFonts w:hint="eastAsia"/>
        </w:rPr>
      </w:pPr>
      <w:r>
        <w:rPr>
          <w:rFonts w:hint="eastAsia"/>
        </w:rPr>
        <w:t>《建筑边坡工程技术规范》（GB50330-2013）；</w:t>
      </w:r>
    </w:p>
    <w:p w14:paraId="4266A966">
      <w:pPr>
        <w:pStyle w:val="22"/>
        <w:bidi w:val="0"/>
        <w:rPr>
          <w:rFonts w:hint="eastAsia"/>
        </w:rPr>
      </w:pPr>
      <w:r>
        <w:rPr>
          <w:rFonts w:hint="eastAsia"/>
        </w:rPr>
        <w:t>《钢筋焊接及验收规程》（JGJ18-2012）；</w:t>
      </w:r>
    </w:p>
    <w:p w14:paraId="63D1DD51">
      <w:pPr>
        <w:pStyle w:val="22"/>
        <w:bidi w:val="0"/>
        <w:rPr>
          <w:rFonts w:hint="eastAsia"/>
        </w:rPr>
      </w:pPr>
      <w:r>
        <w:rPr>
          <w:rFonts w:hint="eastAsia"/>
        </w:rPr>
        <w:t>《钢筋机械连接技术规程》（JGJ107-2016）；</w:t>
      </w:r>
    </w:p>
    <w:p w14:paraId="7A029FA9">
      <w:pPr>
        <w:pStyle w:val="22"/>
        <w:bidi w:val="0"/>
        <w:rPr>
          <w:rFonts w:hint="eastAsia"/>
        </w:rPr>
      </w:pPr>
      <w:r>
        <w:rPr>
          <w:rFonts w:hint="eastAsia"/>
        </w:rPr>
        <w:t>《房屋建筑制图统一标准》（GB/T50001-2010）；</w:t>
      </w:r>
    </w:p>
    <w:p w14:paraId="4D033312">
      <w:pPr>
        <w:pStyle w:val="22"/>
        <w:bidi w:val="0"/>
        <w:rPr>
          <w:rFonts w:hint="eastAsia"/>
        </w:rPr>
      </w:pPr>
      <w:r>
        <w:rPr>
          <w:rFonts w:hint="eastAsia"/>
        </w:rPr>
        <w:t>《建筑结构制图标准》（GB/T50105-2010）；</w:t>
      </w:r>
    </w:p>
    <w:p w14:paraId="212918EE">
      <w:pPr>
        <w:pStyle w:val="22"/>
        <w:bidi w:val="0"/>
        <w:rPr>
          <w:rFonts w:hint="eastAsia"/>
        </w:rPr>
      </w:pPr>
      <w:r>
        <w:rPr>
          <w:rFonts w:hint="eastAsia"/>
        </w:rPr>
        <w:t>《建筑结构可靠性设计统一标准》（GB50068-2018）；</w:t>
      </w:r>
    </w:p>
    <w:p w14:paraId="2C6E60E9">
      <w:pPr>
        <w:pStyle w:val="22"/>
        <w:bidi w:val="0"/>
        <w:rPr>
          <w:rFonts w:hint="eastAsia"/>
        </w:rPr>
      </w:pPr>
      <w:r>
        <w:rPr>
          <w:rFonts w:hint="eastAsia"/>
        </w:rPr>
        <w:t>《中国地震动参数区划图》（GB18306-2015）；</w:t>
      </w:r>
    </w:p>
    <w:p w14:paraId="2A0475A6">
      <w:pPr>
        <w:pStyle w:val="22"/>
        <w:bidi w:val="0"/>
        <w:rPr>
          <w:rFonts w:hint="eastAsia"/>
        </w:rPr>
      </w:pPr>
      <w:r>
        <w:rPr>
          <w:rFonts w:hint="eastAsia"/>
        </w:rPr>
        <w:t>《建筑桩基技术规程》（JGJ94-2008）。</w:t>
      </w:r>
    </w:p>
    <w:p w14:paraId="7C08DE7E">
      <w:pPr>
        <w:pStyle w:val="22"/>
        <w:bidi w:val="0"/>
        <w:rPr>
          <w:rFonts w:hint="eastAsia"/>
        </w:rPr>
      </w:pPr>
      <w:r>
        <w:rPr>
          <w:rFonts w:hint="eastAsia"/>
        </w:rPr>
        <w:t>二、设计使用年限</w:t>
      </w:r>
    </w:p>
    <w:p w14:paraId="653C79CB">
      <w:pPr>
        <w:pStyle w:val="22"/>
        <w:bidi w:val="0"/>
        <w:rPr>
          <w:rFonts w:hint="eastAsia"/>
        </w:rPr>
      </w:pPr>
      <w:r>
        <w:rPr>
          <w:rFonts w:hint="eastAsia"/>
        </w:rPr>
        <w:t>主体结构设计使用年限50年，结构设计基准期50年。</w:t>
      </w:r>
    </w:p>
    <w:p w14:paraId="6A5B05D6">
      <w:pPr>
        <w:pStyle w:val="22"/>
        <w:bidi w:val="0"/>
        <w:rPr>
          <w:rFonts w:hint="eastAsia"/>
        </w:rPr>
      </w:pPr>
      <w:r>
        <w:rPr>
          <w:rFonts w:hint="eastAsia"/>
        </w:rPr>
        <w:t>三、自然条件</w:t>
      </w:r>
    </w:p>
    <w:p w14:paraId="6A861495">
      <w:pPr>
        <w:pStyle w:val="22"/>
        <w:bidi w:val="0"/>
        <w:rPr>
          <w:rFonts w:hint="eastAsia"/>
        </w:rPr>
      </w:pPr>
      <w:r>
        <w:rPr>
          <w:rFonts w:hint="eastAsia"/>
        </w:rPr>
        <w:t>抗震设防：烈度6度，设计基本地震加速度值0.05g，设计地震分组第</w:t>
      </w:r>
      <w:r>
        <w:rPr>
          <w:rFonts w:hint="eastAsia"/>
          <w:lang w:eastAsia="zh-CN"/>
        </w:rPr>
        <w:t>一</w:t>
      </w:r>
      <w:r>
        <w:rPr>
          <w:rFonts w:hint="eastAsia"/>
        </w:rPr>
        <w:t>组，设计特征周期（T）为0.</w:t>
      </w:r>
      <w:r>
        <w:rPr>
          <w:rFonts w:hint="eastAsia"/>
          <w:lang w:val="en-US" w:eastAsia="zh-CN"/>
        </w:rPr>
        <w:t>35</w:t>
      </w:r>
      <w:r>
        <w:rPr>
          <w:rFonts w:hint="eastAsia"/>
        </w:rPr>
        <w:t>s。建筑场地类别：Ⅱ类。基本风压取值：根据《建筑结构荷载规范》（GB50009－2012）附录E分布图E.6.3，本工程基本风压采用0.30kN/m²。基本雪压：根据《建筑结构荷载规范》（GB50009－2012）附录E分布图E.6.1，本工程采用50年重现期的基本雪压值为0.</w:t>
      </w:r>
      <w:r>
        <w:rPr>
          <w:rFonts w:hint="eastAsia"/>
          <w:lang w:val="en-US" w:eastAsia="zh-CN"/>
        </w:rPr>
        <w:t>0</w:t>
      </w:r>
      <w:r>
        <w:rPr>
          <w:rFonts w:hint="eastAsia"/>
        </w:rPr>
        <w:t>0kN/㎡。</w:t>
      </w:r>
    </w:p>
    <w:p w14:paraId="02F55EA2">
      <w:pPr>
        <w:pStyle w:val="22"/>
        <w:bidi w:val="0"/>
        <w:rPr>
          <w:rFonts w:hint="eastAsia"/>
        </w:rPr>
      </w:pPr>
      <w:r>
        <w:rPr>
          <w:rFonts w:hint="eastAsia"/>
        </w:rPr>
        <w:t>四、建筑抗震设防分类</w:t>
      </w:r>
    </w:p>
    <w:p w14:paraId="5813F1DE">
      <w:pPr>
        <w:pStyle w:val="22"/>
        <w:bidi w:val="0"/>
        <w:rPr>
          <w:rFonts w:hint="eastAsia"/>
        </w:rPr>
      </w:pPr>
      <w:r>
        <w:rPr>
          <w:rFonts w:hint="eastAsia"/>
        </w:rPr>
        <w:t>按中华人民共和国国家标准《建筑抗震设防分类标准》GB50223-2008的规定，拟建项目建筑抗震设防类别为</w:t>
      </w:r>
      <w:r>
        <w:rPr>
          <w:rFonts w:hint="eastAsia"/>
          <w:lang w:eastAsia="zh-CN"/>
        </w:rPr>
        <w:t>标准</w:t>
      </w:r>
      <w:r>
        <w:rPr>
          <w:rFonts w:hint="eastAsia"/>
        </w:rPr>
        <w:t>设防，标准设防类应按本地区抗震设防烈度进行抗震措施；</w:t>
      </w:r>
      <w:r>
        <w:rPr>
          <w:rFonts w:hint="eastAsia"/>
          <w:lang w:val="en-GB"/>
        </w:rPr>
        <w:t>应按本地区抗震设防烈度的要求确定其地震作用</w:t>
      </w:r>
      <w:r>
        <w:rPr>
          <w:rFonts w:hint="eastAsia"/>
        </w:rPr>
        <w:t>。</w:t>
      </w:r>
    </w:p>
    <w:p w14:paraId="7E7C2F20">
      <w:pPr>
        <w:pStyle w:val="22"/>
        <w:bidi w:val="0"/>
        <w:rPr>
          <w:rFonts w:hint="eastAsia"/>
        </w:rPr>
      </w:pPr>
      <w:r>
        <w:rPr>
          <w:rFonts w:hint="eastAsia"/>
        </w:rPr>
        <w:t>五、结构安全等级</w:t>
      </w:r>
    </w:p>
    <w:p w14:paraId="2942836D">
      <w:pPr>
        <w:pStyle w:val="22"/>
        <w:bidi w:val="0"/>
        <w:rPr>
          <w:rFonts w:hint="eastAsia"/>
        </w:rPr>
      </w:pPr>
      <w:r>
        <w:rPr>
          <w:rFonts w:hint="eastAsia"/>
        </w:rPr>
        <w:t>附属设施、剪力墙、框架柱、梁及楼梯为一级（重要性系数γ0=1.1），其余构件为二级（重要性系数γ0=1.0）；附属设施为二级</w:t>
      </w:r>
    </w:p>
    <w:p w14:paraId="52FE10B9">
      <w:pPr>
        <w:pStyle w:val="22"/>
        <w:bidi w:val="0"/>
        <w:rPr>
          <w:rFonts w:hint="eastAsia"/>
        </w:rPr>
      </w:pPr>
      <w:r>
        <w:rPr>
          <w:rFonts w:hint="eastAsia"/>
        </w:rPr>
        <w:t>六、结构体系</w:t>
      </w:r>
    </w:p>
    <w:p w14:paraId="6480D2D2">
      <w:pPr>
        <w:pStyle w:val="22"/>
        <w:bidi w:val="0"/>
        <w:rPr>
          <w:rFonts w:hint="eastAsia"/>
        </w:rPr>
      </w:pPr>
      <w:r>
        <w:rPr>
          <w:rFonts w:hint="eastAsia"/>
        </w:rPr>
        <w:t>拟采用钢筋混凝土框架结构</w:t>
      </w:r>
      <w:r>
        <w:rPr>
          <w:rFonts w:hint="eastAsia"/>
          <w:lang w:eastAsia="zh-CN"/>
        </w:rPr>
        <w:t>及框架剪力墙结构</w:t>
      </w:r>
      <w:r>
        <w:rPr>
          <w:rFonts w:hint="eastAsia"/>
        </w:rPr>
        <w:t>，</w:t>
      </w:r>
      <w:r>
        <w:rPr>
          <w:rFonts w:hint="eastAsia"/>
          <w:lang w:eastAsia="zh-CN"/>
        </w:rPr>
        <w:t>剪力墙抗震等级为三级，</w:t>
      </w:r>
      <w:r>
        <w:rPr>
          <w:rFonts w:hint="eastAsia"/>
        </w:rPr>
        <w:t>框架抗震等级为</w:t>
      </w:r>
      <w:r>
        <w:rPr>
          <w:rFonts w:hint="eastAsia"/>
          <w:lang w:eastAsia="zh-CN"/>
        </w:rPr>
        <w:t>四</w:t>
      </w:r>
      <w:r>
        <w:rPr>
          <w:rFonts w:hint="eastAsia"/>
        </w:rPr>
        <w:t>级。</w:t>
      </w:r>
    </w:p>
    <w:p w14:paraId="06721DCD">
      <w:pPr>
        <w:pStyle w:val="22"/>
        <w:bidi w:val="0"/>
        <w:rPr>
          <w:rFonts w:hint="eastAsia"/>
        </w:rPr>
      </w:pPr>
      <w:r>
        <w:rPr>
          <w:rFonts w:hint="eastAsia"/>
        </w:rPr>
        <w:t>七、基础设计</w:t>
      </w:r>
    </w:p>
    <w:p w14:paraId="6D022204">
      <w:pPr>
        <w:pStyle w:val="22"/>
        <w:bidi w:val="0"/>
        <w:rPr>
          <w:rFonts w:hint="eastAsia"/>
          <w:lang w:eastAsia="zh-CN"/>
        </w:rPr>
      </w:pPr>
      <w:r>
        <w:rPr>
          <w:rFonts w:hint="eastAsia"/>
        </w:rPr>
        <w:t>地基基础设计等级：乙级。基础设计拟采用柱下</w:t>
      </w:r>
      <w:r>
        <w:rPr>
          <w:rFonts w:hint="eastAsia"/>
          <w:lang w:eastAsia="zh-CN"/>
        </w:rPr>
        <w:t>独立</w:t>
      </w:r>
      <w:r>
        <w:rPr>
          <w:rFonts w:hint="eastAsia"/>
        </w:rPr>
        <w:t>基础</w:t>
      </w:r>
      <w:r>
        <w:rPr>
          <w:rFonts w:hint="eastAsia"/>
          <w:lang w:eastAsia="zh-CN"/>
        </w:rPr>
        <w:t>及筏板基础</w:t>
      </w:r>
    </w:p>
    <w:p w14:paraId="054F7B35">
      <w:pPr>
        <w:pStyle w:val="22"/>
        <w:bidi w:val="0"/>
        <w:rPr>
          <w:rFonts w:hint="eastAsia"/>
        </w:rPr>
      </w:pPr>
      <w:r>
        <w:rPr>
          <w:rFonts w:hint="eastAsia"/>
          <w:lang w:eastAsia="zh-CN"/>
        </w:rPr>
        <w:t>八</w:t>
      </w:r>
      <w:r>
        <w:rPr>
          <w:rFonts w:hint="eastAsia"/>
        </w:rPr>
        <w:t>、主要材料</w:t>
      </w:r>
    </w:p>
    <w:p w14:paraId="43D8975F">
      <w:pPr>
        <w:pStyle w:val="22"/>
        <w:bidi w:val="0"/>
        <w:rPr>
          <w:rFonts w:hint="eastAsia"/>
          <w:lang w:val="en-US"/>
        </w:rPr>
      </w:pPr>
      <w:r>
        <w:rPr>
          <w:rFonts w:hint="eastAsia"/>
        </w:rPr>
        <w:t>混凝土：基础：C</w:t>
      </w:r>
      <w:r>
        <w:rPr>
          <w:rFonts w:hint="eastAsia"/>
          <w:lang w:val="en-US" w:eastAsia="zh-CN"/>
        </w:rPr>
        <w:t>25</w:t>
      </w:r>
      <w:r>
        <w:rPr>
          <w:rFonts w:hint="eastAsia"/>
        </w:rPr>
        <w:t>~C</w:t>
      </w:r>
      <w:r>
        <w:rPr>
          <w:rFonts w:hint="eastAsia"/>
          <w:lang w:val="en-US" w:eastAsia="zh-CN"/>
        </w:rPr>
        <w:t>30</w:t>
      </w:r>
      <w:r>
        <w:rPr>
          <w:rFonts w:hint="eastAsia"/>
        </w:rPr>
        <w:t>防水混凝土，抗渗等级P6；主楼框架柱、剪力墙：C30；主楼梁、板：C30；楼梯：C30；素混凝土垫层：C15；圈梁构造柱：C</w:t>
      </w:r>
      <w:r>
        <w:rPr>
          <w:rFonts w:hint="eastAsia"/>
          <w:lang w:val="en-US" w:eastAsia="zh-CN"/>
        </w:rPr>
        <w:t>30</w:t>
      </w:r>
      <w:r>
        <w:rPr>
          <w:rFonts w:hint="eastAsia"/>
        </w:rPr>
        <w:t>。钢材：Q235B、Q355B，厚度≥40mm的钢板应具有Z方向的性能。钢筋：HPB300级热轧钢筋、HRB400级热轧钢筋、HRB500级热轧钢筋。焊条：E43、E50系列。墙体材料：外墙、用水房间填充墙均采用MU10页岩多孔砖，M5.0普通砂浆砌筑（有水房间为M10.0水泥砂浆砌筑）。页岩多孔砖的干容重不大于13.7kN/m³；其余内部填充墙砌体采用MU3.5页岩空心砖（或其他轻质砌块），M5.0普通砂浆砌筑，页岩空心砖（或其他轻质砌块）的干容重不大于8kN/m³。根据要求，局部隔墙将采用轻质墙板</w:t>
      </w:r>
      <w:r>
        <w:rPr>
          <w:rFonts w:hint="eastAsia"/>
          <w:lang w:val="en-US"/>
        </w:rPr>
        <w:t>。</w:t>
      </w:r>
    </w:p>
    <w:p w14:paraId="5C87542E">
      <w:pPr>
        <w:pStyle w:val="22"/>
        <w:bidi w:val="0"/>
        <w:rPr>
          <w:rFonts w:hint="eastAsia" w:cs="Times New Roman"/>
          <w:b/>
          <w:bCs/>
          <w:lang w:val="en-US" w:eastAsia="zh-CN"/>
        </w:rPr>
      </w:pPr>
      <w:bookmarkStart w:id="206" w:name="_Toc11054"/>
      <w:bookmarkStart w:id="207" w:name="_Toc24517"/>
      <w:bookmarkStart w:id="208" w:name="_Toc4775"/>
      <w:r>
        <w:rPr>
          <w:rFonts w:hint="eastAsia" w:cs="Times New Roman"/>
          <w:b/>
          <w:bCs/>
          <w:lang w:val="en-US" w:eastAsia="zh-CN"/>
        </w:rPr>
        <w:t>1.3.5电气设计</w:t>
      </w:r>
      <w:bookmarkEnd w:id="206"/>
      <w:bookmarkEnd w:id="207"/>
      <w:bookmarkEnd w:id="208"/>
    </w:p>
    <w:p w14:paraId="7A99B4C8">
      <w:pPr>
        <w:pStyle w:val="22"/>
        <w:bidi w:val="0"/>
        <w:rPr>
          <w:rFonts w:hint="eastAsia"/>
        </w:rPr>
      </w:pPr>
      <w:bookmarkStart w:id="209" w:name="_Toc23231"/>
      <w:bookmarkStart w:id="210" w:name="_Toc22703"/>
      <w:r>
        <w:rPr>
          <w:rFonts w:hint="eastAsia"/>
        </w:rPr>
        <w:t>一、设计依据</w:t>
      </w:r>
    </w:p>
    <w:p w14:paraId="5D8FF405">
      <w:pPr>
        <w:pStyle w:val="22"/>
        <w:bidi w:val="0"/>
        <w:rPr>
          <w:rFonts w:hint="eastAsia" w:eastAsia="宋体"/>
          <w:lang w:eastAsia="zh-CN"/>
        </w:rPr>
      </w:pPr>
      <w:r>
        <w:rPr>
          <w:rFonts w:hint="eastAsia"/>
        </w:rPr>
        <w:t>《20kV及以下变电所设计规范》</w:t>
      </w:r>
      <w:r>
        <w:rPr>
          <w:rFonts w:hint="eastAsia"/>
          <w:lang w:eastAsia="zh-CN"/>
        </w:rPr>
        <w:t>（</w:t>
      </w:r>
      <w:r>
        <w:rPr>
          <w:rFonts w:hint="eastAsia"/>
        </w:rPr>
        <w:t>GB50053-2013</w:t>
      </w:r>
      <w:r>
        <w:rPr>
          <w:rFonts w:hint="eastAsia"/>
          <w:lang w:eastAsia="zh-CN"/>
        </w:rPr>
        <w:t>）；</w:t>
      </w:r>
    </w:p>
    <w:p w14:paraId="591A094A">
      <w:pPr>
        <w:pStyle w:val="22"/>
        <w:bidi w:val="0"/>
        <w:rPr>
          <w:rFonts w:hint="eastAsia"/>
        </w:rPr>
      </w:pPr>
      <w:r>
        <w:rPr>
          <w:rFonts w:hint="eastAsia"/>
        </w:rPr>
        <w:t>《供配电系统设计规范》</w:t>
      </w:r>
      <w:r>
        <w:rPr>
          <w:rFonts w:hint="eastAsia"/>
          <w:lang w:eastAsia="zh-CN"/>
        </w:rPr>
        <w:t>（</w:t>
      </w:r>
      <w:r>
        <w:rPr>
          <w:rFonts w:hint="eastAsia"/>
        </w:rPr>
        <w:t>GB50052-2009</w:t>
      </w:r>
      <w:r>
        <w:rPr>
          <w:rFonts w:hint="eastAsia"/>
          <w:lang w:eastAsia="zh-CN"/>
        </w:rPr>
        <w:t>）；</w:t>
      </w:r>
    </w:p>
    <w:p w14:paraId="2C2EAC69">
      <w:pPr>
        <w:pStyle w:val="22"/>
        <w:bidi w:val="0"/>
        <w:rPr>
          <w:rFonts w:hint="eastAsia"/>
        </w:rPr>
      </w:pPr>
      <w:r>
        <w:rPr>
          <w:rFonts w:hint="eastAsia"/>
        </w:rPr>
        <w:t>《低压配电设计规范》</w:t>
      </w:r>
      <w:r>
        <w:rPr>
          <w:rFonts w:hint="eastAsia"/>
          <w:lang w:eastAsia="zh-CN"/>
        </w:rPr>
        <w:t>（</w:t>
      </w:r>
      <w:r>
        <w:rPr>
          <w:rFonts w:hint="eastAsia"/>
        </w:rPr>
        <w:t>GB50054-2011</w:t>
      </w:r>
      <w:r>
        <w:rPr>
          <w:rFonts w:hint="eastAsia"/>
          <w:lang w:eastAsia="zh-CN"/>
        </w:rPr>
        <w:t>）；</w:t>
      </w:r>
    </w:p>
    <w:p w14:paraId="7BC3906A">
      <w:pPr>
        <w:pStyle w:val="22"/>
        <w:bidi w:val="0"/>
        <w:rPr>
          <w:rFonts w:hint="eastAsia"/>
        </w:rPr>
      </w:pPr>
      <w:r>
        <w:rPr>
          <w:rFonts w:hint="eastAsia"/>
        </w:rPr>
        <w:t>《通用用电设备配电设计规范》</w:t>
      </w:r>
      <w:r>
        <w:rPr>
          <w:rFonts w:hint="eastAsia"/>
          <w:lang w:eastAsia="zh-CN"/>
        </w:rPr>
        <w:t>（</w:t>
      </w:r>
      <w:r>
        <w:rPr>
          <w:rFonts w:hint="eastAsia"/>
        </w:rPr>
        <w:t>GB50055-2011</w:t>
      </w:r>
      <w:r>
        <w:rPr>
          <w:rFonts w:hint="eastAsia"/>
          <w:lang w:eastAsia="zh-CN"/>
        </w:rPr>
        <w:t>）；</w:t>
      </w:r>
    </w:p>
    <w:p w14:paraId="4C111316">
      <w:pPr>
        <w:pStyle w:val="22"/>
        <w:bidi w:val="0"/>
        <w:rPr>
          <w:rFonts w:hint="eastAsia"/>
        </w:rPr>
      </w:pPr>
      <w:r>
        <w:rPr>
          <w:rFonts w:hint="eastAsia"/>
        </w:rPr>
        <w:t>《城镇排水系统电气与自动化工程技术规程》</w:t>
      </w:r>
      <w:r>
        <w:rPr>
          <w:rFonts w:hint="eastAsia"/>
          <w:lang w:eastAsia="zh-CN"/>
        </w:rPr>
        <w:t>（</w:t>
      </w:r>
      <w:r>
        <w:rPr>
          <w:rFonts w:hint="eastAsia"/>
        </w:rPr>
        <w:t>CJJ120-2008</w:t>
      </w:r>
      <w:r>
        <w:rPr>
          <w:rFonts w:hint="eastAsia"/>
          <w:lang w:eastAsia="zh-CN"/>
        </w:rPr>
        <w:t>）；</w:t>
      </w:r>
    </w:p>
    <w:p w14:paraId="084BD8A9">
      <w:pPr>
        <w:pStyle w:val="22"/>
        <w:bidi w:val="0"/>
        <w:rPr>
          <w:rFonts w:hint="eastAsia"/>
        </w:rPr>
      </w:pPr>
      <w:r>
        <w:rPr>
          <w:rFonts w:hint="eastAsia"/>
        </w:rPr>
        <w:t>《民用建筑电气设计规范》</w:t>
      </w:r>
      <w:r>
        <w:rPr>
          <w:rFonts w:hint="eastAsia"/>
          <w:lang w:eastAsia="zh-CN"/>
        </w:rPr>
        <w:t>（</w:t>
      </w:r>
      <w:r>
        <w:rPr>
          <w:rFonts w:hint="eastAsia"/>
        </w:rPr>
        <w:t>JGJ16-2008</w:t>
      </w:r>
      <w:r>
        <w:rPr>
          <w:rFonts w:hint="eastAsia"/>
          <w:lang w:eastAsia="zh-CN"/>
        </w:rPr>
        <w:t>）；</w:t>
      </w:r>
    </w:p>
    <w:p w14:paraId="3E48C9E2">
      <w:pPr>
        <w:pStyle w:val="22"/>
        <w:bidi w:val="0"/>
        <w:rPr>
          <w:rFonts w:hint="eastAsia"/>
        </w:rPr>
      </w:pPr>
      <w:r>
        <w:rPr>
          <w:rFonts w:hint="eastAsia"/>
        </w:rPr>
        <w:t>《建筑照明设计标准》</w:t>
      </w:r>
      <w:r>
        <w:rPr>
          <w:rFonts w:hint="eastAsia"/>
          <w:lang w:eastAsia="zh-CN"/>
        </w:rPr>
        <w:t>（</w:t>
      </w:r>
      <w:r>
        <w:rPr>
          <w:rFonts w:hint="eastAsia"/>
        </w:rPr>
        <w:t>GB50034-2013</w:t>
      </w:r>
      <w:r>
        <w:rPr>
          <w:rFonts w:hint="eastAsia"/>
          <w:lang w:eastAsia="zh-CN"/>
        </w:rPr>
        <w:t>）；</w:t>
      </w:r>
    </w:p>
    <w:p w14:paraId="1DA58C1B">
      <w:pPr>
        <w:pStyle w:val="22"/>
        <w:bidi w:val="0"/>
        <w:rPr>
          <w:rFonts w:hint="eastAsia"/>
        </w:rPr>
      </w:pPr>
      <w:r>
        <w:rPr>
          <w:rFonts w:hint="eastAsia"/>
        </w:rPr>
        <w:t>《建筑物防雷设计规范》</w:t>
      </w:r>
      <w:r>
        <w:rPr>
          <w:rFonts w:hint="eastAsia"/>
          <w:lang w:eastAsia="zh-CN"/>
        </w:rPr>
        <w:t>（</w:t>
      </w:r>
      <w:r>
        <w:rPr>
          <w:rFonts w:hint="eastAsia"/>
        </w:rPr>
        <w:t>GB50057-2010</w:t>
      </w:r>
      <w:r>
        <w:rPr>
          <w:rFonts w:hint="eastAsia"/>
          <w:lang w:eastAsia="zh-CN"/>
        </w:rPr>
        <w:t>）；</w:t>
      </w:r>
    </w:p>
    <w:p w14:paraId="326C65E3">
      <w:pPr>
        <w:pStyle w:val="22"/>
        <w:bidi w:val="0"/>
        <w:rPr>
          <w:rFonts w:hint="eastAsia"/>
        </w:rPr>
      </w:pPr>
      <w:r>
        <w:rPr>
          <w:rFonts w:hint="eastAsia"/>
        </w:rPr>
        <w:t>《电力装置的继电保护和自动装置设计规范》</w:t>
      </w:r>
      <w:r>
        <w:rPr>
          <w:rFonts w:hint="eastAsia"/>
          <w:lang w:eastAsia="zh-CN"/>
        </w:rPr>
        <w:t>（</w:t>
      </w:r>
      <w:r>
        <w:rPr>
          <w:rFonts w:hint="eastAsia"/>
        </w:rPr>
        <w:t>GB/T50062-2008</w:t>
      </w:r>
      <w:r>
        <w:rPr>
          <w:rFonts w:hint="eastAsia"/>
          <w:lang w:eastAsia="zh-CN"/>
        </w:rPr>
        <w:t>）；</w:t>
      </w:r>
    </w:p>
    <w:p w14:paraId="4669AD1A">
      <w:pPr>
        <w:pStyle w:val="22"/>
        <w:bidi w:val="0"/>
        <w:rPr>
          <w:rFonts w:hint="eastAsia"/>
        </w:rPr>
      </w:pPr>
      <w:r>
        <w:rPr>
          <w:rFonts w:hint="eastAsia"/>
        </w:rPr>
        <w:t>《建筑设计防火规范》</w:t>
      </w:r>
      <w:r>
        <w:rPr>
          <w:rFonts w:hint="eastAsia"/>
          <w:lang w:eastAsia="zh-CN"/>
        </w:rPr>
        <w:t>（</w:t>
      </w:r>
      <w:r>
        <w:rPr>
          <w:rFonts w:hint="eastAsia"/>
        </w:rPr>
        <w:t>GB50016-2014</w:t>
      </w:r>
      <w:r>
        <w:rPr>
          <w:rFonts w:hint="eastAsia"/>
          <w:lang w:eastAsia="zh-CN"/>
        </w:rPr>
        <w:t>）；</w:t>
      </w:r>
    </w:p>
    <w:p w14:paraId="2E3C3F36">
      <w:pPr>
        <w:pStyle w:val="22"/>
        <w:bidi w:val="0"/>
        <w:rPr>
          <w:rFonts w:hint="eastAsia"/>
        </w:rPr>
      </w:pPr>
      <w:r>
        <w:rPr>
          <w:rFonts w:hint="eastAsia"/>
        </w:rPr>
        <w:t>《电力工程电缆设计标准》</w:t>
      </w:r>
      <w:r>
        <w:rPr>
          <w:rFonts w:hint="eastAsia"/>
          <w:lang w:eastAsia="zh-CN"/>
        </w:rPr>
        <w:t>（</w:t>
      </w:r>
      <w:r>
        <w:rPr>
          <w:rFonts w:hint="eastAsia"/>
        </w:rPr>
        <w:t>GB50217-2018</w:t>
      </w:r>
      <w:r>
        <w:rPr>
          <w:rFonts w:hint="eastAsia"/>
          <w:lang w:eastAsia="zh-CN"/>
        </w:rPr>
        <w:t>）；</w:t>
      </w:r>
    </w:p>
    <w:p w14:paraId="3A3DE34F">
      <w:pPr>
        <w:pStyle w:val="22"/>
        <w:bidi w:val="0"/>
        <w:rPr>
          <w:rFonts w:hint="eastAsia"/>
        </w:rPr>
      </w:pPr>
      <w:r>
        <w:rPr>
          <w:rFonts w:hint="eastAsia"/>
        </w:rPr>
        <w:t>《通信管道与通道工程设计规范》</w:t>
      </w:r>
      <w:r>
        <w:rPr>
          <w:rFonts w:hint="eastAsia"/>
          <w:lang w:eastAsia="zh-CN"/>
        </w:rPr>
        <w:t>（</w:t>
      </w:r>
      <w:r>
        <w:rPr>
          <w:rFonts w:hint="eastAsia"/>
        </w:rPr>
        <w:t>GB50373-2006</w:t>
      </w:r>
      <w:r>
        <w:rPr>
          <w:rFonts w:hint="eastAsia"/>
          <w:lang w:eastAsia="zh-CN"/>
        </w:rPr>
        <w:t>）；</w:t>
      </w:r>
    </w:p>
    <w:p w14:paraId="543968CB">
      <w:pPr>
        <w:pStyle w:val="22"/>
        <w:bidi w:val="0"/>
        <w:rPr>
          <w:rFonts w:hint="eastAsia"/>
        </w:rPr>
      </w:pPr>
      <w:r>
        <w:rPr>
          <w:rFonts w:hint="eastAsia"/>
        </w:rPr>
        <w:t>《消防应急照明和疏散指示系统技术规范》</w:t>
      </w:r>
      <w:r>
        <w:rPr>
          <w:rFonts w:hint="eastAsia"/>
          <w:lang w:eastAsia="zh-CN"/>
        </w:rPr>
        <w:t>（</w:t>
      </w:r>
      <w:r>
        <w:rPr>
          <w:rFonts w:hint="eastAsia"/>
        </w:rPr>
        <w:t>GB5139-2018</w:t>
      </w:r>
      <w:r>
        <w:rPr>
          <w:rFonts w:hint="eastAsia"/>
          <w:lang w:eastAsia="zh-CN"/>
        </w:rPr>
        <w:t>）；</w:t>
      </w:r>
    </w:p>
    <w:p w14:paraId="27FD78C3">
      <w:pPr>
        <w:pStyle w:val="22"/>
        <w:bidi w:val="0"/>
        <w:rPr>
          <w:rFonts w:hint="eastAsia"/>
        </w:rPr>
      </w:pPr>
      <w:r>
        <w:rPr>
          <w:rFonts w:hint="eastAsia"/>
        </w:rPr>
        <w:t>现行相关规范性文件。</w:t>
      </w:r>
    </w:p>
    <w:p w14:paraId="2779331D">
      <w:pPr>
        <w:pStyle w:val="22"/>
        <w:bidi w:val="0"/>
        <w:rPr>
          <w:rFonts w:hint="eastAsia"/>
        </w:rPr>
      </w:pPr>
      <w:r>
        <w:rPr>
          <w:rFonts w:hint="eastAsia"/>
        </w:rPr>
        <w:t>二、设计范围</w:t>
      </w:r>
    </w:p>
    <w:p w14:paraId="195AF334">
      <w:pPr>
        <w:pStyle w:val="22"/>
        <w:bidi w:val="0"/>
        <w:rPr>
          <w:rFonts w:hint="eastAsia"/>
        </w:rPr>
      </w:pPr>
      <w:r>
        <w:rPr>
          <w:rFonts w:hint="eastAsia"/>
        </w:rPr>
        <w:t>本设计包括</w:t>
      </w:r>
      <w:r>
        <w:rPr>
          <w:rFonts w:hint="eastAsia"/>
          <w:lang w:val="en-US" w:eastAsia="zh-CN"/>
        </w:rPr>
        <w:t>垃圾站</w:t>
      </w:r>
      <w:r>
        <w:rPr>
          <w:rFonts w:hint="eastAsia"/>
        </w:rPr>
        <w:t>内各建</w:t>
      </w:r>
      <w:r>
        <w:rPr>
          <w:rFonts w:hint="eastAsia"/>
          <w:lang w:eastAsia="zh-CN"/>
        </w:rPr>
        <w:t>（</w:t>
      </w:r>
      <w:r>
        <w:rPr>
          <w:rFonts w:hint="eastAsia"/>
        </w:rPr>
        <w:t>构</w:t>
      </w:r>
      <w:r>
        <w:rPr>
          <w:rFonts w:hint="eastAsia"/>
          <w:lang w:eastAsia="zh-CN"/>
        </w:rPr>
        <w:t>）</w:t>
      </w:r>
      <w:r>
        <w:rPr>
          <w:rFonts w:hint="eastAsia"/>
        </w:rPr>
        <w:t>筑物的供配电及照明系统、防雷、接地系统以及厂区电缆敷设和道路照明</w:t>
      </w:r>
      <w:r>
        <w:rPr>
          <w:rFonts w:hint="eastAsia"/>
          <w:lang w:val="en-US" w:eastAsia="zh-CN"/>
        </w:rPr>
        <w:t>充电桩、全区垃圾点、监控及共用卫生间</w:t>
      </w:r>
      <w:r>
        <w:rPr>
          <w:rFonts w:hint="eastAsia"/>
        </w:rPr>
        <w:t>等内容，10kV外线由电力部门设计，设计分界点为变电所内高压柜接入点。</w:t>
      </w:r>
    </w:p>
    <w:p w14:paraId="0969FA9B">
      <w:pPr>
        <w:pStyle w:val="22"/>
        <w:bidi w:val="0"/>
        <w:rPr>
          <w:rFonts w:hint="eastAsia"/>
        </w:rPr>
      </w:pPr>
      <w:r>
        <w:rPr>
          <w:rFonts w:hint="eastAsia"/>
        </w:rPr>
        <w:t>三、强电设计</w:t>
      </w:r>
    </w:p>
    <w:p w14:paraId="42CF2C5F">
      <w:pPr>
        <w:pStyle w:val="22"/>
        <w:bidi w:val="0"/>
        <w:rPr>
          <w:rFonts w:hint="eastAsia"/>
          <w:lang w:eastAsia="zh-CN"/>
        </w:rPr>
      </w:pPr>
      <w:r>
        <w:rPr>
          <w:rFonts w:hint="eastAsia"/>
        </w:rPr>
        <w:t>1、本工程用电负荷分级：一般用电为三级负荷。为了保证</w:t>
      </w:r>
      <w:r>
        <w:rPr>
          <w:rFonts w:hint="eastAsia"/>
          <w:lang w:val="en-US" w:eastAsia="zh-CN"/>
        </w:rPr>
        <w:t>处理站</w:t>
      </w:r>
      <w:r>
        <w:rPr>
          <w:rFonts w:hint="eastAsia"/>
        </w:rPr>
        <w:t>能连续正常运行，根据科学、合理、节约投资的供电原则；高压侧10kV采用</w:t>
      </w:r>
      <w:r>
        <w:rPr>
          <w:rFonts w:hint="eastAsia"/>
          <w:lang w:val="en-US" w:eastAsia="zh-CN"/>
        </w:rPr>
        <w:t>专用</w:t>
      </w:r>
      <w:r>
        <w:rPr>
          <w:rFonts w:hint="eastAsia"/>
        </w:rPr>
        <w:t>电源供电，即</w:t>
      </w:r>
      <w:r>
        <w:rPr>
          <w:rFonts w:hint="eastAsia"/>
          <w:lang w:val="en-US" w:eastAsia="zh-CN"/>
        </w:rPr>
        <w:t>1</w:t>
      </w:r>
      <w:r>
        <w:rPr>
          <w:rFonts w:hint="eastAsia"/>
        </w:rPr>
        <w:t>回路10kV</w:t>
      </w:r>
      <w:r>
        <w:rPr>
          <w:rFonts w:hint="eastAsia"/>
          <w:lang w:val="en-US" w:eastAsia="zh-CN"/>
        </w:rPr>
        <w:t>专项电源</w:t>
      </w:r>
      <w:r>
        <w:rPr>
          <w:rFonts w:hint="eastAsia"/>
        </w:rPr>
        <w:t>供电，采用电缆方式引入厂内</w:t>
      </w:r>
      <w:r>
        <w:rPr>
          <w:rFonts w:hint="eastAsia"/>
          <w:lang w:eastAsia="zh-CN"/>
        </w:rPr>
        <w:t>。</w:t>
      </w:r>
    </w:p>
    <w:p w14:paraId="71605A54">
      <w:pPr>
        <w:pStyle w:val="22"/>
        <w:bidi w:val="0"/>
        <w:rPr>
          <w:rFonts w:hint="eastAsia"/>
          <w:lang w:eastAsia="zh-CN"/>
        </w:rPr>
      </w:pPr>
      <w:r>
        <w:rPr>
          <w:rFonts w:hint="eastAsia"/>
        </w:rPr>
        <w:t>根据负荷计算结果，</w:t>
      </w:r>
      <w:r>
        <w:rPr>
          <w:rFonts w:hint="eastAsia"/>
          <w:lang w:val="en-US" w:eastAsia="zh-CN"/>
        </w:rPr>
        <w:t>垃圾处理站</w:t>
      </w:r>
      <w:r>
        <w:rPr>
          <w:rFonts w:hint="eastAsia"/>
        </w:rPr>
        <w:t>选用</w:t>
      </w:r>
      <w:r>
        <w:rPr>
          <w:rFonts w:hint="eastAsia"/>
          <w:lang w:val="en-US" w:eastAsia="zh-CN"/>
        </w:rPr>
        <w:t>25</w:t>
      </w:r>
      <w:r>
        <w:rPr>
          <w:rFonts w:hint="eastAsia"/>
        </w:rPr>
        <w:t>00kVA变压器</w:t>
      </w:r>
      <w:r>
        <w:rPr>
          <w:rFonts w:hint="eastAsia"/>
          <w:lang w:val="en-US" w:eastAsia="zh-CN"/>
        </w:rPr>
        <w:t>1</w:t>
      </w:r>
      <w:r>
        <w:rPr>
          <w:rFonts w:hint="eastAsia"/>
        </w:rPr>
        <w:t>台（无功补偿</w:t>
      </w:r>
      <w:r>
        <w:rPr>
          <w:rFonts w:hint="eastAsia"/>
          <w:lang w:val="en-US" w:eastAsia="zh-CN"/>
        </w:rPr>
        <w:t>386.06</w:t>
      </w:r>
      <w:r>
        <w:rPr>
          <w:rFonts w:hint="eastAsia"/>
        </w:rPr>
        <w:t>kVar，变压器负载率为</w:t>
      </w:r>
      <w:r>
        <w:rPr>
          <w:rFonts w:hint="eastAsia"/>
          <w:lang w:val="en-US" w:eastAsia="zh-CN"/>
        </w:rPr>
        <w:t>54.15</w:t>
      </w:r>
      <w:r>
        <w:rPr>
          <w:rFonts w:hint="eastAsia"/>
        </w:rPr>
        <w:t>%。</w:t>
      </w:r>
    </w:p>
    <w:p w14:paraId="5705B1C0">
      <w:pPr>
        <w:pStyle w:val="22"/>
        <w:bidi w:val="0"/>
        <w:rPr>
          <w:rFonts w:hint="eastAsia"/>
        </w:rPr>
      </w:pPr>
      <w:r>
        <w:rPr>
          <w:rFonts w:hint="eastAsia"/>
        </w:rPr>
        <w:t>2、入户处、工作零线的重复接地与总等电位端子箱相联，作法按照15D502。利用基础结构的钢筋作接地装置，Rj&lt;=1欧。</w:t>
      </w:r>
    </w:p>
    <w:p w14:paraId="314DD9EF">
      <w:pPr>
        <w:pStyle w:val="22"/>
        <w:bidi w:val="0"/>
        <w:rPr>
          <w:rFonts w:hint="eastAsia"/>
        </w:rPr>
      </w:pPr>
      <w:r>
        <w:rPr>
          <w:rFonts w:hint="eastAsia"/>
        </w:rPr>
        <w:t>3、本楼配电接地为TN-S系统。室内单相插座、未标注的照明线路等的线型按配电系统图均为3根线穿管沿地、沿墙、沿顶板暗配。</w:t>
      </w:r>
    </w:p>
    <w:p w14:paraId="66D38D61">
      <w:pPr>
        <w:pStyle w:val="22"/>
        <w:bidi w:val="0"/>
        <w:rPr>
          <w:rFonts w:hint="eastAsia"/>
        </w:rPr>
      </w:pPr>
      <w:r>
        <w:rPr>
          <w:rFonts w:hint="eastAsia"/>
        </w:rPr>
        <w:t>4、线路均为暗敷，所有开关、插座都应设接线盒，线路中间分支应设分线盒、线管必须到盒内、按施工规范做好管、盒的接头，配合土建作好预留、预埋，线路过建筑伸缩沉降缝的做法按《建筑电气安装工程图集》JD10-201413。</w:t>
      </w:r>
    </w:p>
    <w:p w14:paraId="61C6E3B3">
      <w:pPr>
        <w:pStyle w:val="22"/>
        <w:bidi w:val="0"/>
        <w:rPr>
          <w:rFonts w:hint="eastAsia"/>
        </w:rPr>
      </w:pPr>
      <w:r>
        <w:rPr>
          <w:rFonts w:hint="eastAsia"/>
        </w:rPr>
        <w:t>5、配电箱为嵌墙暗装、底口距地1.8m，做法参照04D702-1。</w:t>
      </w:r>
    </w:p>
    <w:p w14:paraId="52918213">
      <w:pPr>
        <w:pStyle w:val="22"/>
        <w:bidi w:val="0"/>
        <w:rPr>
          <w:rFonts w:hint="eastAsia"/>
        </w:rPr>
      </w:pPr>
      <w:r>
        <w:rPr>
          <w:rFonts w:hint="eastAsia"/>
        </w:rPr>
        <w:t>6、荧光灯具用T8型高效灯管，</w:t>
      </w:r>
      <w:r>
        <w:rPr>
          <w:rFonts w:hint="eastAsia"/>
          <w:lang w:val="en-US" w:eastAsia="zh-CN"/>
        </w:rPr>
        <w:t>搭配</w:t>
      </w:r>
      <w:r>
        <w:rPr>
          <w:rFonts w:hint="eastAsia"/>
        </w:rPr>
        <w:t>电子镇流器，其余灯具选用节能型，用节能灯泡。</w:t>
      </w:r>
    </w:p>
    <w:p w14:paraId="03780B95">
      <w:pPr>
        <w:pStyle w:val="22"/>
        <w:bidi w:val="0"/>
        <w:rPr>
          <w:rFonts w:hint="eastAsia"/>
        </w:rPr>
      </w:pPr>
      <w:r>
        <w:rPr>
          <w:rFonts w:hint="eastAsia"/>
        </w:rPr>
        <w:t>7、电力线路：YJV型电缆的电压等级：10/0.6</w:t>
      </w:r>
      <w:r>
        <w:rPr>
          <w:rFonts w:hint="eastAsia"/>
          <w:lang w:val="en-US" w:eastAsia="zh-CN"/>
        </w:rPr>
        <w:t>k</w:t>
      </w:r>
      <w:r>
        <w:rPr>
          <w:rFonts w:hint="eastAsia"/>
        </w:rPr>
        <w:t>V；BV型绝缘线电压等级：0.45/0.75</w:t>
      </w:r>
      <w:r>
        <w:rPr>
          <w:rFonts w:hint="eastAsia"/>
          <w:lang w:val="en-US" w:eastAsia="zh-CN"/>
        </w:rPr>
        <w:t>k</w:t>
      </w:r>
      <w:r>
        <w:rPr>
          <w:rFonts w:hint="eastAsia"/>
        </w:rPr>
        <w:t>V。</w:t>
      </w:r>
    </w:p>
    <w:p w14:paraId="49F9DCF9">
      <w:pPr>
        <w:pStyle w:val="22"/>
        <w:bidi w:val="0"/>
        <w:rPr>
          <w:rFonts w:hint="eastAsia"/>
        </w:rPr>
      </w:pPr>
      <w:r>
        <w:rPr>
          <w:rFonts w:hint="eastAsia"/>
        </w:rPr>
        <w:t>8、开关、插座和照明灯具靠近可燃物时，应采取隔热、散热等防护措施。卤钨灯和额定功率不小于10OW的白炽灯泡的吸顶灯、槽灯、嵌入式灯，其引入线应采用瓷管，矿棉等不燃材料作隔热保护。额定功率不小于60W的白炽灯卤钨灯、高压钠灯、金属卤化物灯、荧光高压汞灯（包括电感镇流器）等，不能直接安装在可燃物体上或采取其他防火措施。</w:t>
      </w:r>
    </w:p>
    <w:p w14:paraId="6A6E47FB">
      <w:pPr>
        <w:pStyle w:val="22"/>
        <w:bidi w:val="0"/>
        <w:rPr>
          <w:rFonts w:hint="eastAsia"/>
        </w:rPr>
      </w:pPr>
      <w:r>
        <w:rPr>
          <w:rFonts w:hint="eastAsia"/>
        </w:rPr>
        <w:t>9、插座均为带保护门安全型、本工程严禁采用0类灯具，1类灯具均配专用PE保护线，PE保护线在灯具、插座间不串联连接。幼儿活动场所插座安装高度不低于1.8米。</w:t>
      </w:r>
    </w:p>
    <w:p w14:paraId="6978F458">
      <w:pPr>
        <w:pStyle w:val="22"/>
        <w:bidi w:val="0"/>
        <w:rPr>
          <w:rFonts w:hint="eastAsia"/>
        </w:rPr>
      </w:pPr>
      <w:r>
        <w:rPr>
          <w:rFonts w:hint="eastAsia"/>
        </w:rPr>
        <w:t>10、对于突然断电比过负荷造成损失更大的线路，不设置过负荷保护。</w:t>
      </w:r>
    </w:p>
    <w:p w14:paraId="5AA013A6">
      <w:pPr>
        <w:pStyle w:val="22"/>
        <w:bidi w:val="0"/>
        <w:rPr>
          <w:rFonts w:hint="eastAsia"/>
        </w:rPr>
      </w:pPr>
      <w:r>
        <w:rPr>
          <w:rFonts w:hint="eastAsia"/>
        </w:rPr>
        <w:t>11、电气装置外可导电部分，严禁用作保护接地导体（PEN）。</w:t>
      </w:r>
    </w:p>
    <w:p w14:paraId="22743694">
      <w:pPr>
        <w:pStyle w:val="22"/>
        <w:bidi w:val="0"/>
        <w:rPr>
          <w:rFonts w:hint="eastAsia"/>
        </w:rPr>
      </w:pPr>
      <w:r>
        <w:rPr>
          <w:rFonts w:hint="eastAsia"/>
        </w:rPr>
        <w:t>12、室外带金属构件的电动伸缩门的配电线路，设置过负荷保护、短路保护及剩余电流动作保护电器，并做等电位联结。</w:t>
      </w:r>
    </w:p>
    <w:p w14:paraId="5102962C">
      <w:pPr>
        <w:pStyle w:val="22"/>
        <w:bidi w:val="0"/>
        <w:rPr>
          <w:rFonts w:hint="eastAsia"/>
        </w:rPr>
      </w:pPr>
      <w:r>
        <w:rPr>
          <w:rFonts w:hint="eastAsia"/>
        </w:rPr>
        <w:t>13、当电缆从建筑物外面进入建筑时，选用适配的信号线路浪涌保护器。</w:t>
      </w:r>
    </w:p>
    <w:p w14:paraId="0EBD0B70">
      <w:pPr>
        <w:pStyle w:val="22"/>
        <w:bidi w:val="0"/>
        <w:rPr>
          <w:rFonts w:hint="eastAsia"/>
        </w:rPr>
      </w:pPr>
      <w:r>
        <w:rPr>
          <w:rFonts w:hint="eastAsia"/>
        </w:rPr>
        <w:t>14、在TN-C系统中，严禁断开保护接地中性（PEN）导体，且不装设断开保护接地中性导体的任何电器。</w:t>
      </w:r>
    </w:p>
    <w:p w14:paraId="7853B58E">
      <w:pPr>
        <w:pStyle w:val="22"/>
        <w:bidi w:val="0"/>
        <w:rPr>
          <w:rFonts w:hint="eastAsia"/>
        </w:rPr>
      </w:pPr>
      <w:r>
        <w:rPr>
          <w:rFonts w:hint="eastAsia"/>
        </w:rPr>
        <w:t>15、电能计量采用高供高计，照明在低压侧单独计量，电源进线处设置专用计量柜。柜内计量仪表由当地电业局指定配置。为了便于今后业主物业管理上的需要，至各建筑物的馈电线路均设计量表计。在低压侧设置集中补偿，补偿后高压侧功率因素不小于0.93。</w:t>
      </w:r>
    </w:p>
    <w:p w14:paraId="2F8CC921">
      <w:pPr>
        <w:pStyle w:val="22"/>
        <w:bidi w:val="0"/>
        <w:rPr>
          <w:rFonts w:hint="eastAsia"/>
        </w:rPr>
      </w:pPr>
      <w:r>
        <w:rPr>
          <w:rFonts w:hint="eastAsia"/>
        </w:rPr>
        <w:t>1</w:t>
      </w:r>
      <w:r>
        <w:rPr>
          <w:rFonts w:hint="eastAsia"/>
          <w:lang w:val="en-US" w:eastAsia="zh-CN"/>
        </w:rPr>
        <w:t>6</w:t>
      </w:r>
      <w:r>
        <w:rPr>
          <w:rFonts w:hint="eastAsia"/>
        </w:rPr>
        <w:t>、建筑物的防雷装置应满足防直击雷、防雷电感应及雷电波的侵入，并设置总等电位联结。</w:t>
      </w:r>
    </w:p>
    <w:p w14:paraId="0D0D6E10">
      <w:pPr>
        <w:pStyle w:val="22"/>
        <w:bidi w:val="0"/>
        <w:rPr>
          <w:rFonts w:hint="eastAsia"/>
        </w:rPr>
      </w:pPr>
      <w:r>
        <w:rPr>
          <w:rFonts w:hint="eastAsia"/>
        </w:rPr>
        <w:t>（1）外部防雷措施：</w:t>
      </w:r>
    </w:p>
    <w:p w14:paraId="14903481">
      <w:pPr>
        <w:pStyle w:val="22"/>
        <w:bidi w:val="0"/>
        <w:rPr>
          <w:rFonts w:hint="eastAsia"/>
        </w:rPr>
      </w:pPr>
      <w:r>
        <w:rPr>
          <w:rFonts w:hint="eastAsia"/>
        </w:rPr>
        <w:t>本工程建构筑物按三类防雷建筑物设置防雷设施。建筑物屋顶设置避雷带，利用建筑物柱内钢筋做引下线，利用建筑物基础钢筋做自然接地体，要求其接地电阻不大于1欧。当自然接地体不能满足要求时，加设人工接地体，直至满足要求。</w:t>
      </w:r>
    </w:p>
    <w:p w14:paraId="32F9FF7F">
      <w:pPr>
        <w:pStyle w:val="22"/>
        <w:bidi w:val="0"/>
        <w:rPr>
          <w:rFonts w:hint="eastAsia"/>
        </w:rPr>
      </w:pPr>
      <w:r>
        <w:rPr>
          <w:rFonts w:hint="eastAsia"/>
        </w:rPr>
        <w:t>（2）内部防雷措施：</w:t>
      </w:r>
    </w:p>
    <w:p w14:paraId="7FB120DC">
      <w:pPr>
        <w:pStyle w:val="22"/>
        <w:bidi w:val="0"/>
        <w:rPr>
          <w:rFonts w:hint="eastAsia"/>
        </w:rPr>
      </w:pPr>
      <w:r>
        <w:rPr>
          <w:rFonts w:hint="eastAsia"/>
        </w:rPr>
        <w:t>所有建构筑物均设置总等电位联结板，进行总等电位联结；</w:t>
      </w:r>
    </w:p>
    <w:p w14:paraId="40E65012">
      <w:pPr>
        <w:pStyle w:val="22"/>
        <w:bidi w:val="0"/>
        <w:rPr>
          <w:rFonts w:hint="eastAsia"/>
        </w:rPr>
      </w:pPr>
      <w:r>
        <w:rPr>
          <w:rFonts w:hint="eastAsia"/>
        </w:rPr>
        <w:t>10kV高压开关柜内装设操作过电压保护器，以限制操作过电压，和防止雷电流侵入；</w:t>
      </w:r>
    </w:p>
    <w:p w14:paraId="600C4A63">
      <w:pPr>
        <w:pStyle w:val="22"/>
        <w:bidi w:val="0"/>
        <w:rPr>
          <w:rFonts w:hint="eastAsia"/>
        </w:rPr>
      </w:pPr>
      <w:r>
        <w:rPr>
          <w:rFonts w:hint="eastAsia"/>
        </w:rPr>
        <w:t>10/0.4kV变压器中性点直接接地；</w:t>
      </w:r>
    </w:p>
    <w:p w14:paraId="154C13A8">
      <w:pPr>
        <w:pStyle w:val="22"/>
        <w:bidi w:val="0"/>
        <w:rPr>
          <w:rFonts w:hint="eastAsia"/>
        </w:rPr>
      </w:pPr>
      <w:r>
        <w:rPr>
          <w:rFonts w:hint="eastAsia"/>
        </w:rPr>
        <w:t>0.4kV低压开关柜内母排装设浪涌保护器，以限制操作过电压，和防止雷电流侵入；</w:t>
      </w:r>
    </w:p>
    <w:p w14:paraId="6DE1F837">
      <w:pPr>
        <w:pStyle w:val="22"/>
        <w:bidi w:val="0"/>
        <w:rPr>
          <w:rFonts w:hint="eastAsia"/>
        </w:rPr>
      </w:pPr>
      <w:r>
        <w:rPr>
          <w:rFonts w:hint="eastAsia"/>
        </w:rPr>
        <w:t>照明配电箱进线处设置浪涌保护器，防止雷电流侵入；</w:t>
      </w:r>
    </w:p>
    <w:p w14:paraId="7CCC87CF">
      <w:pPr>
        <w:pStyle w:val="22"/>
        <w:bidi w:val="0"/>
        <w:rPr>
          <w:rFonts w:hint="eastAsia"/>
        </w:rPr>
      </w:pPr>
      <w:r>
        <w:rPr>
          <w:rFonts w:hint="eastAsia"/>
        </w:rPr>
        <w:t>对于计算机、仪表等贵重电子设备采用电源电涌保护器及信号、数据电涌保护器进行双重保护，防止线路和设备过流和过电压，避损坏设备。弱电设备进线处均设置浪涌保护器，防止雷电流侵入；</w:t>
      </w:r>
    </w:p>
    <w:p w14:paraId="48034DD2">
      <w:pPr>
        <w:pStyle w:val="22"/>
        <w:bidi w:val="0"/>
        <w:rPr>
          <w:rFonts w:hint="eastAsia"/>
        </w:rPr>
      </w:pPr>
      <w:r>
        <w:rPr>
          <w:rFonts w:hint="eastAsia"/>
        </w:rPr>
        <w:t>对于手握式电气设备、插座、热水器、落地空调设备等设置漏电保护开关，以进一步提高安全性。所有电气设备的金属外壳和金属设施均应可靠接地。</w:t>
      </w:r>
    </w:p>
    <w:p w14:paraId="6B2DCF1B">
      <w:pPr>
        <w:pStyle w:val="22"/>
        <w:bidi w:val="0"/>
        <w:rPr>
          <w:rFonts w:hint="eastAsia"/>
        </w:rPr>
      </w:pPr>
      <w:r>
        <w:rPr>
          <w:rFonts w:hint="eastAsia"/>
          <w:lang w:eastAsia="zh-CN"/>
        </w:rPr>
        <w:t>（</w:t>
      </w:r>
      <w:r>
        <w:rPr>
          <w:rFonts w:hint="eastAsia"/>
          <w:lang w:val="en-US" w:eastAsia="zh-CN"/>
        </w:rPr>
        <w:t>3</w:t>
      </w:r>
      <w:r>
        <w:rPr>
          <w:rFonts w:hint="eastAsia"/>
          <w:lang w:eastAsia="zh-CN"/>
        </w:rPr>
        <w:t>）</w:t>
      </w:r>
      <w:r>
        <w:rPr>
          <w:rFonts w:hint="eastAsia"/>
        </w:rPr>
        <w:t>接地：</w:t>
      </w:r>
    </w:p>
    <w:p w14:paraId="397156E4">
      <w:pPr>
        <w:pStyle w:val="22"/>
        <w:bidi w:val="0"/>
        <w:rPr>
          <w:rFonts w:hint="eastAsia"/>
        </w:rPr>
      </w:pPr>
      <w:r>
        <w:rPr>
          <w:rFonts w:hint="eastAsia"/>
        </w:rPr>
        <w:t>本工程接地型式为TN-S。保护性接地和功能性接地共用接地装置，要求接地电阻不大于1欧</w:t>
      </w:r>
      <w:r>
        <w:rPr>
          <w:rFonts w:hint="eastAsia"/>
          <w:lang w:eastAsia="zh-CN"/>
        </w:rPr>
        <w:t>，</w:t>
      </w:r>
      <w:r>
        <w:rPr>
          <w:rFonts w:hint="eastAsia"/>
        </w:rPr>
        <w:t>如实测不足应加设人工接地体</w:t>
      </w:r>
      <w:r>
        <w:rPr>
          <w:rFonts w:hint="eastAsia"/>
          <w:lang w:eastAsia="zh-CN"/>
        </w:rPr>
        <w:t>，</w:t>
      </w:r>
      <w:r>
        <w:rPr>
          <w:rFonts w:hint="eastAsia"/>
        </w:rPr>
        <w:t>直至满足要求。</w:t>
      </w:r>
    </w:p>
    <w:p w14:paraId="615F06C1">
      <w:pPr>
        <w:pStyle w:val="22"/>
        <w:bidi w:val="0"/>
        <w:rPr>
          <w:rFonts w:hint="eastAsia"/>
        </w:rPr>
      </w:pPr>
      <w:r>
        <w:rPr>
          <w:rFonts w:hint="eastAsia"/>
        </w:rPr>
        <w:t>接地装置优先采用建构筑物基础钢筋做自然接地体，当自然接地体不能满足接地电阻要求时，加设人工接地体。每栋建筑物均预留镀锌扁钢至建筑物外3米，以备将来加设人工接地体用。室外相邻构筑物接地装置采用镀锌扁钢相连接，以增大水平接地网面积，有效降低工频接地电阻，减少人工接地体的使用，降低工程造价。</w:t>
      </w:r>
    </w:p>
    <w:p w14:paraId="744E03D9">
      <w:pPr>
        <w:pStyle w:val="22"/>
        <w:bidi w:val="0"/>
        <w:rPr>
          <w:rFonts w:hint="eastAsia"/>
        </w:rPr>
      </w:pPr>
      <w:r>
        <w:rPr>
          <w:rFonts w:hint="eastAsia"/>
        </w:rPr>
        <w:t>接地装置地下部分的连接均采用焊接，焊接处须做防护处理。</w:t>
      </w:r>
    </w:p>
    <w:p w14:paraId="45123A30">
      <w:pPr>
        <w:pStyle w:val="22"/>
        <w:bidi w:val="0"/>
        <w:rPr>
          <w:rFonts w:hint="eastAsia"/>
          <w:lang w:val="en-US" w:eastAsia="zh-CN"/>
        </w:rPr>
      </w:pPr>
      <w:r>
        <w:rPr>
          <w:rFonts w:hint="eastAsia"/>
          <w:lang w:val="en-US" w:eastAsia="zh-CN"/>
        </w:rPr>
        <w:t>17、电气节能</w:t>
      </w:r>
    </w:p>
    <w:p w14:paraId="7B87D771">
      <w:pPr>
        <w:pStyle w:val="22"/>
        <w:bidi w:val="0"/>
        <w:rPr>
          <w:rFonts w:hint="eastAsia"/>
        </w:rPr>
      </w:pPr>
      <w:r>
        <w:rPr>
          <w:rFonts w:hint="eastAsia"/>
        </w:rPr>
        <w:t>选用铜芯电力电缆及导线，低能耗配电变压器。</w:t>
      </w:r>
    </w:p>
    <w:p w14:paraId="438AB0D5">
      <w:pPr>
        <w:pStyle w:val="22"/>
        <w:bidi w:val="0"/>
        <w:rPr>
          <w:rFonts w:hint="eastAsia"/>
        </w:rPr>
      </w:pPr>
      <w:r>
        <w:rPr>
          <w:rFonts w:hint="eastAsia"/>
        </w:rPr>
        <w:t>采用高效节能光源，荧光灯采用节能电感镇流器或电子镇流器。</w:t>
      </w:r>
    </w:p>
    <w:p w14:paraId="7DEF7A83">
      <w:pPr>
        <w:pStyle w:val="22"/>
        <w:bidi w:val="0"/>
        <w:rPr>
          <w:rFonts w:hint="eastAsia"/>
        </w:rPr>
      </w:pPr>
      <w:r>
        <w:rPr>
          <w:rFonts w:hint="eastAsia"/>
        </w:rPr>
        <w:t>设置集中与分散相结合的无功功率自动补偿装置。</w:t>
      </w:r>
    </w:p>
    <w:p w14:paraId="18AB8A93">
      <w:pPr>
        <w:pStyle w:val="22"/>
        <w:bidi w:val="0"/>
        <w:rPr>
          <w:rFonts w:hint="eastAsia"/>
        </w:rPr>
      </w:pPr>
      <w:r>
        <w:rPr>
          <w:rFonts w:hint="eastAsia"/>
        </w:rPr>
        <w:t>设置建筑设备监控系统，通过对给排水系统、变配电系统等的集中监控，实现各种能源的节约管理。</w:t>
      </w:r>
    </w:p>
    <w:p w14:paraId="1A360D7C">
      <w:pPr>
        <w:pStyle w:val="22"/>
        <w:bidi w:val="0"/>
        <w:rPr>
          <w:rFonts w:hint="eastAsia"/>
        </w:rPr>
      </w:pPr>
      <w:r>
        <w:rPr>
          <w:rFonts w:hint="eastAsia"/>
        </w:rPr>
        <w:t>楼梯间灯公共区域照明采用节能延时开关控制，实现用电的节能控制。</w:t>
      </w:r>
    </w:p>
    <w:p w14:paraId="0AA7A805">
      <w:pPr>
        <w:pStyle w:val="22"/>
        <w:bidi w:val="0"/>
        <w:rPr>
          <w:rFonts w:hint="eastAsia"/>
        </w:rPr>
      </w:pPr>
      <w:r>
        <w:rPr>
          <w:rFonts w:hint="eastAsia"/>
          <w:lang w:val="en-US" w:eastAsia="zh-CN"/>
        </w:rPr>
        <w:t>四、</w:t>
      </w:r>
      <w:r>
        <w:rPr>
          <w:rFonts w:hint="eastAsia"/>
        </w:rPr>
        <w:t>弱电系统</w:t>
      </w:r>
    </w:p>
    <w:p w14:paraId="075DB92C">
      <w:pPr>
        <w:pStyle w:val="22"/>
        <w:bidi w:val="0"/>
        <w:rPr>
          <w:rFonts w:hint="default"/>
          <w:lang w:val="en-US" w:eastAsia="zh-CN"/>
        </w:rPr>
      </w:pPr>
      <w:r>
        <w:rPr>
          <w:rFonts w:hint="eastAsia"/>
        </w:rPr>
        <w:t>1、</w:t>
      </w:r>
      <w:r>
        <w:rPr>
          <w:rFonts w:hint="eastAsia"/>
          <w:lang w:val="en-US" w:eastAsia="zh-CN"/>
        </w:rPr>
        <w:t>项目概述</w:t>
      </w:r>
    </w:p>
    <w:p w14:paraId="0EBC6FB4">
      <w:pPr>
        <w:pStyle w:val="22"/>
        <w:bidi w:val="0"/>
        <w:rPr>
          <w:rFonts w:hint="eastAsia"/>
        </w:rPr>
      </w:pPr>
      <w:r>
        <w:rPr>
          <w:rFonts w:hint="eastAsia"/>
        </w:rPr>
        <w:t>本项目为资阳市雁江区城镇垃圾处置体系建设工程，设计规模、主要建构筑物详见工艺、建筑、结构设计。</w:t>
      </w:r>
    </w:p>
    <w:p w14:paraId="0ADDB961">
      <w:pPr>
        <w:pStyle w:val="22"/>
        <w:bidi w:val="0"/>
        <w:rPr>
          <w:rFonts w:hint="eastAsia"/>
        </w:rPr>
      </w:pPr>
      <w:r>
        <w:rPr>
          <w:rFonts w:hint="eastAsia"/>
        </w:rPr>
        <w:t>根据《建筑抗震设计规范》，本工程地震设防烈度为</w:t>
      </w:r>
      <w:r>
        <w:rPr>
          <w:rFonts w:hint="eastAsia"/>
          <w:lang w:val="en-US" w:eastAsia="zh-CN"/>
        </w:rPr>
        <w:t>6</w:t>
      </w:r>
      <w:r>
        <w:rPr>
          <w:rFonts w:hint="eastAsia"/>
        </w:rPr>
        <w:t>度。设计使用年限为50年。</w:t>
      </w:r>
    </w:p>
    <w:p w14:paraId="798F5A46">
      <w:pPr>
        <w:pStyle w:val="22"/>
        <w:bidi w:val="0"/>
        <w:rPr>
          <w:rFonts w:hint="eastAsia"/>
        </w:rPr>
      </w:pPr>
      <w:r>
        <w:rPr>
          <w:rFonts w:hint="eastAsia"/>
        </w:rPr>
        <w:t>本工程无危险爆炸场所。</w:t>
      </w:r>
    </w:p>
    <w:p w14:paraId="03A80B86">
      <w:pPr>
        <w:pStyle w:val="22"/>
        <w:bidi w:val="0"/>
        <w:rPr>
          <w:rFonts w:hint="eastAsia"/>
          <w:lang w:val="en-US" w:eastAsia="zh-CN"/>
        </w:rPr>
      </w:pPr>
      <w:r>
        <w:rPr>
          <w:rFonts w:hint="eastAsia"/>
          <w:lang w:val="en-US" w:eastAsia="zh-CN"/>
        </w:rPr>
        <w:t>2、设计范围</w:t>
      </w:r>
    </w:p>
    <w:p w14:paraId="5D88B36E">
      <w:pPr>
        <w:pStyle w:val="22"/>
        <w:bidi w:val="0"/>
        <w:rPr>
          <w:rFonts w:hint="eastAsia"/>
        </w:rPr>
      </w:pPr>
      <w:r>
        <w:rPr>
          <w:rFonts w:hint="eastAsia"/>
          <w:lang w:val="en-US" w:eastAsia="zh-CN"/>
        </w:rPr>
        <w:t>垃圾处理站</w:t>
      </w:r>
      <w:r>
        <w:rPr>
          <w:rFonts w:hint="eastAsia"/>
        </w:rPr>
        <w:t>自控系统设计包括以下部分：</w:t>
      </w:r>
    </w:p>
    <w:p w14:paraId="3212A613">
      <w:pPr>
        <w:pStyle w:val="22"/>
        <w:bidi w:val="0"/>
        <w:rPr>
          <w:rFonts w:hint="eastAsia"/>
        </w:rPr>
      </w:pPr>
      <w:r>
        <w:rPr>
          <w:rFonts w:hint="eastAsia"/>
        </w:rPr>
        <w:t>生产过程自动化控制系统设计</w:t>
      </w:r>
      <w:r>
        <w:rPr>
          <w:rFonts w:hint="eastAsia"/>
          <w:lang w:eastAsia="zh-CN"/>
        </w:rPr>
        <w:t>（</w:t>
      </w:r>
      <w:r>
        <w:rPr>
          <w:rFonts w:hint="eastAsia"/>
          <w:lang w:val="en-US" w:eastAsia="zh-CN"/>
        </w:rPr>
        <w:t>本项目由于所有工艺流程均为工艺包商成套设备，本次设计仅考虑中控室部分</w:t>
      </w:r>
      <w:r>
        <w:rPr>
          <w:rFonts w:hint="eastAsia"/>
          <w:lang w:eastAsia="zh-CN"/>
        </w:rPr>
        <w:t>）</w:t>
      </w:r>
      <w:r>
        <w:rPr>
          <w:rFonts w:hint="eastAsia"/>
        </w:rPr>
        <w:t>；</w:t>
      </w:r>
    </w:p>
    <w:p w14:paraId="198AE9C5">
      <w:pPr>
        <w:pStyle w:val="22"/>
        <w:bidi w:val="0"/>
        <w:rPr>
          <w:rFonts w:hint="eastAsia"/>
        </w:rPr>
      </w:pPr>
      <w:r>
        <w:rPr>
          <w:rFonts w:hint="eastAsia"/>
        </w:rPr>
        <w:t>全厂视频安防监控设计；</w:t>
      </w:r>
    </w:p>
    <w:p w14:paraId="3878CF2B">
      <w:pPr>
        <w:pStyle w:val="22"/>
        <w:bidi w:val="0"/>
        <w:rPr>
          <w:rFonts w:hint="eastAsia"/>
          <w:lang w:val="en-US" w:eastAsia="zh-CN"/>
        </w:rPr>
      </w:pPr>
      <w:r>
        <w:rPr>
          <w:rFonts w:hint="eastAsia"/>
          <w:lang w:val="en-US" w:eastAsia="zh-CN"/>
        </w:rPr>
        <w:t>资阳市雁江区公共厕所气体监测设计；</w:t>
      </w:r>
    </w:p>
    <w:p w14:paraId="753B5406">
      <w:pPr>
        <w:pStyle w:val="22"/>
        <w:bidi w:val="0"/>
        <w:rPr>
          <w:rFonts w:hint="eastAsia"/>
          <w:lang w:val="en-US" w:eastAsia="zh-CN"/>
        </w:rPr>
      </w:pPr>
      <w:r>
        <w:rPr>
          <w:rFonts w:hint="eastAsia"/>
          <w:lang w:val="en-US" w:eastAsia="zh-CN"/>
        </w:rPr>
        <w:t>资阳市雁江区道路监控摄像头设计；</w:t>
      </w:r>
    </w:p>
    <w:p w14:paraId="20EA96D0">
      <w:pPr>
        <w:pStyle w:val="22"/>
        <w:bidi w:val="0"/>
        <w:rPr>
          <w:rFonts w:hint="default"/>
          <w:lang w:val="en-US" w:eastAsia="zh-CN"/>
        </w:rPr>
      </w:pPr>
      <w:r>
        <w:rPr>
          <w:rFonts w:hint="eastAsia"/>
          <w:lang w:val="en-US" w:eastAsia="zh-CN"/>
        </w:rPr>
        <w:t>资阳市雁江区垃圾采集点监控摄像头设计；</w:t>
      </w:r>
    </w:p>
    <w:p w14:paraId="75B3DE81">
      <w:pPr>
        <w:pStyle w:val="22"/>
        <w:bidi w:val="0"/>
        <w:rPr>
          <w:rFonts w:hint="eastAsia"/>
        </w:rPr>
      </w:pPr>
      <w:r>
        <w:rPr>
          <w:rFonts w:hint="eastAsia"/>
        </w:rPr>
        <w:t>仪表设计</w:t>
      </w:r>
      <w:r>
        <w:rPr>
          <w:rFonts w:hint="eastAsia"/>
          <w:lang w:eastAsia="zh-CN"/>
        </w:rPr>
        <w:t>（</w:t>
      </w:r>
      <w:r>
        <w:rPr>
          <w:rFonts w:hint="eastAsia"/>
          <w:lang w:val="en-US" w:eastAsia="zh-CN"/>
        </w:rPr>
        <w:t>本项目由于所有工艺流程均为工艺包商成套设备，本次设计仅考虑中控室部分</w:t>
      </w:r>
      <w:r>
        <w:rPr>
          <w:rFonts w:hint="eastAsia"/>
          <w:lang w:eastAsia="zh-CN"/>
        </w:rPr>
        <w:t>）</w:t>
      </w:r>
      <w:r>
        <w:rPr>
          <w:rFonts w:hint="eastAsia"/>
        </w:rPr>
        <w:t>。</w:t>
      </w:r>
    </w:p>
    <w:p w14:paraId="4641C380">
      <w:pPr>
        <w:pStyle w:val="22"/>
        <w:bidi w:val="0"/>
        <w:rPr>
          <w:rFonts w:hint="eastAsia"/>
        </w:rPr>
      </w:pPr>
      <w:r>
        <w:rPr>
          <w:rFonts w:hint="eastAsia"/>
          <w:lang w:val="en-US" w:eastAsia="zh-CN"/>
        </w:rPr>
        <w:t>3</w:t>
      </w:r>
      <w:r>
        <w:rPr>
          <w:rFonts w:hint="eastAsia"/>
        </w:rPr>
        <w:t>、控制</w:t>
      </w:r>
    </w:p>
    <w:p w14:paraId="7727FFCB">
      <w:pPr>
        <w:pStyle w:val="22"/>
        <w:bidi w:val="0"/>
        <w:rPr>
          <w:rFonts w:hint="eastAsia"/>
        </w:rPr>
      </w:pPr>
      <w:r>
        <w:rPr>
          <w:rFonts w:hint="eastAsia"/>
          <w:lang w:val="en-US" w:eastAsia="zh-CN"/>
        </w:rPr>
        <w:t>垃圾处理站</w:t>
      </w:r>
      <w:r>
        <w:rPr>
          <w:rFonts w:hint="eastAsia"/>
        </w:rPr>
        <w:t>的控制，原则上分为二部分，一是PLC自动控制，二是机旁现场手动控制，二者可以通过现场控制箱上的转换开关进行选择。正常运行情况下，由PLC自控系统根据工艺控制流程要求实现自动控制，手动控制用于设备的检修、调试、也可作为生产过程中临时应急操作之用。</w:t>
      </w:r>
    </w:p>
    <w:p w14:paraId="3F8905CC">
      <w:pPr>
        <w:pStyle w:val="22"/>
        <w:bidi w:val="0"/>
        <w:rPr>
          <w:rFonts w:hint="default"/>
          <w:lang w:val="en-US" w:eastAsia="zh-CN"/>
        </w:rPr>
      </w:pPr>
      <w:r>
        <w:rPr>
          <w:rFonts w:hint="eastAsia"/>
          <w:lang w:val="en-US" w:eastAsia="zh-CN"/>
        </w:rPr>
        <w:t>本项目所有垃圾处理流程均采用工艺包商成套设备，本次设计无需考虑现地控制，仅设计中控室内部分。</w:t>
      </w:r>
    </w:p>
    <w:p w14:paraId="78C322FC">
      <w:pPr>
        <w:pStyle w:val="22"/>
        <w:bidi w:val="0"/>
        <w:rPr>
          <w:rFonts w:hint="eastAsia"/>
          <w:lang w:val="en-US" w:eastAsia="zh-CN"/>
        </w:rPr>
      </w:pPr>
      <w:r>
        <w:rPr>
          <w:rFonts w:hint="eastAsia"/>
          <w:lang w:val="en-US" w:eastAsia="zh-CN"/>
        </w:rPr>
        <w:t>4</w:t>
      </w:r>
      <w:r>
        <w:rPr>
          <w:rFonts w:hint="eastAsia"/>
        </w:rPr>
        <w:t>、</w:t>
      </w:r>
      <w:r>
        <w:rPr>
          <w:rFonts w:hint="eastAsia"/>
          <w:lang w:val="en-US" w:eastAsia="zh-CN"/>
        </w:rPr>
        <w:t>保护</w:t>
      </w:r>
    </w:p>
    <w:p w14:paraId="7F75F120">
      <w:pPr>
        <w:pStyle w:val="22"/>
        <w:bidi w:val="0"/>
        <w:rPr>
          <w:rFonts w:hint="eastAsia"/>
          <w:lang w:val="en-US" w:eastAsia="zh-CN"/>
        </w:rPr>
      </w:pPr>
      <w:r>
        <w:rPr>
          <w:rFonts w:hint="eastAsia"/>
          <w:lang w:val="en-US" w:eastAsia="zh-CN"/>
        </w:rPr>
        <w:t>（1）10kV线路进线保护设置：</w:t>
      </w:r>
    </w:p>
    <w:p w14:paraId="31156112">
      <w:pPr>
        <w:pStyle w:val="22"/>
        <w:bidi w:val="0"/>
        <w:rPr>
          <w:rFonts w:hint="eastAsia"/>
          <w:lang w:val="en-US" w:eastAsia="zh-CN"/>
        </w:rPr>
      </w:pPr>
      <w:r>
        <w:rPr>
          <w:rFonts w:hint="eastAsia"/>
          <w:lang w:val="en-US" w:eastAsia="zh-CN"/>
        </w:rPr>
        <w:t>主保护：延时电流速断保护；</w:t>
      </w:r>
    </w:p>
    <w:p w14:paraId="59E093FE">
      <w:pPr>
        <w:pStyle w:val="22"/>
        <w:bidi w:val="0"/>
        <w:rPr>
          <w:rFonts w:hint="eastAsia"/>
          <w:lang w:val="en-US" w:eastAsia="zh-CN"/>
        </w:rPr>
      </w:pPr>
      <w:r>
        <w:rPr>
          <w:rFonts w:hint="eastAsia"/>
          <w:lang w:val="en-US" w:eastAsia="zh-CN"/>
        </w:rPr>
        <w:t>后备保护：带时限过流保护；</w:t>
      </w:r>
    </w:p>
    <w:p w14:paraId="6E268BEF">
      <w:pPr>
        <w:pStyle w:val="22"/>
        <w:bidi w:val="0"/>
        <w:rPr>
          <w:rFonts w:hint="eastAsia"/>
          <w:lang w:val="en-US" w:eastAsia="zh-CN"/>
        </w:rPr>
      </w:pPr>
      <w:r>
        <w:rPr>
          <w:rFonts w:hint="eastAsia"/>
          <w:lang w:val="en-US" w:eastAsia="zh-CN"/>
        </w:rPr>
        <w:t>（2）10/0.4kV变压器保护设置：</w:t>
      </w:r>
    </w:p>
    <w:p w14:paraId="6AF3FFFC">
      <w:pPr>
        <w:pStyle w:val="22"/>
        <w:bidi w:val="0"/>
        <w:rPr>
          <w:rFonts w:hint="eastAsia"/>
          <w:lang w:val="en-US" w:eastAsia="zh-CN"/>
        </w:rPr>
      </w:pPr>
      <w:r>
        <w:rPr>
          <w:rFonts w:hint="eastAsia"/>
          <w:lang w:val="en-US" w:eastAsia="zh-CN"/>
        </w:rPr>
        <w:t>主保护：电流速断保护；</w:t>
      </w:r>
    </w:p>
    <w:p w14:paraId="4AEEE262">
      <w:pPr>
        <w:pStyle w:val="22"/>
        <w:bidi w:val="0"/>
        <w:rPr>
          <w:rFonts w:hint="eastAsia"/>
          <w:lang w:val="en-US" w:eastAsia="zh-CN"/>
        </w:rPr>
      </w:pPr>
      <w:r>
        <w:rPr>
          <w:rFonts w:hint="eastAsia"/>
          <w:lang w:val="en-US" w:eastAsia="zh-CN"/>
        </w:rPr>
        <w:t>后备保护：a.过流保护；b.温度保护；c.过负荷保护；d.单相接地保护；</w:t>
      </w:r>
    </w:p>
    <w:p w14:paraId="00D79A81">
      <w:pPr>
        <w:pStyle w:val="22"/>
        <w:bidi w:val="0"/>
        <w:rPr>
          <w:rFonts w:hint="eastAsia"/>
          <w:lang w:val="en-US" w:eastAsia="zh-CN"/>
        </w:rPr>
      </w:pPr>
      <w:r>
        <w:rPr>
          <w:rFonts w:hint="eastAsia"/>
          <w:lang w:val="en-US" w:eastAsia="zh-CN"/>
        </w:rPr>
        <w:t>（3）低压保护装置：</w:t>
      </w:r>
    </w:p>
    <w:p w14:paraId="37775E79">
      <w:pPr>
        <w:pStyle w:val="22"/>
        <w:bidi w:val="0"/>
        <w:rPr>
          <w:rFonts w:hint="eastAsia"/>
          <w:lang w:val="en-US" w:eastAsia="zh-CN"/>
        </w:rPr>
      </w:pPr>
      <w:r>
        <w:rPr>
          <w:rFonts w:hint="eastAsia"/>
          <w:lang w:val="en-US" w:eastAsia="zh-CN"/>
        </w:rPr>
        <w:t>低压主进线断路器设短路速断、延时速断及长延时过电流三段保护。低压配电回路断路器设超载长延时、短路瞬时脱扣器。</w:t>
      </w:r>
    </w:p>
    <w:p w14:paraId="3CC1BB60">
      <w:pPr>
        <w:pStyle w:val="22"/>
        <w:bidi w:val="0"/>
        <w:rPr>
          <w:rFonts w:hint="eastAsia"/>
          <w:lang w:val="en-US" w:eastAsia="zh-CN"/>
        </w:rPr>
      </w:pPr>
      <w:r>
        <w:rPr>
          <w:rFonts w:hint="eastAsia"/>
          <w:lang w:val="en-US" w:eastAsia="zh-CN"/>
        </w:rPr>
        <w:t>（4）根据污水厂工艺特点，低压电动机保护设置如下：</w:t>
      </w:r>
    </w:p>
    <w:p w14:paraId="17894B71">
      <w:pPr>
        <w:pStyle w:val="22"/>
        <w:bidi w:val="0"/>
        <w:rPr>
          <w:rFonts w:hint="eastAsia"/>
          <w:lang w:val="en-US" w:eastAsia="zh-CN"/>
        </w:rPr>
      </w:pPr>
      <w:r>
        <w:rPr>
          <w:rFonts w:hint="eastAsia"/>
          <w:lang w:val="en-US" w:eastAsia="zh-CN"/>
        </w:rPr>
        <w:t>普通电动机：设短路、过负荷及缺相保护；</w:t>
      </w:r>
    </w:p>
    <w:p w14:paraId="63BF2000">
      <w:pPr>
        <w:pStyle w:val="22"/>
        <w:bidi w:val="0"/>
        <w:rPr>
          <w:rFonts w:hint="eastAsia"/>
          <w:lang w:val="en-US" w:eastAsia="zh-CN"/>
        </w:rPr>
      </w:pPr>
      <w:r>
        <w:rPr>
          <w:rFonts w:hint="eastAsia"/>
          <w:lang w:val="en-US" w:eastAsia="zh-CN"/>
        </w:rPr>
        <w:t>大容量电动机：设短路、过负荷、缺相、温度及接地保护；</w:t>
      </w:r>
    </w:p>
    <w:p w14:paraId="3D37015E">
      <w:pPr>
        <w:pStyle w:val="22"/>
        <w:bidi w:val="0"/>
        <w:rPr>
          <w:rFonts w:hint="eastAsia"/>
          <w:lang w:val="en-US" w:eastAsia="zh-CN"/>
        </w:rPr>
      </w:pPr>
      <w:r>
        <w:rPr>
          <w:rFonts w:hint="eastAsia"/>
          <w:lang w:val="en-US" w:eastAsia="zh-CN"/>
        </w:rPr>
        <w:t>潜水式电动机：设短路、过负荷、缺相、温度及渗漏保护；</w:t>
      </w:r>
    </w:p>
    <w:p w14:paraId="0C8C3753">
      <w:pPr>
        <w:pStyle w:val="22"/>
        <w:bidi w:val="0"/>
        <w:rPr>
          <w:rFonts w:hint="eastAsia"/>
          <w:lang w:val="en-US" w:eastAsia="zh-CN"/>
        </w:rPr>
      </w:pPr>
      <w:r>
        <w:rPr>
          <w:rFonts w:hint="eastAsia"/>
          <w:lang w:val="en-US" w:eastAsia="zh-CN"/>
        </w:rPr>
        <w:t>阀门电动机：设短路、过负荷、缺相及过力矩保护。</w:t>
      </w:r>
    </w:p>
    <w:p w14:paraId="60BE8908">
      <w:pPr>
        <w:pStyle w:val="22"/>
        <w:bidi w:val="0"/>
        <w:rPr>
          <w:rFonts w:hint="eastAsia"/>
          <w:lang w:val="en-US" w:eastAsia="zh-CN"/>
        </w:rPr>
      </w:pPr>
      <w:r>
        <w:rPr>
          <w:rFonts w:hint="eastAsia"/>
          <w:lang w:val="en-US" w:eastAsia="zh-CN"/>
        </w:rPr>
        <w:t>所有电动机均采用两地控制方式，可实现就地控制和PLC远控，并在现场设置有紧急停机按钮。就地控制或PLC远控可以通过设于机旁的手、自动转换开关进行选择。就地控制主要用于设备的检修和调试，也可作为生产过程中临时、应急操作手段；正常情况下，由自控系统根据工艺流程要求实现PLC远控。现场就地按钮箱均带护盖，以防止误碰按钮造成电动机误操作。</w:t>
      </w:r>
    </w:p>
    <w:p w14:paraId="09A7A1E8">
      <w:pPr>
        <w:pStyle w:val="22"/>
        <w:bidi w:val="0"/>
        <w:rPr>
          <w:rFonts w:hint="eastAsia"/>
          <w:lang w:val="en-US" w:eastAsia="zh-CN"/>
        </w:rPr>
      </w:pPr>
      <w:r>
        <w:rPr>
          <w:rFonts w:hint="eastAsia"/>
          <w:lang w:val="en-US" w:eastAsia="zh-CN"/>
        </w:rPr>
        <w:t>5、电动机的起动方式</w:t>
      </w:r>
    </w:p>
    <w:p w14:paraId="0ABD79A7">
      <w:pPr>
        <w:pStyle w:val="22"/>
        <w:bidi w:val="0"/>
        <w:rPr>
          <w:rFonts w:hint="eastAsia"/>
          <w:lang w:val="en-US" w:eastAsia="zh-CN"/>
        </w:rPr>
      </w:pPr>
      <w:r>
        <w:rPr>
          <w:rFonts w:hint="eastAsia"/>
          <w:lang w:val="en-US" w:eastAsia="zh-CN"/>
        </w:rPr>
        <w:t>厂内部分根据变压器的容量，除工艺有特殊要求外，本工程在50kW以下电机均采用直接全压起动；考虑到主要工艺设备的运行要求和使用寿命，提高电源质量，50kW及以上的电机采用软起动器起动或变频启动控制方式。</w:t>
      </w:r>
    </w:p>
    <w:p w14:paraId="46692B7E">
      <w:pPr>
        <w:pStyle w:val="22"/>
        <w:bidi w:val="0"/>
        <w:rPr>
          <w:rFonts w:hint="eastAsia"/>
          <w:lang w:val="en-US" w:eastAsia="zh-CN"/>
        </w:rPr>
      </w:pPr>
      <w:r>
        <w:rPr>
          <w:rFonts w:hint="eastAsia"/>
          <w:lang w:val="en-US" w:eastAsia="zh-CN"/>
        </w:rPr>
        <w:t>6、综合布线</w:t>
      </w:r>
    </w:p>
    <w:p w14:paraId="7359788D">
      <w:pPr>
        <w:pStyle w:val="22"/>
        <w:bidi w:val="0"/>
        <w:rPr>
          <w:rFonts w:hint="default"/>
          <w:lang w:val="en-US" w:eastAsia="zh-CN"/>
        </w:rPr>
      </w:pPr>
      <w:r>
        <w:rPr>
          <w:rFonts w:hint="eastAsia"/>
          <w:lang w:val="en-US" w:eastAsia="zh-CN"/>
        </w:rPr>
        <w:t>系统采用10/100Mbps快速以太网，传输介质为五类或超五类双绞线（TP），物理拓扑结构为星形，通过交换机相连，结构简单、性能稳定可靠、易于扩展、易于实现网络互连，并有众多的软硬件产品支持。</w:t>
      </w:r>
    </w:p>
    <w:p w14:paraId="635A2AA3">
      <w:pPr>
        <w:pStyle w:val="22"/>
        <w:bidi w:val="0"/>
        <w:rPr>
          <w:rFonts w:hint="default" w:cs="Times New Roman"/>
          <w:b/>
          <w:bCs/>
          <w:lang w:val="en-US" w:eastAsia="zh-CN"/>
        </w:rPr>
      </w:pPr>
      <w:bookmarkStart w:id="211" w:name="_Toc12659"/>
      <w:r>
        <w:rPr>
          <w:rFonts w:hint="eastAsia" w:cs="Times New Roman"/>
          <w:b/>
          <w:bCs/>
          <w:lang w:val="en-US" w:eastAsia="zh-CN"/>
        </w:rPr>
        <w:t>1.3.6</w:t>
      </w:r>
      <w:r>
        <w:rPr>
          <w:rFonts w:hint="default" w:cs="Times New Roman"/>
          <w:b/>
          <w:bCs/>
          <w:lang w:val="en-US"/>
        </w:rPr>
        <w:t>暖通</w:t>
      </w:r>
      <w:bookmarkEnd w:id="209"/>
      <w:r>
        <w:rPr>
          <w:rFonts w:hint="eastAsia" w:cs="Times New Roman"/>
          <w:b/>
          <w:bCs/>
          <w:lang w:val="en-US" w:eastAsia="zh-CN"/>
        </w:rPr>
        <w:t>设计</w:t>
      </w:r>
      <w:bookmarkEnd w:id="210"/>
      <w:bookmarkEnd w:id="211"/>
    </w:p>
    <w:p w14:paraId="200C8E36">
      <w:pPr>
        <w:pStyle w:val="22"/>
        <w:bidi w:val="0"/>
        <w:rPr>
          <w:rFonts w:hint="eastAsia"/>
        </w:rPr>
      </w:pPr>
      <w:r>
        <w:rPr>
          <w:rFonts w:hint="eastAsia"/>
        </w:rPr>
        <w:t>一、设计依据</w:t>
      </w:r>
    </w:p>
    <w:p w14:paraId="0E73CC91">
      <w:pPr>
        <w:pStyle w:val="22"/>
        <w:bidi w:val="0"/>
        <w:rPr>
          <w:rFonts w:hint="eastAsia"/>
        </w:rPr>
      </w:pPr>
      <w:r>
        <w:rPr>
          <w:rFonts w:hint="eastAsia"/>
        </w:rPr>
        <w:t>《民用建筑供暖通风与空气调节设计规范》（GB50736-2012）；</w:t>
      </w:r>
    </w:p>
    <w:p w14:paraId="4A40627F">
      <w:pPr>
        <w:pStyle w:val="22"/>
        <w:bidi w:val="0"/>
        <w:rPr>
          <w:rFonts w:hint="eastAsia"/>
        </w:rPr>
      </w:pPr>
      <w:r>
        <w:rPr>
          <w:rFonts w:hint="eastAsia"/>
        </w:rPr>
        <w:t>《建筑设计防火规范》（GB50016-2014）（2018年修订版）；</w:t>
      </w:r>
    </w:p>
    <w:p w14:paraId="50623483">
      <w:pPr>
        <w:pStyle w:val="22"/>
        <w:bidi w:val="0"/>
        <w:rPr>
          <w:rFonts w:hint="eastAsia"/>
        </w:rPr>
      </w:pPr>
      <w:r>
        <w:rPr>
          <w:rFonts w:hint="eastAsia"/>
        </w:rPr>
        <w:t>《建筑防排烟系统技术标准》（GB51251-2017）；</w:t>
      </w:r>
    </w:p>
    <w:p w14:paraId="4A2CC8D0">
      <w:pPr>
        <w:pStyle w:val="22"/>
        <w:bidi w:val="0"/>
        <w:rPr>
          <w:rFonts w:hint="eastAsia"/>
          <w:lang w:eastAsia="zh-CN"/>
        </w:rPr>
      </w:pPr>
      <w:r>
        <w:rPr>
          <w:rFonts w:hint="eastAsia"/>
        </w:rPr>
        <w:t>《建筑防火通用规范》（GB 55037-2022）</w:t>
      </w:r>
      <w:r>
        <w:rPr>
          <w:rFonts w:hint="eastAsia"/>
          <w:lang w:eastAsia="zh-CN"/>
        </w:rPr>
        <w:t>；</w:t>
      </w:r>
    </w:p>
    <w:p w14:paraId="25701078">
      <w:pPr>
        <w:pStyle w:val="22"/>
        <w:bidi w:val="0"/>
        <w:rPr>
          <w:rFonts w:hint="eastAsia"/>
          <w:lang w:eastAsia="zh-CN"/>
        </w:rPr>
      </w:pPr>
      <w:r>
        <w:rPr>
          <w:rFonts w:hint="eastAsia"/>
        </w:rPr>
        <w:t>《消防设施通用规范》（GB55036-2022）</w:t>
      </w:r>
      <w:r>
        <w:rPr>
          <w:rFonts w:hint="eastAsia"/>
          <w:lang w:eastAsia="zh-CN"/>
        </w:rPr>
        <w:t>；</w:t>
      </w:r>
    </w:p>
    <w:p w14:paraId="55F093B1">
      <w:pPr>
        <w:pStyle w:val="22"/>
        <w:bidi w:val="0"/>
        <w:rPr>
          <w:rFonts w:hint="eastAsia"/>
        </w:rPr>
      </w:pPr>
      <w:r>
        <w:rPr>
          <w:rFonts w:hint="eastAsia"/>
        </w:rPr>
        <w:t>《公共建筑节能设计标准》（GB50189-2015）；</w:t>
      </w:r>
    </w:p>
    <w:p w14:paraId="0CDD61E6">
      <w:pPr>
        <w:pStyle w:val="22"/>
        <w:bidi w:val="0"/>
        <w:rPr>
          <w:rFonts w:hint="eastAsia"/>
          <w:lang w:eastAsia="zh-CN"/>
        </w:rPr>
      </w:pPr>
      <w:r>
        <w:rPr>
          <w:rFonts w:hint="eastAsia"/>
        </w:rPr>
        <w:t>《工业建筑节能设计统一标准》（GB51245-2017）</w:t>
      </w:r>
      <w:r>
        <w:rPr>
          <w:rFonts w:hint="eastAsia"/>
          <w:lang w:eastAsia="zh-CN"/>
        </w:rPr>
        <w:t>；</w:t>
      </w:r>
    </w:p>
    <w:p w14:paraId="121E5E9C">
      <w:pPr>
        <w:pStyle w:val="22"/>
        <w:bidi w:val="0"/>
        <w:rPr>
          <w:rFonts w:hint="eastAsia"/>
          <w:lang w:eastAsia="zh-CN"/>
        </w:rPr>
      </w:pPr>
      <w:r>
        <w:rPr>
          <w:rFonts w:hint="eastAsia"/>
        </w:rPr>
        <w:t>《工业建筑供暖通风与空气调节设计规范》（GB 50019-2015）</w:t>
      </w:r>
      <w:r>
        <w:rPr>
          <w:rFonts w:hint="eastAsia"/>
          <w:lang w:eastAsia="zh-CN"/>
        </w:rPr>
        <w:t>；</w:t>
      </w:r>
    </w:p>
    <w:p w14:paraId="2C0B65E7">
      <w:pPr>
        <w:pStyle w:val="22"/>
        <w:bidi w:val="0"/>
        <w:rPr>
          <w:rFonts w:hint="eastAsia"/>
        </w:rPr>
      </w:pPr>
      <w:r>
        <w:rPr>
          <w:rFonts w:hint="eastAsia"/>
        </w:rPr>
        <w:t>《民用建筑绿色设计规范》（JGJ/T229-2010）；</w:t>
      </w:r>
    </w:p>
    <w:p w14:paraId="4A98EFC1">
      <w:pPr>
        <w:pStyle w:val="22"/>
        <w:bidi w:val="0"/>
        <w:rPr>
          <w:rFonts w:hint="eastAsia"/>
        </w:rPr>
      </w:pPr>
      <w:r>
        <w:rPr>
          <w:rFonts w:hint="eastAsia"/>
        </w:rPr>
        <w:t>《绿色建筑评价标准》（GB/T50378-2019）；</w:t>
      </w:r>
    </w:p>
    <w:p w14:paraId="7FEB2506">
      <w:pPr>
        <w:pStyle w:val="22"/>
        <w:bidi w:val="0"/>
        <w:rPr>
          <w:rFonts w:hint="eastAsia"/>
        </w:rPr>
      </w:pPr>
      <w:r>
        <w:rPr>
          <w:rFonts w:hint="eastAsia"/>
        </w:rPr>
        <w:t>《四川省绿色建筑设计标准》（DBJ51／T037-2015）；</w:t>
      </w:r>
    </w:p>
    <w:p w14:paraId="225C9C4D">
      <w:pPr>
        <w:pStyle w:val="22"/>
        <w:bidi w:val="0"/>
        <w:rPr>
          <w:rFonts w:hint="eastAsia"/>
        </w:rPr>
      </w:pPr>
      <w:r>
        <w:rPr>
          <w:rFonts w:hint="eastAsia"/>
        </w:rPr>
        <w:t>《锅炉大气污染物排放标准》（GB13271-2014）；</w:t>
      </w:r>
    </w:p>
    <w:p w14:paraId="01BD7733">
      <w:pPr>
        <w:pStyle w:val="22"/>
        <w:bidi w:val="0"/>
        <w:rPr>
          <w:rFonts w:hint="eastAsia"/>
        </w:rPr>
      </w:pPr>
      <w:r>
        <w:rPr>
          <w:rFonts w:hint="eastAsia"/>
        </w:rPr>
        <w:t>《建筑机电工程抗震设计规范》（GB50981-2014）；</w:t>
      </w:r>
    </w:p>
    <w:p w14:paraId="1E112C92">
      <w:pPr>
        <w:pStyle w:val="22"/>
        <w:bidi w:val="0"/>
        <w:rPr>
          <w:rFonts w:hint="eastAsia"/>
        </w:rPr>
      </w:pPr>
      <w:r>
        <w:rPr>
          <w:rFonts w:hint="eastAsia"/>
        </w:rPr>
        <w:t>《建筑与市政工程抗震通用规范》（GB55002-2021）；</w:t>
      </w:r>
    </w:p>
    <w:p w14:paraId="5665FCE4">
      <w:pPr>
        <w:pStyle w:val="22"/>
        <w:bidi w:val="0"/>
        <w:rPr>
          <w:rFonts w:hint="eastAsia"/>
        </w:rPr>
      </w:pPr>
      <w:r>
        <w:rPr>
          <w:rFonts w:hint="eastAsia"/>
        </w:rPr>
        <w:t>《建筑节能与可再生能源利用通用规范》（GB55015-2021）；</w:t>
      </w:r>
    </w:p>
    <w:p w14:paraId="10A5514A">
      <w:pPr>
        <w:pStyle w:val="22"/>
        <w:bidi w:val="0"/>
        <w:rPr>
          <w:rFonts w:hint="eastAsia"/>
        </w:rPr>
      </w:pPr>
      <w:r>
        <w:rPr>
          <w:rFonts w:hint="eastAsia"/>
        </w:rPr>
        <w:t>《建筑环境通用规范》（GB55016-2021）；</w:t>
      </w:r>
    </w:p>
    <w:p w14:paraId="7FAA3BD4">
      <w:pPr>
        <w:pStyle w:val="22"/>
        <w:bidi w:val="0"/>
        <w:rPr>
          <w:rFonts w:hint="eastAsia"/>
        </w:rPr>
      </w:pPr>
      <w:r>
        <w:rPr>
          <w:rFonts w:hint="eastAsia"/>
        </w:rPr>
        <w:t>《四川省房屋建筑工程消防设计技术审查要点》（试行）；</w:t>
      </w:r>
    </w:p>
    <w:p w14:paraId="5C30A966">
      <w:pPr>
        <w:pStyle w:val="22"/>
        <w:bidi w:val="0"/>
        <w:rPr>
          <w:rFonts w:hint="eastAsia"/>
        </w:rPr>
      </w:pPr>
      <w:r>
        <w:rPr>
          <w:rFonts w:hint="eastAsia"/>
        </w:rPr>
        <w:t>《公共场所集中空调通风系统卫生规范》（WS394-2012）；</w:t>
      </w:r>
    </w:p>
    <w:p w14:paraId="5822C6BD">
      <w:pPr>
        <w:pStyle w:val="22"/>
        <w:bidi w:val="0"/>
        <w:rPr>
          <w:rFonts w:hint="eastAsia"/>
        </w:rPr>
      </w:pPr>
      <w:r>
        <w:rPr>
          <w:rFonts w:hint="eastAsia"/>
        </w:rPr>
        <w:t>《声环境质量标准》（GB3096-2008）。</w:t>
      </w:r>
    </w:p>
    <w:p w14:paraId="49F07C23">
      <w:pPr>
        <w:pStyle w:val="22"/>
        <w:bidi w:val="0"/>
        <w:rPr>
          <w:rFonts w:hint="eastAsia"/>
        </w:rPr>
      </w:pPr>
      <w:r>
        <w:rPr>
          <w:rFonts w:hint="eastAsia"/>
        </w:rPr>
        <w:t>二、设计范围</w:t>
      </w:r>
    </w:p>
    <w:p w14:paraId="3F650E38">
      <w:pPr>
        <w:pStyle w:val="22"/>
        <w:bidi w:val="0"/>
        <w:rPr>
          <w:rFonts w:hint="eastAsia"/>
        </w:rPr>
      </w:pPr>
      <w:r>
        <w:rPr>
          <w:rFonts w:hint="eastAsia"/>
        </w:rPr>
        <w:t>空调系统设计；通风系统设计；防排烟系统设计。</w:t>
      </w:r>
    </w:p>
    <w:p w14:paraId="4077CDFC">
      <w:pPr>
        <w:pStyle w:val="22"/>
        <w:bidi w:val="0"/>
        <w:rPr>
          <w:rFonts w:hint="eastAsia"/>
        </w:rPr>
      </w:pPr>
      <w:r>
        <w:rPr>
          <w:rFonts w:hint="eastAsia"/>
        </w:rPr>
        <w:t>三、空调系统设计</w:t>
      </w:r>
    </w:p>
    <w:p w14:paraId="4B5F1E19">
      <w:pPr>
        <w:pStyle w:val="22"/>
        <w:bidi w:val="0"/>
        <w:rPr>
          <w:rFonts w:hint="eastAsia"/>
        </w:rPr>
      </w:pPr>
      <w:r>
        <w:rPr>
          <w:rFonts w:hint="eastAsia"/>
        </w:rPr>
        <w:t>结合本项目的具体情况，经沟通后确定本子项的空调方式采用多联机系统，具体情况简述如下：</w:t>
      </w:r>
    </w:p>
    <w:p w14:paraId="5CEDEED6">
      <w:pPr>
        <w:pStyle w:val="22"/>
        <w:bidi w:val="0"/>
        <w:rPr>
          <w:rFonts w:hint="eastAsia"/>
        </w:rPr>
      </w:pPr>
      <w:r>
        <w:rPr>
          <w:rFonts w:hint="eastAsia"/>
        </w:rPr>
        <w:t>1</w:t>
      </w:r>
      <w:r>
        <w:rPr>
          <w:rFonts w:hint="eastAsia"/>
          <w:lang w:eastAsia="zh-CN"/>
        </w:rPr>
        <w:t>、</w:t>
      </w:r>
      <w:r>
        <w:rPr>
          <w:rFonts w:hint="eastAsia"/>
        </w:rPr>
        <w:t>办公室及化验室预留分体空调用电量。</w:t>
      </w:r>
    </w:p>
    <w:p w14:paraId="286DD1AC">
      <w:pPr>
        <w:pStyle w:val="22"/>
        <w:bidi w:val="0"/>
        <w:rPr>
          <w:rFonts w:hint="eastAsia"/>
        </w:rPr>
      </w:pPr>
      <w:r>
        <w:rPr>
          <w:rFonts w:hint="eastAsia"/>
        </w:rPr>
        <w:t>2</w:t>
      </w:r>
      <w:r>
        <w:rPr>
          <w:rFonts w:hint="eastAsia"/>
          <w:lang w:eastAsia="zh-CN"/>
        </w:rPr>
        <w:t>、</w:t>
      </w:r>
      <w:r>
        <w:rPr>
          <w:rFonts w:hint="eastAsia"/>
        </w:rPr>
        <w:t>变配电机房及控制室预留分体空调用电量。</w:t>
      </w:r>
    </w:p>
    <w:p w14:paraId="7B357D31">
      <w:pPr>
        <w:pStyle w:val="22"/>
        <w:bidi w:val="0"/>
        <w:rPr>
          <w:rFonts w:hint="eastAsia"/>
        </w:rPr>
      </w:pPr>
      <w:r>
        <w:rPr>
          <w:rFonts w:hint="eastAsia"/>
        </w:rPr>
        <w:t>四、防排烟系统设计</w:t>
      </w:r>
    </w:p>
    <w:p w14:paraId="4874C2F5">
      <w:pPr>
        <w:pStyle w:val="22"/>
        <w:bidi w:val="0"/>
        <w:rPr>
          <w:rFonts w:hint="eastAsia"/>
        </w:rPr>
      </w:pPr>
      <w:r>
        <w:rPr>
          <w:rFonts w:hint="eastAsia"/>
        </w:rPr>
        <w:t>本工程的防烟与排烟系统设计执行《建筑设计防火规范》（GB50016-2014）（2018年修订版）、《建筑防排烟系统技术标准》（GB51251-2017）、《建筑防火通用规范》（GB 55037-2022）、《消防设施通用规范》（GB55036-2022）的有关规定。</w:t>
      </w:r>
    </w:p>
    <w:p w14:paraId="3B16B080">
      <w:pPr>
        <w:pStyle w:val="22"/>
        <w:bidi w:val="0"/>
        <w:rPr>
          <w:rFonts w:hint="eastAsia"/>
        </w:rPr>
      </w:pPr>
      <w:r>
        <w:rPr>
          <w:rFonts w:hint="eastAsia"/>
        </w:rPr>
        <w:t>1、通风空调系统送回风总管出机房处，垂直风管与每层水平风管交接处的水平支管上安装防火阀，其易熔环作用温度70℃。</w:t>
      </w:r>
    </w:p>
    <w:p w14:paraId="55984134">
      <w:pPr>
        <w:pStyle w:val="22"/>
        <w:bidi w:val="0"/>
        <w:rPr>
          <w:rFonts w:hint="eastAsia"/>
        </w:rPr>
      </w:pPr>
      <w:r>
        <w:rPr>
          <w:rFonts w:hint="eastAsia"/>
        </w:rPr>
        <w:t>2、压缩车间净高大于6米，设机械排烟系统。排烟量在规范限定排烟量与公式计算排烟量中取最大值。</w:t>
      </w:r>
    </w:p>
    <w:p w14:paraId="4B489A06">
      <w:pPr>
        <w:pStyle w:val="22"/>
        <w:bidi w:val="0"/>
        <w:rPr>
          <w:rFonts w:hint="eastAsia"/>
        </w:rPr>
      </w:pPr>
      <w:r>
        <w:rPr>
          <w:rFonts w:hint="eastAsia"/>
        </w:rPr>
        <w:t>3、长度超过20m的走道及其他不具备自然排烟条件的房间设置机械排烟系统。</w:t>
      </w:r>
    </w:p>
    <w:p w14:paraId="17913AA7">
      <w:pPr>
        <w:pStyle w:val="22"/>
        <w:bidi w:val="0"/>
        <w:rPr>
          <w:rFonts w:hint="eastAsia"/>
        </w:rPr>
      </w:pPr>
      <w:r>
        <w:rPr>
          <w:rFonts w:hint="eastAsia"/>
        </w:rPr>
        <w:t>4、地上建筑面积大于50m2房间且小于100平方房间均设置有可开启外窗。</w:t>
      </w:r>
    </w:p>
    <w:p w14:paraId="449C48C5">
      <w:pPr>
        <w:pStyle w:val="22"/>
        <w:bidi w:val="0"/>
        <w:rPr>
          <w:rFonts w:hint="eastAsia"/>
        </w:rPr>
      </w:pPr>
      <w:r>
        <w:rPr>
          <w:rFonts w:hint="eastAsia"/>
        </w:rPr>
        <w:t>5、本次设计未有超过500平米的场所，可不设置补风设施。</w:t>
      </w:r>
    </w:p>
    <w:p w14:paraId="4568D703">
      <w:pPr>
        <w:pStyle w:val="22"/>
        <w:bidi w:val="0"/>
        <w:rPr>
          <w:rFonts w:hint="eastAsia"/>
        </w:rPr>
      </w:pPr>
      <w:r>
        <w:rPr>
          <w:rFonts w:hint="eastAsia"/>
        </w:rPr>
        <w:t>6、排烟风机的公称风量，在计算风压条件下不应小于计算所需风量的1.2倍。</w:t>
      </w:r>
    </w:p>
    <w:p w14:paraId="2ABAE9D5">
      <w:pPr>
        <w:pStyle w:val="22"/>
        <w:bidi w:val="0"/>
        <w:rPr>
          <w:rFonts w:hint="eastAsia"/>
        </w:rPr>
      </w:pPr>
      <w:r>
        <w:rPr>
          <w:rFonts w:hint="eastAsia"/>
        </w:rPr>
        <w:t>7、排烟口与排烟风机联锁，排烟风机的吸入口装防火阀，当排烟温度达到2800C时，防火阀自动关闭并联锁风机停止运行。</w:t>
      </w:r>
    </w:p>
    <w:p w14:paraId="29ED0010">
      <w:pPr>
        <w:pStyle w:val="22"/>
        <w:bidi w:val="0"/>
        <w:rPr>
          <w:rFonts w:hint="eastAsia"/>
        </w:rPr>
      </w:pPr>
      <w:r>
        <w:rPr>
          <w:rFonts w:hint="eastAsia"/>
        </w:rPr>
        <w:t>8、防排烟系统的所有排烟风机、加压送风机、电控加压送风口及排烟口的开启与关闭除在消防控制中心操纵外，也可就地操作，并均应有信号传递到消防控制中心。</w:t>
      </w:r>
    </w:p>
    <w:p w14:paraId="7416A2CF">
      <w:pPr>
        <w:pStyle w:val="22"/>
        <w:bidi w:val="0"/>
        <w:rPr>
          <w:rFonts w:hint="eastAsia"/>
        </w:rPr>
      </w:pPr>
      <w:r>
        <w:rPr>
          <w:rFonts w:hint="eastAsia"/>
        </w:rPr>
        <w:t>五、机械通风系统</w:t>
      </w:r>
    </w:p>
    <w:p w14:paraId="2692330F">
      <w:pPr>
        <w:pStyle w:val="22"/>
        <w:bidi w:val="0"/>
        <w:rPr>
          <w:rFonts w:hint="eastAsia"/>
        </w:rPr>
      </w:pPr>
      <w:r>
        <w:rPr>
          <w:rFonts w:hint="eastAsia"/>
        </w:rPr>
        <w:t>1、根据国家有关规范和生产工艺、使用环境等要求，项目通风工程采用全面通风和局部通风相结合的方式。渗滤液处理车间和垃圾压缩站设全面通风，以去除污浊空气，防止屋顶结露；各喷淋点工段均设置局部通风，用抽风系统将产生的水蒸气和污浊空气排出室外。</w:t>
      </w:r>
    </w:p>
    <w:p w14:paraId="38F827B2">
      <w:pPr>
        <w:pStyle w:val="22"/>
        <w:bidi w:val="0"/>
        <w:rPr>
          <w:rFonts w:hint="eastAsia"/>
        </w:rPr>
      </w:pPr>
      <w:r>
        <w:rPr>
          <w:rFonts w:hint="eastAsia"/>
        </w:rPr>
        <w:t>2、变配电房房通风：设置独立的机械排风系统。排风直接排至室外，机械补风。平时通风以消除室内余热，保证设备必要的工作条件。本次设计变配电房未配置气体灭火系统，无事故后通风。变配电房通风系统需设置防雷接地，风机具有良好的导除静电的接地装置。当通风系统不能满足使用要求时，设置分体空调机冷却降温，按室温设定值启停分体空调机。分体空调由业主自理。</w:t>
      </w:r>
    </w:p>
    <w:p w14:paraId="697BA5BF">
      <w:pPr>
        <w:pStyle w:val="22"/>
        <w:bidi w:val="0"/>
        <w:rPr>
          <w:rFonts w:hint="eastAsia"/>
        </w:rPr>
      </w:pPr>
      <w:r>
        <w:rPr>
          <w:rFonts w:hint="eastAsia"/>
        </w:rPr>
        <w:t>3、各机电设备用房、卫生间等地方，采用机械通风系统。而卫生间、垃圾暂存间等地方须保持负压以防异味外溢。</w:t>
      </w:r>
    </w:p>
    <w:p w14:paraId="0BBF7480">
      <w:pPr>
        <w:pStyle w:val="22"/>
        <w:bidi w:val="0"/>
      </w:pPr>
      <w:r>
        <w:rPr>
          <w:rFonts w:hint="eastAsia"/>
        </w:rPr>
        <w:t>4、设计工况下，通风机效率不低于其最高效率的90%，空调和通风系统采用的风机能效限定值满足《通风机能效限定值及节能评价值》GB19761的要求，且通风系统风机单位风量耗功率Ws小于0.27W/</w:t>
      </w:r>
      <w:r>
        <w:rPr>
          <w:rFonts w:hint="eastAsia"/>
          <w:lang w:eastAsia="zh-CN"/>
        </w:rPr>
        <w:t>（</w:t>
      </w:r>
      <w:r>
        <w:rPr>
          <w:rFonts w:hint="eastAsia"/>
        </w:rPr>
        <w:t>m^U3^U/h</w:t>
      </w:r>
      <w:r>
        <w:rPr>
          <w:rFonts w:hint="eastAsia"/>
          <w:lang w:eastAsia="zh-CN"/>
        </w:rPr>
        <w:t>）</w:t>
      </w:r>
      <w:r>
        <w:rPr>
          <w:rFonts w:hint="eastAsia"/>
        </w:rPr>
        <w:t>，新风系统风机单位风量耗功率Ws小于0.24W/</w:t>
      </w:r>
      <w:r>
        <w:rPr>
          <w:rFonts w:hint="eastAsia"/>
          <w:lang w:eastAsia="zh-CN"/>
        </w:rPr>
        <w:t>（</w:t>
      </w:r>
      <w:r>
        <w:rPr>
          <w:rFonts w:hint="eastAsia"/>
        </w:rPr>
        <w:t>m^U3^U/h</w:t>
      </w:r>
      <w:r>
        <w:rPr>
          <w:rFonts w:hint="eastAsia"/>
          <w:lang w:eastAsia="zh-CN"/>
        </w:rPr>
        <w:t>）</w:t>
      </w:r>
      <w:r>
        <w:t>。</w:t>
      </w:r>
    </w:p>
    <w:p w14:paraId="135AE672">
      <w:pPr>
        <w:pStyle w:val="22"/>
        <w:bidi w:val="0"/>
        <w:rPr>
          <w:rFonts w:hint="default" w:cs="Times New Roman"/>
          <w:b/>
          <w:bCs/>
          <w:lang w:val="en-US" w:eastAsia="zh-CN"/>
        </w:rPr>
      </w:pPr>
      <w:bookmarkStart w:id="212" w:name="_Toc15138"/>
      <w:bookmarkStart w:id="213" w:name="_Toc26537"/>
      <w:bookmarkStart w:id="214" w:name="_Toc23438"/>
      <w:r>
        <w:rPr>
          <w:rFonts w:hint="eastAsia" w:cs="Times New Roman"/>
          <w:b/>
          <w:bCs/>
          <w:lang w:val="en-US" w:eastAsia="zh-CN"/>
        </w:rPr>
        <w:t>1.3.7给排水</w:t>
      </w:r>
      <w:bookmarkEnd w:id="212"/>
      <w:r>
        <w:rPr>
          <w:rFonts w:hint="eastAsia" w:cs="Times New Roman"/>
          <w:b/>
          <w:bCs/>
          <w:lang w:val="en-US" w:eastAsia="zh-CN"/>
        </w:rPr>
        <w:t>设计</w:t>
      </w:r>
      <w:bookmarkEnd w:id="213"/>
      <w:bookmarkEnd w:id="214"/>
    </w:p>
    <w:p w14:paraId="7F3A1E86">
      <w:pPr>
        <w:pStyle w:val="22"/>
        <w:bidi w:val="0"/>
        <w:rPr>
          <w:rFonts w:hint="eastAsia"/>
        </w:rPr>
      </w:pPr>
      <w:r>
        <w:rPr>
          <w:rFonts w:hint="eastAsia"/>
          <w:lang w:val="en-US" w:eastAsia="zh-CN"/>
        </w:rPr>
        <w:t>一、</w:t>
      </w:r>
      <w:r>
        <w:rPr>
          <w:rFonts w:hint="eastAsia"/>
        </w:rPr>
        <w:t>设计依据</w:t>
      </w:r>
    </w:p>
    <w:p w14:paraId="6BB8B25A">
      <w:pPr>
        <w:pStyle w:val="22"/>
        <w:bidi w:val="0"/>
        <w:rPr>
          <w:rFonts w:hint="eastAsia"/>
          <w:lang w:val="en-US" w:eastAsia="zh-CN"/>
        </w:rPr>
      </w:pPr>
      <w:r>
        <w:rPr>
          <w:rFonts w:hint="eastAsia"/>
          <w:lang w:val="en-US" w:eastAsia="zh-CN"/>
        </w:rPr>
        <w:t>《建筑给水排水设计标准》（GB 50015-2019）；</w:t>
      </w:r>
    </w:p>
    <w:p w14:paraId="67F7602B">
      <w:pPr>
        <w:pStyle w:val="22"/>
        <w:bidi w:val="0"/>
        <w:rPr>
          <w:rFonts w:hint="eastAsia"/>
          <w:lang w:val="en-US" w:eastAsia="zh-CN"/>
        </w:rPr>
      </w:pPr>
      <w:r>
        <w:rPr>
          <w:rFonts w:hint="eastAsia"/>
          <w:lang w:val="en-US" w:eastAsia="zh-CN"/>
        </w:rPr>
        <w:t>《室外给水设计标准》（GB 50013-2018）；</w:t>
      </w:r>
    </w:p>
    <w:p w14:paraId="061CDA89">
      <w:pPr>
        <w:pStyle w:val="22"/>
        <w:bidi w:val="0"/>
        <w:rPr>
          <w:rFonts w:hint="eastAsia"/>
          <w:lang w:val="en-US" w:eastAsia="zh-CN"/>
        </w:rPr>
      </w:pPr>
      <w:r>
        <w:rPr>
          <w:rFonts w:hint="eastAsia"/>
          <w:lang w:val="en-US" w:eastAsia="zh-CN"/>
        </w:rPr>
        <w:t>《室外排水设计标准》（GB 50014-2021）；</w:t>
      </w:r>
    </w:p>
    <w:p w14:paraId="4E702F8A">
      <w:pPr>
        <w:pStyle w:val="22"/>
        <w:bidi w:val="0"/>
        <w:rPr>
          <w:rFonts w:hint="eastAsia"/>
          <w:lang w:val="en-US" w:eastAsia="zh-CN"/>
        </w:rPr>
      </w:pPr>
      <w:r>
        <w:rPr>
          <w:rFonts w:hint="eastAsia"/>
          <w:lang w:val="en-US" w:eastAsia="zh-CN"/>
        </w:rPr>
        <w:t>《节水型生活用水器具》（CJ/164-2014）；</w:t>
      </w:r>
    </w:p>
    <w:p w14:paraId="56E8E9A9">
      <w:pPr>
        <w:pStyle w:val="22"/>
        <w:bidi w:val="0"/>
        <w:rPr>
          <w:rFonts w:hint="eastAsia"/>
          <w:lang w:val="en-US" w:eastAsia="zh-CN"/>
        </w:rPr>
      </w:pPr>
      <w:r>
        <w:rPr>
          <w:rFonts w:hint="eastAsia"/>
          <w:lang w:val="en-US" w:eastAsia="zh-CN"/>
        </w:rPr>
        <w:t>《全国民用建筑工程设计技术措施给水排水》2009年版；</w:t>
      </w:r>
    </w:p>
    <w:p w14:paraId="624D043B">
      <w:pPr>
        <w:pStyle w:val="22"/>
        <w:bidi w:val="0"/>
        <w:rPr>
          <w:rFonts w:hint="eastAsia"/>
          <w:lang w:val="en-US" w:eastAsia="zh-CN"/>
        </w:rPr>
      </w:pPr>
      <w:r>
        <w:rPr>
          <w:rFonts w:hint="eastAsia"/>
          <w:lang w:val="en-US" w:eastAsia="zh-CN"/>
        </w:rPr>
        <w:t>《建筑设计防火规范》（GB 50016-2014）（2018年版）；</w:t>
      </w:r>
    </w:p>
    <w:p w14:paraId="2DAECD29">
      <w:pPr>
        <w:pStyle w:val="22"/>
        <w:bidi w:val="0"/>
        <w:rPr>
          <w:rFonts w:hint="eastAsia"/>
          <w:lang w:val="en-US" w:eastAsia="zh-CN"/>
        </w:rPr>
      </w:pPr>
      <w:r>
        <w:rPr>
          <w:rFonts w:hint="eastAsia"/>
          <w:lang w:val="en-US" w:eastAsia="zh-CN"/>
        </w:rPr>
        <w:t>《消防给水及消火栓系统技术规范》（GB 50974-2014）；</w:t>
      </w:r>
    </w:p>
    <w:p w14:paraId="6A989FEA">
      <w:pPr>
        <w:pStyle w:val="22"/>
        <w:bidi w:val="0"/>
        <w:rPr>
          <w:rFonts w:hint="eastAsia"/>
          <w:lang w:val="en-US" w:eastAsia="zh-CN"/>
        </w:rPr>
      </w:pPr>
      <w:r>
        <w:rPr>
          <w:rFonts w:hint="eastAsia"/>
          <w:lang w:val="en-US" w:eastAsia="zh-CN"/>
        </w:rPr>
        <w:t>《自动喷水灭火系统设计规范》（GB 50084-2017）；</w:t>
      </w:r>
    </w:p>
    <w:p w14:paraId="0875DB1A">
      <w:pPr>
        <w:pStyle w:val="22"/>
        <w:bidi w:val="0"/>
        <w:rPr>
          <w:rFonts w:hint="eastAsia"/>
          <w:lang w:val="en-US" w:eastAsia="zh-CN"/>
        </w:rPr>
      </w:pPr>
      <w:r>
        <w:rPr>
          <w:rFonts w:hint="eastAsia"/>
          <w:lang w:val="en-US" w:eastAsia="zh-CN"/>
        </w:rPr>
        <w:t>《建筑灭火器配置设计规范》（GB 50140-2005）；</w:t>
      </w:r>
    </w:p>
    <w:p w14:paraId="6F6ADF85">
      <w:pPr>
        <w:pStyle w:val="22"/>
        <w:bidi w:val="0"/>
        <w:rPr>
          <w:rFonts w:hint="eastAsia"/>
          <w:lang w:val="en-US" w:eastAsia="zh-CN"/>
        </w:rPr>
      </w:pPr>
      <w:r>
        <w:rPr>
          <w:rFonts w:hint="eastAsia"/>
          <w:lang w:val="en-US" w:eastAsia="zh-CN"/>
        </w:rPr>
        <w:t>《建筑机电工程抗震设计规范》（GB50981-2014）；</w:t>
      </w:r>
    </w:p>
    <w:p w14:paraId="66C8C4D0">
      <w:pPr>
        <w:pStyle w:val="22"/>
        <w:bidi w:val="0"/>
        <w:rPr>
          <w:rFonts w:hint="eastAsia"/>
          <w:lang w:val="en-US" w:eastAsia="zh-CN"/>
        </w:rPr>
      </w:pPr>
      <w:r>
        <w:rPr>
          <w:rFonts w:hint="eastAsia"/>
          <w:lang w:val="en-US" w:eastAsia="zh-CN"/>
        </w:rPr>
        <w:t>《建筑给水排水与节水通用规范》（GB 55020-2021）；</w:t>
      </w:r>
    </w:p>
    <w:p w14:paraId="6CB3BEEC">
      <w:pPr>
        <w:pStyle w:val="22"/>
        <w:bidi w:val="0"/>
        <w:rPr>
          <w:rFonts w:hint="eastAsia"/>
          <w:lang w:val="en-US" w:eastAsia="zh-CN"/>
        </w:rPr>
      </w:pPr>
      <w:r>
        <w:rPr>
          <w:rFonts w:hint="eastAsia"/>
          <w:lang w:val="en-US" w:eastAsia="zh-CN"/>
        </w:rPr>
        <w:t>《建筑节能与可再生能源利用通用规范》（GB 55015-2021）；</w:t>
      </w:r>
    </w:p>
    <w:p w14:paraId="59A25294">
      <w:pPr>
        <w:pStyle w:val="22"/>
        <w:bidi w:val="0"/>
        <w:rPr>
          <w:rFonts w:hint="eastAsia"/>
          <w:lang w:val="en-US" w:eastAsia="zh-CN"/>
        </w:rPr>
      </w:pPr>
      <w:r>
        <w:rPr>
          <w:rFonts w:hint="eastAsia"/>
          <w:lang w:val="en-US" w:eastAsia="zh-CN"/>
        </w:rPr>
        <w:t>《建筑防火通用规范》（GB 55037-2022）；</w:t>
      </w:r>
    </w:p>
    <w:p w14:paraId="28D718D3">
      <w:pPr>
        <w:pStyle w:val="22"/>
        <w:bidi w:val="0"/>
        <w:rPr>
          <w:rFonts w:hint="eastAsia"/>
          <w:lang w:val="en-US" w:eastAsia="zh-CN"/>
        </w:rPr>
      </w:pPr>
      <w:r>
        <w:rPr>
          <w:rFonts w:hint="eastAsia"/>
          <w:lang w:val="en-US" w:eastAsia="zh-CN"/>
        </w:rPr>
        <w:t>《消防设施通用规范》（GB 55036-2022）；</w:t>
      </w:r>
    </w:p>
    <w:p w14:paraId="14F65767">
      <w:pPr>
        <w:pStyle w:val="22"/>
        <w:bidi w:val="0"/>
        <w:rPr>
          <w:rFonts w:hint="eastAsia"/>
          <w:lang w:val="en-US" w:eastAsia="zh-CN"/>
        </w:rPr>
      </w:pPr>
      <w:r>
        <w:rPr>
          <w:rFonts w:hint="eastAsia"/>
          <w:lang w:val="en-US" w:eastAsia="zh-CN"/>
        </w:rPr>
        <w:t>《建筑与市政工程抗震通用规范》（GB 55002-2021）；</w:t>
      </w:r>
    </w:p>
    <w:p w14:paraId="0E7FDAD3">
      <w:pPr>
        <w:pStyle w:val="22"/>
        <w:bidi w:val="0"/>
        <w:rPr>
          <w:rFonts w:hint="eastAsia"/>
          <w:lang w:val="en-US" w:eastAsia="zh-CN"/>
        </w:rPr>
      </w:pPr>
      <w:r>
        <w:rPr>
          <w:rFonts w:hint="eastAsia"/>
          <w:lang w:val="en-US" w:eastAsia="zh-CN"/>
        </w:rPr>
        <w:t>《综合能耗计算通则》（GBT2589-2020）；</w:t>
      </w:r>
    </w:p>
    <w:p w14:paraId="6DF26197">
      <w:pPr>
        <w:pStyle w:val="22"/>
        <w:bidi w:val="0"/>
        <w:rPr>
          <w:rFonts w:hint="eastAsia"/>
          <w:lang w:val="en-US" w:eastAsia="zh-CN"/>
        </w:rPr>
      </w:pPr>
      <w:r>
        <w:rPr>
          <w:rFonts w:hint="eastAsia"/>
          <w:lang w:val="en-US" w:eastAsia="zh-CN"/>
        </w:rPr>
        <w:t>《城镇给水排水技术规范》（GB50788-2012）；</w:t>
      </w:r>
    </w:p>
    <w:p w14:paraId="455D3401">
      <w:pPr>
        <w:pStyle w:val="22"/>
        <w:bidi w:val="0"/>
        <w:rPr>
          <w:rFonts w:hint="eastAsia"/>
          <w:lang w:val="en-US" w:eastAsia="zh-CN"/>
        </w:rPr>
      </w:pPr>
      <w:r>
        <w:rPr>
          <w:rFonts w:hint="eastAsia"/>
          <w:lang w:val="en-US" w:eastAsia="zh-CN"/>
        </w:rPr>
        <w:t>《四川省城镇排水与污水处理条例》（2019年修订版）；</w:t>
      </w:r>
    </w:p>
    <w:p w14:paraId="7CDD139F">
      <w:pPr>
        <w:pStyle w:val="22"/>
        <w:bidi w:val="0"/>
        <w:rPr>
          <w:rFonts w:hint="eastAsia"/>
          <w:lang w:val="en-US" w:eastAsia="zh-CN"/>
        </w:rPr>
      </w:pPr>
      <w:r>
        <w:rPr>
          <w:rFonts w:hint="eastAsia"/>
          <w:lang w:val="en-US" w:eastAsia="zh-CN"/>
        </w:rPr>
        <w:t>《四川省房屋建筑工程消防设计技术审查要点》（试行）。</w:t>
      </w:r>
    </w:p>
    <w:p w14:paraId="35C24B59">
      <w:pPr>
        <w:pStyle w:val="22"/>
        <w:bidi w:val="0"/>
        <w:rPr>
          <w:rFonts w:hint="eastAsia"/>
        </w:rPr>
      </w:pPr>
      <w:r>
        <w:rPr>
          <w:rFonts w:hint="eastAsia"/>
          <w:lang w:val="en-US" w:eastAsia="zh-CN"/>
        </w:rPr>
        <w:t>二、</w:t>
      </w:r>
      <w:r>
        <w:rPr>
          <w:rFonts w:hint="eastAsia"/>
        </w:rPr>
        <w:t>项目概况</w:t>
      </w:r>
    </w:p>
    <w:p w14:paraId="728D715A">
      <w:pPr>
        <w:pStyle w:val="22"/>
        <w:bidi w:val="0"/>
        <w:rPr>
          <w:rFonts w:hint="eastAsia"/>
          <w:lang w:val="en-US" w:eastAsia="zh-CN"/>
        </w:rPr>
      </w:pPr>
      <w:r>
        <w:rPr>
          <w:rFonts w:hint="eastAsia"/>
        </w:rPr>
        <w:t>本工程环卫运营中心。分为地下室及楼上两层，地下室为弱电机房、消防水池和消防泵房；一层主要设有化验室、库房、卫生间等功能；设有一个安全出入口；二层设有办公室及会议室。新建建筑面积</w:t>
      </w:r>
      <w:r>
        <w:rPr>
          <w:rFonts w:hint="eastAsia"/>
          <w:lang w:val="en-US" w:eastAsia="zh-CN"/>
        </w:rPr>
        <w:t>800</w:t>
      </w:r>
      <w:r>
        <w:rPr>
          <w:rFonts w:hint="eastAsia"/>
        </w:rPr>
        <w:t>平方米</w:t>
      </w:r>
      <w:r>
        <w:rPr>
          <w:rFonts w:hint="eastAsia"/>
          <w:lang w:val="en-US" w:eastAsia="zh-CN"/>
        </w:rPr>
        <w:t>.</w:t>
      </w:r>
    </w:p>
    <w:p w14:paraId="36766160">
      <w:pPr>
        <w:pStyle w:val="22"/>
        <w:bidi w:val="0"/>
        <w:rPr>
          <w:rFonts w:hint="eastAsia"/>
        </w:rPr>
      </w:pPr>
      <w:r>
        <w:rPr>
          <w:rFonts w:hint="eastAsia"/>
        </w:rPr>
        <w:t>本工程处理站房。本建筑共有三栋小建筑组成；分别是大件垃圾破碎区；垃圾压缩设备区；垃圾渗滤液处置中心。新建建筑面积</w:t>
      </w:r>
      <w:r>
        <w:rPr>
          <w:rFonts w:hint="eastAsia"/>
          <w:lang w:val="en-US" w:eastAsia="zh-CN"/>
        </w:rPr>
        <w:t>1735</w:t>
      </w:r>
      <w:r>
        <w:rPr>
          <w:rFonts w:hint="eastAsia"/>
        </w:rPr>
        <w:t>平方米。</w:t>
      </w:r>
    </w:p>
    <w:p w14:paraId="7D8D6A39">
      <w:pPr>
        <w:pStyle w:val="22"/>
        <w:bidi w:val="0"/>
        <w:rPr>
          <w:rFonts w:hint="eastAsia"/>
        </w:rPr>
      </w:pPr>
      <w:r>
        <w:rPr>
          <w:rFonts w:hint="eastAsia"/>
          <w:lang w:val="en-US" w:eastAsia="zh-CN"/>
        </w:rPr>
        <w:t>三、</w:t>
      </w:r>
      <w:r>
        <w:rPr>
          <w:rFonts w:hint="eastAsia"/>
        </w:rPr>
        <w:t>设计范围</w:t>
      </w:r>
    </w:p>
    <w:p w14:paraId="73E7F325">
      <w:pPr>
        <w:pStyle w:val="22"/>
        <w:bidi w:val="0"/>
        <w:rPr>
          <w:rFonts w:hint="eastAsia"/>
        </w:rPr>
      </w:pPr>
      <w:r>
        <w:rPr>
          <w:rFonts w:hint="eastAsia"/>
        </w:rPr>
        <w:t>本专业的设计范围为本地块红线范围内的室外给水系统、排水系统、雨排水系统、室外消防系统；建筑的室内给水系统、热水系统、排水系统、屋面雨水系统、建筑灭火器系统等。</w:t>
      </w:r>
    </w:p>
    <w:p w14:paraId="7AAB3911">
      <w:pPr>
        <w:pStyle w:val="22"/>
        <w:bidi w:val="0"/>
        <w:rPr>
          <w:rFonts w:hint="eastAsia"/>
        </w:rPr>
      </w:pPr>
      <w:r>
        <w:rPr>
          <w:rFonts w:hint="eastAsia"/>
          <w:lang w:val="en-US" w:eastAsia="zh-CN"/>
        </w:rPr>
        <w:t>四、</w:t>
      </w:r>
      <w:r>
        <w:rPr>
          <w:rFonts w:hint="eastAsia"/>
        </w:rPr>
        <w:t>给水系统</w:t>
      </w:r>
    </w:p>
    <w:p w14:paraId="4A782247">
      <w:pPr>
        <w:pStyle w:val="22"/>
        <w:bidi w:val="0"/>
        <w:rPr>
          <w:rFonts w:hint="eastAsia"/>
        </w:rPr>
      </w:pPr>
      <w:r>
        <w:rPr>
          <w:rFonts w:hint="eastAsia"/>
        </w:rPr>
        <w:t>1</w:t>
      </w:r>
      <w:r>
        <w:rPr>
          <w:rFonts w:hint="eastAsia"/>
          <w:lang w:eastAsia="zh-CN"/>
        </w:rPr>
        <w:t>、</w:t>
      </w:r>
      <w:r>
        <w:rPr>
          <w:rFonts w:hint="eastAsia"/>
        </w:rPr>
        <w:t>室外部分</w:t>
      </w:r>
    </w:p>
    <w:p w14:paraId="1D968568">
      <w:pPr>
        <w:pStyle w:val="22"/>
        <w:bidi w:val="0"/>
        <w:rPr>
          <w:rFonts w:hint="eastAsia"/>
        </w:rPr>
      </w:pPr>
      <w:r>
        <w:rPr>
          <w:rFonts w:hint="eastAsia"/>
          <w:lang w:eastAsia="zh-CN"/>
        </w:rPr>
        <w:t>（</w:t>
      </w:r>
      <w:r>
        <w:rPr>
          <w:rFonts w:hint="eastAsia"/>
          <w:lang w:val="en-US" w:eastAsia="zh-CN"/>
        </w:rPr>
        <w:t>1</w:t>
      </w:r>
      <w:r>
        <w:rPr>
          <w:rFonts w:hint="eastAsia"/>
          <w:lang w:eastAsia="zh-CN"/>
        </w:rPr>
        <w:t>）</w:t>
      </w:r>
      <w:r>
        <w:rPr>
          <w:rFonts w:hint="eastAsia"/>
        </w:rPr>
        <w:t>水源</w:t>
      </w:r>
    </w:p>
    <w:p w14:paraId="37F64192">
      <w:pPr>
        <w:pStyle w:val="22"/>
        <w:bidi w:val="0"/>
        <w:rPr>
          <w:rFonts w:hint="eastAsia"/>
        </w:rPr>
      </w:pPr>
      <w:r>
        <w:rPr>
          <w:rFonts w:hint="eastAsia"/>
        </w:rPr>
        <w:t>生活和消防用水水源拟从院区外已有市政给水主管引入一路市政给水管，管径为DN150，在院区内形成环状管网以确保供水的安全性。道路浇洒、绿化浇灌、车库冲洗考虑采用自来水作为水源。</w:t>
      </w:r>
    </w:p>
    <w:p w14:paraId="3835944A">
      <w:pPr>
        <w:pStyle w:val="22"/>
        <w:bidi w:val="0"/>
        <w:rPr>
          <w:rFonts w:hint="eastAsia"/>
        </w:rPr>
      </w:pPr>
      <w:r>
        <w:rPr>
          <w:rFonts w:hint="eastAsia"/>
          <w:lang w:eastAsia="zh-CN"/>
        </w:rPr>
        <w:t>（</w:t>
      </w:r>
      <w:r>
        <w:rPr>
          <w:rFonts w:hint="eastAsia"/>
          <w:lang w:val="en-US" w:eastAsia="zh-CN"/>
        </w:rPr>
        <w:t>2</w:t>
      </w:r>
      <w:r>
        <w:rPr>
          <w:rFonts w:hint="eastAsia"/>
          <w:lang w:eastAsia="zh-CN"/>
        </w:rPr>
        <w:t>）</w:t>
      </w:r>
      <w:r>
        <w:rPr>
          <w:rFonts w:hint="eastAsia"/>
        </w:rPr>
        <w:t>计量</w:t>
      </w:r>
    </w:p>
    <w:p w14:paraId="5572BB62">
      <w:pPr>
        <w:pStyle w:val="22"/>
        <w:bidi w:val="0"/>
        <w:rPr>
          <w:rFonts w:hint="eastAsia"/>
        </w:rPr>
      </w:pPr>
      <w:r>
        <w:rPr>
          <w:rFonts w:hint="eastAsia"/>
        </w:rPr>
        <w:t>在接自院区的总引入管上设总水表计量。水表前后分别设置阀门和倒流防止器。</w:t>
      </w:r>
    </w:p>
    <w:p w14:paraId="5FF6204D">
      <w:pPr>
        <w:pStyle w:val="22"/>
        <w:bidi w:val="0"/>
        <w:rPr>
          <w:rFonts w:hint="eastAsia"/>
        </w:rPr>
      </w:pPr>
      <w:r>
        <w:rPr>
          <w:rFonts w:hint="eastAsia"/>
          <w:lang w:eastAsia="zh-CN"/>
        </w:rPr>
        <w:t>（</w:t>
      </w:r>
      <w:r>
        <w:rPr>
          <w:rFonts w:hint="eastAsia"/>
          <w:lang w:val="en-US" w:eastAsia="zh-CN"/>
        </w:rPr>
        <w:t>3</w:t>
      </w:r>
      <w:r>
        <w:rPr>
          <w:rFonts w:hint="eastAsia"/>
          <w:lang w:eastAsia="zh-CN"/>
        </w:rPr>
        <w:t>）</w:t>
      </w:r>
      <w:r>
        <w:rPr>
          <w:rFonts w:hint="eastAsia"/>
        </w:rPr>
        <w:t>系统</w:t>
      </w:r>
    </w:p>
    <w:p w14:paraId="4823C733">
      <w:pPr>
        <w:pStyle w:val="22"/>
        <w:bidi w:val="0"/>
        <w:rPr>
          <w:rFonts w:hint="eastAsia"/>
        </w:rPr>
      </w:pPr>
      <w:r>
        <w:rPr>
          <w:rFonts w:hint="eastAsia"/>
        </w:rPr>
        <w:t>室外消防与室外给水管共用，环网上接室外消火栓。水量、水压需满足室外消防和建筑物用水量需求。</w:t>
      </w:r>
    </w:p>
    <w:p w14:paraId="067A3351">
      <w:pPr>
        <w:pStyle w:val="22"/>
        <w:bidi w:val="0"/>
        <w:rPr>
          <w:rFonts w:hint="eastAsia"/>
          <w:lang w:val="zh-CN"/>
        </w:rPr>
      </w:pPr>
      <w:r>
        <w:rPr>
          <w:rFonts w:hint="eastAsia"/>
          <w:lang w:eastAsia="zh-CN"/>
        </w:rPr>
        <w:t>（</w:t>
      </w:r>
      <w:r>
        <w:rPr>
          <w:rFonts w:hint="eastAsia"/>
          <w:lang w:val="en-US" w:eastAsia="zh-CN"/>
        </w:rPr>
        <w:t>4</w:t>
      </w:r>
      <w:r>
        <w:rPr>
          <w:rFonts w:hint="eastAsia"/>
          <w:lang w:eastAsia="zh-CN"/>
        </w:rPr>
        <w:t>）</w:t>
      </w:r>
      <w:r>
        <w:rPr>
          <w:rFonts w:hint="eastAsia"/>
          <w:lang w:val="zh-CN"/>
        </w:rPr>
        <w:t>管材</w:t>
      </w:r>
    </w:p>
    <w:p w14:paraId="10684B32">
      <w:pPr>
        <w:pStyle w:val="22"/>
        <w:bidi w:val="0"/>
        <w:rPr>
          <w:rFonts w:hint="eastAsia"/>
        </w:rPr>
      </w:pPr>
      <w:r>
        <w:rPr>
          <w:rFonts w:hint="eastAsia"/>
        </w:rPr>
        <w:t>室外埋地采用PSP钢塑复合管，管道符合《钢塑复合压力管》（CJ/T 183-2008）中的规定。</w:t>
      </w:r>
    </w:p>
    <w:p w14:paraId="7C52DF90">
      <w:pPr>
        <w:pStyle w:val="22"/>
        <w:bidi w:val="0"/>
        <w:rPr>
          <w:rFonts w:hint="eastAsia"/>
          <w:lang w:val="zh-CN"/>
        </w:rPr>
      </w:pPr>
      <w:r>
        <w:rPr>
          <w:rFonts w:hint="eastAsia"/>
          <w:lang w:val="zh-CN"/>
        </w:rPr>
        <w:t>管道、管件及阀门的压力等级为</w:t>
      </w:r>
      <w:r>
        <w:rPr>
          <w:rFonts w:hint="eastAsia"/>
        </w:rPr>
        <w:t>1.0</w:t>
      </w:r>
      <w:r>
        <w:rPr>
          <w:rFonts w:hint="eastAsia"/>
          <w:lang w:val="zh-CN"/>
        </w:rPr>
        <w:t>MPa。</w:t>
      </w:r>
    </w:p>
    <w:p w14:paraId="03A2A1D5">
      <w:pPr>
        <w:pStyle w:val="22"/>
        <w:bidi w:val="0"/>
        <w:rPr>
          <w:rFonts w:hint="eastAsia"/>
          <w:lang w:val="zh-CN"/>
        </w:rPr>
      </w:pPr>
      <w:r>
        <w:rPr>
          <w:rFonts w:hint="eastAsia"/>
          <w:lang w:val="zh-CN"/>
        </w:rPr>
        <w:t>水表井和阀门井均采用</w:t>
      </w:r>
      <w:r>
        <w:rPr>
          <w:rFonts w:hint="eastAsia"/>
          <w:lang w:val="en-US" w:eastAsia="zh-CN"/>
        </w:rPr>
        <w:t>钢筋混凝土</w:t>
      </w:r>
      <w:r>
        <w:rPr>
          <w:rFonts w:hint="eastAsia"/>
          <w:lang w:val="zh-CN"/>
        </w:rPr>
        <w:t>。井盖采用球墨铸铁井盖和盖座，位于行车道上者为重型；位于非行车道上者为轻型并设置保温井盖。</w:t>
      </w:r>
    </w:p>
    <w:p w14:paraId="4D9CF87F">
      <w:pPr>
        <w:pStyle w:val="22"/>
        <w:bidi w:val="0"/>
        <w:rPr>
          <w:rFonts w:hint="eastAsia"/>
        </w:rPr>
      </w:pPr>
      <w:r>
        <w:rPr>
          <w:rFonts w:hint="eastAsia"/>
        </w:rPr>
        <w:t>管路敷设：室外给水管道直埋敷设。</w:t>
      </w:r>
    </w:p>
    <w:p w14:paraId="030BB05E">
      <w:pPr>
        <w:pStyle w:val="22"/>
        <w:bidi w:val="0"/>
        <w:rPr>
          <w:rFonts w:hint="eastAsia"/>
        </w:rPr>
      </w:pPr>
      <w:r>
        <w:rPr>
          <w:rFonts w:hint="eastAsia"/>
          <w:lang w:val="en-US" w:eastAsia="zh-CN"/>
        </w:rPr>
        <w:t>2、</w:t>
      </w:r>
      <w:r>
        <w:rPr>
          <w:rFonts w:hint="eastAsia"/>
        </w:rPr>
        <w:t>室内部分</w:t>
      </w:r>
    </w:p>
    <w:p w14:paraId="61E4CCCE">
      <w:pPr>
        <w:pStyle w:val="22"/>
        <w:bidi w:val="0"/>
        <w:rPr>
          <w:rFonts w:hint="eastAsia"/>
        </w:rPr>
      </w:pPr>
      <w:r>
        <w:rPr>
          <w:rFonts w:hint="eastAsia"/>
          <w:lang w:eastAsia="zh-CN"/>
        </w:rPr>
        <w:t>（</w:t>
      </w:r>
      <w:r>
        <w:rPr>
          <w:rFonts w:hint="eastAsia"/>
          <w:lang w:val="en-US" w:eastAsia="zh-CN"/>
        </w:rPr>
        <w:t>1</w:t>
      </w:r>
      <w:r>
        <w:rPr>
          <w:rFonts w:hint="eastAsia"/>
          <w:lang w:eastAsia="zh-CN"/>
        </w:rPr>
        <w:t>）</w:t>
      </w:r>
      <w:r>
        <w:rPr>
          <w:rFonts w:hint="eastAsia"/>
        </w:rPr>
        <w:t>水源</w:t>
      </w:r>
    </w:p>
    <w:p w14:paraId="37DEF31E">
      <w:pPr>
        <w:pStyle w:val="22"/>
        <w:bidi w:val="0"/>
        <w:rPr>
          <w:rFonts w:hint="eastAsia"/>
        </w:rPr>
      </w:pPr>
      <w:r>
        <w:rPr>
          <w:rFonts w:hint="eastAsia"/>
        </w:rPr>
        <w:t>采用市政供水，水质符合最新《生活饮用水卫生标准》，供水压力不低于0.25MPa。</w:t>
      </w:r>
    </w:p>
    <w:p w14:paraId="05F9C20F">
      <w:pPr>
        <w:pStyle w:val="22"/>
        <w:bidi w:val="0"/>
        <w:rPr>
          <w:rFonts w:hint="eastAsia"/>
        </w:rPr>
      </w:pPr>
      <w:r>
        <w:rPr>
          <w:rFonts w:hint="eastAsia"/>
          <w:lang w:eastAsia="zh-CN"/>
        </w:rPr>
        <w:t>（</w:t>
      </w:r>
      <w:r>
        <w:rPr>
          <w:rFonts w:hint="eastAsia"/>
          <w:lang w:val="en-US" w:eastAsia="zh-CN"/>
        </w:rPr>
        <w:t>2</w:t>
      </w:r>
      <w:r>
        <w:rPr>
          <w:rFonts w:hint="eastAsia"/>
          <w:lang w:eastAsia="zh-CN"/>
        </w:rPr>
        <w:t>）</w:t>
      </w:r>
      <w:r>
        <w:rPr>
          <w:rFonts w:hint="eastAsia"/>
        </w:rPr>
        <w:t>用水量标准</w:t>
      </w:r>
    </w:p>
    <w:p w14:paraId="6B68983B">
      <w:pPr>
        <w:pStyle w:val="22"/>
        <w:bidi w:val="0"/>
        <w:rPr>
          <w:rFonts w:hint="eastAsia"/>
        </w:rPr>
      </w:pPr>
      <w:r>
        <w:rPr>
          <w:rFonts w:hint="eastAsia"/>
        </w:rPr>
        <w:t>办公：40L/人.班；</w:t>
      </w:r>
    </w:p>
    <w:p w14:paraId="15A61602">
      <w:pPr>
        <w:pStyle w:val="22"/>
        <w:bidi w:val="0"/>
        <w:rPr>
          <w:rFonts w:hint="eastAsia"/>
        </w:rPr>
      </w:pPr>
      <w:r>
        <w:rPr>
          <w:rFonts w:hint="eastAsia"/>
        </w:rPr>
        <w:t>工艺用自来水：由工艺设备厂家提供；</w:t>
      </w:r>
    </w:p>
    <w:p w14:paraId="416B2646">
      <w:pPr>
        <w:pStyle w:val="22"/>
        <w:bidi w:val="0"/>
        <w:rPr>
          <w:rFonts w:hint="eastAsia"/>
        </w:rPr>
      </w:pPr>
      <w:r>
        <w:rPr>
          <w:rFonts w:hint="eastAsia"/>
        </w:rPr>
        <w:t>道路浇洒用水：按2 L/m2·d；</w:t>
      </w:r>
    </w:p>
    <w:p w14:paraId="672FE452">
      <w:pPr>
        <w:pStyle w:val="22"/>
        <w:bidi w:val="0"/>
        <w:rPr>
          <w:rFonts w:hint="eastAsia"/>
        </w:rPr>
      </w:pPr>
      <w:r>
        <w:rPr>
          <w:rFonts w:hint="eastAsia"/>
        </w:rPr>
        <w:t>绿化用水：按2 L/m2·d；</w:t>
      </w:r>
    </w:p>
    <w:p w14:paraId="528DCE7E">
      <w:pPr>
        <w:pStyle w:val="22"/>
        <w:bidi w:val="0"/>
        <w:rPr>
          <w:rFonts w:hint="eastAsia"/>
        </w:rPr>
      </w:pPr>
      <w:r>
        <w:rPr>
          <w:rFonts w:hint="eastAsia"/>
        </w:rPr>
        <w:t>消防用水：消防总用水量详见消防专篇部分。</w:t>
      </w:r>
    </w:p>
    <w:p w14:paraId="4A87369A">
      <w:pPr>
        <w:pStyle w:val="22"/>
        <w:bidi w:val="0"/>
        <w:rPr>
          <w:rFonts w:hint="eastAsia"/>
        </w:rPr>
      </w:pPr>
      <w:r>
        <w:rPr>
          <w:rFonts w:hint="eastAsia"/>
        </w:rPr>
        <w:t>用水量：最高日用水量暂估为30m³/d（待工艺设备厂家提供用水量后确定），最大时用水量为1.875m³/h。</w:t>
      </w:r>
    </w:p>
    <w:p w14:paraId="70365C9B">
      <w:pPr>
        <w:pStyle w:val="22"/>
        <w:bidi w:val="0"/>
        <w:rPr>
          <w:rFonts w:hint="eastAsia"/>
        </w:rPr>
      </w:pPr>
      <w:r>
        <w:rPr>
          <w:rFonts w:hint="eastAsia"/>
          <w:lang w:eastAsia="zh-CN"/>
        </w:rPr>
        <w:t>（</w:t>
      </w:r>
      <w:r>
        <w:rPr>
          <w:rFonts w:hint="eastAsia"/>
          <w:lang w:val="en-US" w:eastAsia="zh-CN"/>
        </w:rPr>
        <w:t>3</w:t>
      </w:r>
      <w:r>
        <w:rPr>
          <w:rFonts w:hint="eastAsia"/>
          <w:lang w:eastAsia="zh-CN"/>
        </w:rPr>
        <w:t>）</w:t>
      </w:r>
      <w:r>
        <w:rPr>
          <w:rFonts w:hint="eastAsia"/>
        </w:rPr>
        <w:t>计量</w:t>
      </w:r>
    </w:p>
    <w:p w14:paraId="2431D200">
      <w:pPr>
        <w:pStyle w:val="22"/>
        <w:bidi w:val="0"/>
        <w:rPr>
          <w:rFonts w:hint="eastAsia"/>
        </w:rPr>
      </w:pPr>
      <w:r>
        <w:rPr>
          <w:rFonts w:hint="eastAsia"/>
        </w:rPr>
        <w:t>在总引入管上设总水表计量。</w:t>
      </w:r>
    </w:p>
    <w:p w14:paraId="175A1BF2">
      <w:pPr>
        <w:pStyle w:val="22"/>
        <w:bidi w:val="0"/>
        <w:rPr>
          <w:rFonts w:hint="eastAsia"/>
        </w:rPr>
      </w:pPr>
      <w:r>
        <w:rPr>
          <w:rFonts w:hint="eastAsia"/>
        </w:rPr>
        <w:t>单体按各楼栋分别计量用水量。</w:t>
      </w:r>
    </w:p>
    <w:p w14:paraId="34A3ED8F">
      <w:pPr>
        <w:pStyle w:val="22"/>
        <w:bidi w:val="0"/>
        <w:rPr>
          <w:rFonts w:hint="eastAsia"/>
        </w:rPr>
      </w:pPr>
      <w:r>
        <w:rPr>
          <w:rFonts w:hint="eastAsia"/>
        </w:rPr>
        <w:t>特殊使用单元和管理部门分设水表单独计量。</w:t>
      </w:r>
    </w:p>
    <w:p w14:paraId="4F5F1CDF">
      <w:pPr>
        <w:pStyle w:val="22"/>
        <w:bidi w:val="0"/>
        <w:rPr>
          <w:rFonts w:hint="eastAsia"/>
        </w:rPr>
      </w:pPr>
      <w:r>
        <w:rPr>
          <w:rFonts w:hint="eastAsia"/>
        </w:rPr>
        <w:t>给水计量表采用远传水表。</w:t>
      </w:r>
    </w:p>
    <w:p w14:paraId="67F840CB">
      <w:pPr>
        <w:pStyle w:val="22"/>
        <w:bidi w:val="0"/>
        <w:rPr>
          <w:rFonts w:hint="eastAsia"/>
        </w:rPr>
      </w:pPr>
      <w:r>
        <w:rPr>
          <w:rFonts w:hint="eastAsia"/>
          <w:lang w:eastAsia="zh-CN"/>
        </w:rPr>
        <w:t>（</w:t>
      </w:r>
      <w:r>
        <w:rPr>
          <w:rFonts w:hint="eastAsia"/>
          <w:lang w:val="en-US" w:eastAsia="zh-CN"/>
        </w:rPr>
        <w:t>4</w:t>
      </w:r>
      <w:r>
        <w:rPr>
          <w:rFonts w:hint="eastAsia"/>
          <w:lang w:eastAsia="zh-CN"/>
        </w:rPr>
        <w:t>）</w:t>
      </w:r>
      <w:r>
        <w:rPr>
          <w:rFonts w:hint="eastAsia"/>
        </w:rPr>
        <w:t>冷水系统</w:t>
      </w:r>
    </w:p>
    <w:p w14:paraId="1BD8A0D6">
      <w:pPr>
        <w:pStyle w:val="22"/>
        <w:bidi w:val="0"/>
        <w:rPr>
          <w:rFonts w:hint="eastAsia"/>
        </w:rPr>
      </w:pPr>
      <w:r>
        <w:rPr>
          <w:rFonts w:hint="eastAsia"/>
        </w:rPr>
        <w:t>市政给水压力0.25MPa，可满足12m及以下建筑的用水水压要求。故园区所有建筑均采用市政直供，本项目无二次加压供水系统。</w:t>
      </w:r>
    </w:p>
    <w:p w14:paraId="311DE422">
      <w:pPr>
        <w:pStyle w:val="22"/>
        <w:bidi w:val="0"/>
        <w:rPr>
          <w:rFonts w:hint="eastAsia"/>
        </w:rPr>
      </w:pPr>
      <w:r>
        <w:rPr>
          <w:rFonts w:hint="eastAsia"/>
          <w:lang w:eastAsia="zh-CN"/>
        </w:rPr>
        <w:t>（</w:t>
      </w:r>
      <w:r>
        <w:rPr>
          <w:rFonts w:hint="eastAsia"/>
          <w:lang w:val="en-US" w:eastAsia="zh-CN"/>
        </w:rPr>
        <w:t>5</w:t>
      </w:r>
      <w:r>
        <w:rPr>
          <w:rFonts w:hint="eastAsia"/>
          <w:lang w:eastAsia="zh-CN"/>
        </w:rPr>
        <w:t>）</w:t>
      </w:r>
      <w:r>
        <w:rPr>
          <w:rFonts w:hint="eastAsia"/>
        </w:rPr>
        <w:t>热水系统</w:t>
      </w:r>
    </w:p>
    <w:p w14:paraId="6AC10616">
      <w:pPr>
        <w:pStyle w:val="22"/>
        <w:bidi w:val="0"/>
        <w:rPr>
          <w:rFonts w:hint="eastAsia"/>
        </w:rPr>
      </w:pPr>
      <w:r>
        <w:rPr>
          <w:rFonts w:hint="eastAsia"/>
        </w:rPr>
        <w:t>水源：热水水源采用市政自来水。生活热水原水水质应符合现行国家标准《生活饮用水卫生标准》GB5749的有关规定。</w:t>
      </w:r>
    </w:p>
    <w:p w14:paraId="0DE8D297">
      <w:pPr>
        <w:pStyle w:val="22"/>
        <w:bidi w:val="0"/>
        <w:rPr>
          <w:rFonts w:hint="eastAsia"/>
        </w:rPr>
      </w:pPr>
      <w:r>
        <w:rPr>
          <w:rFonts w:hint="eastAsia"/>
        </w:rPr>
        <w:t>热源：小厨宝。功率2.0Kw/台220V。</w:t>
      </w:r>
    </w:p>
    <w:p w14:paraId="1297795A">
      <w:pPr>
        <w:pStyle w:val="22"/>
        <w:bidi w:val="0"/>
        <w:rPr>
          <w:rFonts w:hint="eastAsia"/>
        </w:rPr>
      </w:pPr>
      <w:r>
        <w:rPr>
          <w:rFonts w:hint="eastAsia"/>
        </w:rPr>
        <w:t>供水范围：卫生间洗手盆。</w:t>
      </w:r>
    </w:p>
    <w:p w14:paraId="5E9BEF74">
      <w:pPr>
        <w:pStyle w:val="22"/>
        <w:bidi w:val="0"/>
        <w:rPr>
          <w:rFonts w:hint="eastAsia"/>
        </w:rPr>
      </w:pPr>
      <w:r>
        <w:rPr>
          <w:rFonts w:hint="eastAsia"/>
          <w:lang w:eastAsia="zh-CN"/>
        </w:rPr>
        <w:t>（</w:t>
      </w:r>
      <w:r>
        <w:rPr>
          <w:rFonts w:hint="eastAsia"/>
          <w:lang w:val="en-US" w:eastAsia="zh-CN"/>
        </w:rPr>
        <w:t>6</w:t>
      </w:r>
      <w:r>
        <w:rPr>
          <w:rFonts w:hint="eastAsia"/>
          <w:lang w:eastAsia="zh-CN"/>
        </w:rPr>
        <w:t>）</w:t>
      </w:r>
      <w:r>
        <w:rPr>
          <w:rFonts w:hint="eastAsia"/>
        </w:rPr>
        <w:t>饮用水系统</w:t>
      </w:r>
    </w:p>
    <w:p w14:paraId="3C94859F">
      <w:pPr>
        <w:pStyle w:val="22"/>
        <w:bidi w:val="0"/>
        <w:rPr>
          <w:rFonts w:hint="eastAsia"/>
        </w:rPr>
      </w:pPr>
      <w:r>
        <w:rPr>
          <w:rFonts w:hint="eastAsia"/>
        </w:rPr>
        <w:t>生活饮用水供应：办公楼拟采用饮水机，业主自行购置。</w:t>
      </w:r>
    </w:p>
    <w:p w14:paraId="2B5A3172">
      <w:pPr>
        <w:pStyle w:val="22"/>
        <w:bidi w:val="0"/>
        <w:rPr>
          <w:rFonts w:hint="eastAsia"/>
        </w:rPr>
      </w:pPr>
      <w:r>
        <w:rPr>
          <w:rFonts w:hint="eastAsia"/>
          <w:lang w:eastAsia="zh-CN"/>
        </w:rPr>
        <w:t>（</w:t>
      </w:r>
      <w:r>
        <w:rPr>
          <w:rFonts w:hint="eastAsia"/>
          <w:lang w:val="en-US" w:eastAsia="zh-CN"/>
        </w:rPr>
        <w:t>7</w:t>
      </w:r>
      <w:r>
        <w:rPr>
          <w:rFonts w:hint="eastAsia"/>
          <w:lang w:eastAsia="zh-CN"/>
        </w:rPr>
        <w:t>）</w:t>
      </w:r>
      <w:r>
        <w:rPr>
          <w:rFonts w:hint="eastAsia"/>
        </w:rPr>
        <w:t>管材</w:t>
      </w:r>
    </w:p>
    <w:p w14:paraId="169960A0">
      <w:pPr>
        <w:pStyle w:val="22"/>
        <w:bidi w:val="0"/>
        <w:rPr>
          <w:rFonts w:hint="eastAsia"/>
        </w:rPr>
      </w:pPr>
      <w:r>
        <w:rPr>
          <w:rFonts w:hint="eastAsia"/>
          <w:lang w:val="zh-CN"/>
        </w:rPr>
        <w:t>室内生活给水立管及输水干管采用</w:t>
      </w:r>
      <w:r>
        <w:rPr>
          <w:rFonts w:hint="eastAsia"/>
        </w:rPr>
        <w:t>钢塑复合管</w:t>
      </w:r>
      <w:r>
        <w:rPr>
          <w:rFonts w:hint="eastAsia"/>
          <w:lang w:val="zh-CN"/>
        </w:rPr>
        <w:t>，管径≤DN</w:t>
      </w:r>
      <w:r>
        <w:rPr>
          <w:rFonts w:hint="eastAsia"/>
        </w:rPr>
        <w:t>50</w:t>
      </w:r>
      <w:r>
        <w:rPr>
          <w:rFonts w:hint="eastAsia"/>
          <w:lang w:val="zh-CN"/>
        </w:rPr>
        <w:t>且管道压力等级≤1.0MPa时采用螺纹连接，管径＞DN</w:t>
      </w:r>
      <w:r>
        <w:rPr>
          <w:rFonts w:hint="eastAsia"/>
        </w:rPr>
        <w:t>50</w:t>
      </w:r>
      <w:r>
        <w:rPr>
          <w:rFonts w:hint="eastAsia"/>
          <w:lang w:val="zh-CN"/>
        </w:rPr>
        <w:t>或管道压力等级＞1.0MPa时采用卡箍链接</w:t>
      </w:r>
      <w:r>
        <w:rPr>
          <w:rFonts w:hint="eastAsia"/>
        </w:rPr>
        <w:t>.</w:t>
      </w:r>
    </w:p>
    <w:p w14:paraId="449B44EC">
      <w:pPr>
        <w:pStyle w:val="22"/>
        <w:bidi w:val="0"/>
        <w:rPr>
          <w:rFonts w:hint="eastAsia"/>
        </w:rPr>
      </w:pPr>
      <w:r>
        <w:rPr>
          <w:rFonts w:hint="eastAsia"/>
        </w:rPr>
        <w:t>室内给水管道根据建筑特点直埋或贴梁底敷设。</w:t>
      </w:r>
    </w:p>
    <w:p w14:paraId="32B0B4F8">
      <w:pPr>
        <w:pStyle w:val="22"/>
        <w:bidi w:val="0"/>
        <w:rPr>
          <w:rFonts w:hint="eastAsia"/>
        </w:rPr>
      </w:pPr>
      <w:r>
        <w:rPr>
          <w:rFonts w:hint="eastAsia"/>
          <w:lang w:val="en-US" w:eastAsia="zh-CN"/>
        </w:rPr>
        <w:t>3、</w:t>
      </w:r>
      <w:r>
        <w:rPr>
          <w:rFonts w:hint="eastAsia"/>
        </w:rPr>
        <w:t>道路、绿化浇洒和车库冲洗</w:t>
      </w:r>
    </w:p>
    <w:p w14:paraId="26AD8527">
      <w:pPr>
        <w:pStyle w:val="22"/>
        <w:bidi w:val="0"/>
      </w:pPr>
      <w:r>
        <w:rPr>
          <w:rFonts w:hint="eastAsia"/>
        </w:rPr>
        <w:t>采用自来水进行冲洗。</w:t>
      </w:r>
    </w:p>
    <w:p w14:paraId="5FFB11C5">
      <w:pPr>
        <w:pStyle w:val="22"/>
        <w:bidi w:val="0"/>
        <w:rPr>
          <w:rFonts w:hint="eastAsia"/>
        </w:rPr>
      </w:pPr>
      <w:r>
        <w:rPr>
          <w:rFonts w:hint="eastAsia"/>
          <w:lang w:val="en-US" w:eastAsia="zh-CN"/>
        </w:rPr>
        <w:t>五、</w:t>
      </w:r>
      <w:r>
        <w:rPr>
          <w:rFonts w:hint="eastAsia"/>
        </w:rPr>
        <w:t>排水系统</w:t>
      </w:r>
    </w:p>
    <w:p w14:paraId="01C792DF">
      <w:pPr>
        <w:pStyle w:val="22"/>
        <w:bidi w:val="0"/>
        <w:rPr>
          <w:rFonts w:hint="eastAsia"/>
        </w:rPr>
      </w:pPr>
      <w:r>
        <w:rPr>
          <w:rFonts w:hint="eastAsia"/>
          <w:lang w:val="en-US" w:eastAsia="zh-CN"/>
        </w:rPr>
        <w:t>1、</w:t>
      </w:r>
      <w:r>
        <w:rPr>
          <w:rFonts w:hint="eastAsia"/>
        </w:rPr>
        <w:t>室外排水</w:t>
      </w:r>
    </w:p>
    <w:p w14:paraId="4B5D4595">
      <w:pPr>
        <w:pStyle w:val="22"/>
        <w:bidi w:val="0"/>
        <w:rPr>
          <w:rFonts w:hint="eastAsia"/>
        </w:rPr>
      </w:pPr>
      <w:r>
        <w:rPr>
          <w:rFonts w:hint="eastAsia"/>
        </w:rPr>
        <w:t>本工程的排水对象主要为各卫生间、各车间内污废水、屋面及室外场地的雨水。设计上采用污废合流、雨污分流的排水体制，对上述排水对象分别采用有组织排放。生活污水在院区经室外污水管网收集后汇入室外化粪池，经化粪池预处理达标后排入园区污水处理站，经处理站处理达标后方可排入市政污水管网。</w:t>
      </w:r>
    </w:p>
    <w:p w14:paraId="5032C037">
      <w:pPr>
        <w:pStyle w:val="22"/>
        <w:bidi w:val="0"/>
        <w:rPr>
          <w:rFonts w:hint="eastAsia"/>
        </w:rPr>
      </w:pPr>
      <w:r>
        <w:rPr>
          <w:rFonts w:hint="eastAsia"/>
          <w:lang w:eastAsia="zh-CN"/>
        </w:rPr>
        <w:t>（</w:t>
      </w:r>
      <w:r>
        <w:rPr>
          <w:rFonts w:hint="eastAsia"/>
          <w:lang w:val="en-US" w:eastAsia="zh-CN"/>
        </w:rPr>
        <w:t>1</w:t>
      </w:r>
      <w:r>
        <w:rPr>
          <w:rFonts w:hint="eastAsia"/>
          <w:lang w:eastAsia="zh-CN"/>
        </w:rPr>
        <w:t>）</w:t>
      </w:r>
      <w:r>
        <w:rPr>
          <w:rFonts w:hint="eastAsia"/>
        </w:rPr>
        <w:t>室外污水</w:t>
      </w:r>
    </w:p>
    <w:p w14:paraId="3E3A4146">
      <w:pPr>
        <w:pStyle w:val="22"/>
        <w:bidi w:val="0"/>
        <w:rPr>
          <w:rFonts w:hint="eastAsia"/>
        </w:rPr>
      </w:pPr>
      <w:r>
        <w:rPr>
          <w:rFonts w:hint="eastAsia"/>
        </w:rPr>
        <w:t>无压污水管采用UPVC排水管，但立管转弯处采用柔性抗震排水铸铁管，A型接口。</w:t>
      </w:r>
    </w:p>
    <w:p w14:paraId="53E33560">
      <w:pPr>
        <w:pStyle w:val="22"/>
        <w:bidi w:val="0"/>
        <w:rPr>
          <w:rFonts w:hint="eastAsia"/>
        </w:rPr>
      </w:pPr>
      <w:r>
        <w:rPr>
          <w:rFonts w:hint="eastAsia"/>
        </w:rPr>
        <w:t>院区内能重力自流排出的污、废水管采用重力排水系统，不能重力排出的污、废水采用压力提升排至室外污水管网，污水经化粪池预处理后排至市政污水管道。</w:t>
      </w:r>
    </w:p>
    <w:p w14:paraId="7C6BAB08">
      <w:pPr>
        <w:pStyle w:val="22"/>
        <w:bidi w:val="0"/>
        <w:rPr>
          <w:rFonts w:hint="eastAsia"/>
        </w:rPr>
      </w:pPr>
      <w:r>
        <w:rPr>
          <w:rFonts w:hint="eastAsia"/>
          <w:lang w:val="zh-CN"/>
        </w:rPr>
        <w:t>生活污水排水量：按生活用水量的</w:t>
      </w:r>
      <w:r>
        <w:rPr>
          <w:rFonts w:hint="eastAsia"/>
        </w:rPr>
        <w:t>90</w:t>
      </w:r>
      <w:r>
        <w:rPr>
          <w:rFonts w:hint="eastAsia"/>
          <w:lang w:val="zh-CN"/>
        </w:rPr>
        <w:t>%计算。</w:t>
      </w:r>
    </w:p>
    <w:p w14:paraId="1C5A38C3">
      <w:pPr>
        <w:pStyle w:val="22"/>
        <w:bidi w:val="0"/>
        <w:rPr>
          <w:rFonts w:hint="eastAsia"/>
        </w:rPr>
      </w:pPr>
      <w:r>
        <w:rPr>
          <w:rFonts w:hint="eastAsia"/>
          <w:lang w:eastAsia="zh-CN"/>
        </w:rPr>
        <w:t>（</w:t>
      </w:r>
      <w:r>
        <w:rPr>
          <w:rFonts w:hint="eastAsia"/>
          <w:lang w:val="en-US" w:eastAsia="zh-CN"/>
        </w:rPr>
        <w:t>2</w:t>
      </w:r>
      <w:r>
        <w:rPr>
          <w:rFonts w:hint="eastAsia"/>
          <w:lang w:eastAsia="zh-CN"/>
        </w:rPr>
        <w:t>）</w:t>
      </w:r>
      <w:r>
        <w:rPr>
          <w:rFonts w:hint="eastAsia"/>
        </w:rPr>
        <w:t>室外雨水</w:t>
      </w:r>
    </w:p>
    <w:p w14:paraId="10D45ECD">
      <w:pPr>
        <w:pStyle w:val="22"/>
        <w:bidi w:val="0"/>
        <w:rPr>
          <w:rFonts w:hint="eastAsia"/>
        </w:rPr>
      </w:pPr>
      <w:r>
        <w:rPr>
          <w:rFonts w:hint="eastAsia"/>
        </w:rPr>
        <w:t>暴雨强度公式采用成都市暴雨强度公式：</w:t>
      </w:r>
    </w:p>
    <w:p w14:paraId="5B34EB6D">
      <w:pPr>
        <w:pStyle w:val="22"/>
        <w:bidi w:val="0"/>
        <w:ind w:left="0" w:leftChars="0" w:firstLine="0" w:firstLineChars="0"/>
        <w:jc w:val="center"/>
        <w:rPr>
          <w:rFonts w:hint="eastAsia"/>
        </w:rPr>
      </w:pPr>
      <w:r>
        <w:rPr>
          <w:rFonts w:hint="eastAsia"/>
        </w:rPr>
        <w:drawing>
          <wp:inline distT="0" distB="0" distL="114300" distR="114300">
            <wp:extent cx="3419475" cy="314325"/>
            <wp:effectExtent l="0" t="0" r="9525" b="3175"/>
            <wp:docPr id="50" name="图片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62"/>
                    <pic:cNvPicPr>
                      <a:picLocks noChangeAspect="1"/>
                    </pic:cNvPicPr>
                  </pic:nvPicPr>
                  <pic:blipFill>
                    <a:blip r:embed="rId51"/>
                    <a:stretch>
                      <a:fillRect/>
                    </a:stretch>
                  </pic:blipFill>
                  <pic:spPr>
                    <a:xfrm>
                      <a:off x="0" y="0"/>
                      <a:ext cx="3419475" cy="314325"/>
                    </a:xfrm>
                    <a:prstGeom prst="rect">
                      <a:avLst/>
                    </a:prstGeom>
                    <a:noFill/>
                    <a:ln>
                      <a:noFill/>
                    </a:ln>
                  </pic:spPr>
                </pic:pic>
              </a:graphicData>
            </a:graphic>
          </wp:inline>
        </w:drawing>
      </w:r>
    </w:p>
    <w:p w14:paraId="0DD5C850">
      <w:pPr>
        <w:pStyle w:val="22"/>
        <w:bidi w:val="0"/>
        <w:rPr>
          <w:rFonts w:hint="eastAsia"/>
        </w:rPr>
      </w:pPr>
      <w:r>
        <w:rPr>
          <w:rFonts w:hint="eastAsia"/>
        </w:rPr>
        <w:t>室外一般场地雨水：设计重现期取3年，下沉式花园等重现期取50年。路面铺装硬化雨水设计径流系数φ＝0.90，绿地雨水设计径流系数φ＝0.15。地面道路雨水优先经路缘石开口排至下凹绿地，道路溢流雨水经雨水口收集后排至院区雨水排水管，最终接至指定排水口。</w:t>
      </w:r>
    </w:p>
    <w:p w14:paraId="646E6FFF">
      <w:pPr>
        <w:pStyle w:val="22"/>
        <w:bidi w:val="0"/>
        <w:rPr>
          <w:rFonts w:hint="eastAsia"/>
        </w:rPr>
      </w:pPr>
      <w:r>
        <w:rPr>
          <w:rFonts w:hint="eastAsia"/>
        </w:rPr>
        <w:t>屋面雨水：设计重现期取10年。</w:t>
      </w:r>
    </w:p>
    <w:p w14:paraId="3BE578D2">
      <w:pPr>
        <w:pStyle w:val="22"/>
        <w:bidi w:val="0"/>
        <w:rPr>
          <w:rFonts w:hint="eastAsia"/>
        </w:rPr>
      </w:pPr>
      <w:r>
        <w:rPr>
          <w:rFonts w:hint="eastAsia"/>
        </w:rPr>
        <w:t>屋面雨水设计径流系数φ＝1.0，屋面采用重力流雨水系统，屋面雨水由87型雨水斗收集，通过雨水立管收集排至室外雨水管网系统。</w:t>
      </w:r>
    </w:p>
    <w:p w14:paraId="0E302C7D">
      <w:pPr>
        <w:pStyle w:val="22"/>
        <w:bidi w:val="0"/>
        <w:rPr>
          <w:rFonts w:hint="eastAsia"/>
        </w:rPr>
      </w:pPr>
      <w:r>
        <w:rPr>
          <w:rFonts w:hint="eastAsia"/>
          <w:lang w:eastAsia="zh-CN"/>
        </w:rPr>
        <w:t>（</w:t>
      </w:r>
      <w:r>
        <w:rPr>
          <w:rFonts w:hint="eastAsia"/>
          <w:lang w:val="en-US" w:eastAsia="zh-CN"/>
        </w:rPr>
        <w:t>3</w:t>
      </w:r>
      <w:r>
        <w:rPr>
          <w:rFonts w:hint="eastAsia"/>
          <w:lang w:eastAsia="zh-CN"/>
        </w:rPr>
        <w:t>）</w:t>
      </w:r>
      <w:r>
        <w:rPr>
          <w:rFonts w:hint="eastAsia"/>
        </w:rPr>
        <w:t>管材</w:t>
      </w:r>
    </w:p>
    <w:p w14:paraId="13B6BB36">
      <w:pPr>
        <w:pStyle w:val="22"/>
        <w:bidi w:val="0"/>
        <w:rPr>
          <w:rFonts w:hint="eastAsia"/>
        </w:rPr>
      </w:pPr>
      <w:r>
        <w:rPr>
          <w:rFonts w:hint="eastAsia"/>
        </w:rPr>
        <w:t>室外雨、污水管道均采雨、污水管均采用管顶平接。橡胶圈连接。其接口处填料应采用柔性材料。屋面雨水采用UPVC加厚耐压型排水管，承插式粘接连接。</w:t>
      </w:r>
    </w:p>
    <w:p w14:paraId="6E68686A">
      <w:pPr>
        <w:pStyle w:val="22"/>
        <w:bidi w:val="0"/>
        <w:rPr>
          <w:rFonts w:hint="eastAsia"/>
        </w:rPr>
      </w:pPr>
      <w:r>
        <w:rPr>
          <w:rFonts w:hint="eastAsia"/>
        </w:rPr>
        <w:t>本工程采用混凝土雨水、污水检查井，位于车行道上的为重型；位于非车行道上者为轻型。</w:t>
      </w:r>
    </w:p>
    <w:p w14:paraId="5A73DF20">
      <w:pPr>
        <w:pStyle w:val="22"/>
        <w:bidi w:val="0"/>
        <w:rPr>
          <w:rFonts w:hint="eastAsia"/>
        </w:rPr>
      </w:pPr>
      <w:r>
        <w:rPr>
          <w:rFonts w:hint="eastAsia"/>
        </w:rPr>
        <w:t>检查井盖下方设有井盖防护网井盖防坠网井盖防护</w:t>
      </w:r>
      <w:r>
        <w:rPr>
          <w:rFonts w:hint="eastAsia"/>
        </w:rPr>
        <w:fldChar w:fldCharType="begin"/>
      </w:r>
      <w:r>
        <w:rPr>
          <w:rFonts w:hint="eastAsia"/>
        </w:rPr>
        <w:instrText xml:space="preserve">HYPERLINK"http://www.eastsoo.com/buy/af-list-1073.html"</w:instrText>
      </w:r>
      <w:r>
        <w:rPr>
          <w:rFonts w:hint="eastAsia"/>
        </w:rPr>
        <w:fldChar w:fldCharType="separate"/>
      </w:r>
      <w:r>
        <w:rPr>
          <w:rFonts w:hint="eastAsia"/>
        </w:rPr>
        <w:t>安全网</w:t>
      </w:r>
      <w:r>
        <w:rPr>
          <w:rFonts w:hint="eastAsia"/>
        </w:rPr>
        <w:fldChar w:fldCharType="end"/>
      </w:r>
      <w:r>
        <w:rPr>
          <w:rFonts w:hint="eastAsia"/>
        </w:rPr>
        <w:t>，由护网和固定钩组成，护网由若干条尼龙绳编织。</w:t>
      </w:r>
    </w:p>
    <w:p w14:paraId="279C3C2C">
      <w:pPr>
        <w:pStyle w:val="22"/>
        <w:bidi w:val="0"/>
        <w:rPr>
          <w:rFonts w:hint="eastAsia"/>
        </w:rPr>
      </w:pPr>
      <w:r>
        <w:rPr>
          <w:rFonts w:hint="eastAsia"/>
        </w:rPr>
        <w:t>位于车行道下管材环刚度SN≥8KN/㎡，位于非车行道下环刚度SN≥4KN/㎡。排水塑料管按CJJ143-2010《埋地塑料排水管道工程技术规范》施工。</w:t>
      </w:r>
    </w:p>
    <w:p w14:paraId="0C497F17">
      <w:pPr>
        <w:pStyle w:val="22"/>
        <w:bidi w:val="0"/>
        <w:rPr>
          <w:rFonts w:hint="eastAsia"/>
        </w:rPr>
      </w:pPr>
      <w:r>
        <w:rPr>
          <w:rFonts w:hint="eastAsia"/>
        </w:rPr>
        <w:t>管路敷设：室外雨、污水管道直埋敷设。</w:t>
      </w:r>
    </w:p>
    <w:p w14:paraId="78A6B62E">
      <w:pPr>
        <w:pStyle w:val="22"/>
        <w:bidi w:val="0"/>
        <w:rPr>
          <w:rFonts w:hint="eastAsia"/>
        </w:rPr>
      </w:pPr>
      <w:r>
        <w:rPr>
          <w:rFonts w:hint="eastAsia"/>
          <w:lang w:val="en-US" w:eastAsia="zh-CN"/>
        </w:rPr>
        <w:t>2、</w:t>
      </w:r>
      <w:r>
        <w:rPr>
          <w:rFonts w:hint="eastAsia"/>
        </w:rPr>
        <w:t>室内排水</w:t>
      </w:r>
    </w:p>
    <w:p w14:paraId="509AA96B">
      <w:pPr>
        <w:pStyle w:val="22"/>
        <w:bidi w:val="0"/>
        <w:rPr>
          <w:rFonts w:hint="eastAsia"/>
        </w:rPr>
      </w:pPr>
      <w:r>
        <w:rPr>
          <w:rFonts w:hint="eastAsia"/>
          <w:lang w:eastAsia="zh-CN"/>
        </w:rPr>
        <w:t>（</w:t>
      </w:r>
      <w:r>
        <w:rPr>
          <w:rFonts w:hint="eastAsia"/>
          <w:lang w:val="en-US" w:eastAsia="zh-CN"/>
        </w:rPr>
        <w:t>1</w:t>
      </w:r>
      <w:r>
        <w:rPr>
          <w:rFonts w:hint="eastAsia"/>
          <w:lang w:eastAsia="zh-CN"/>
        </w:rPr>
        <w:t>）</w:t>
      </w:r>
      <w:r>
        <w:rPr>
          <w:rFonts w:hint="eastAsia"/>
        </w:rPr>
        <w:t>排水原则</w:t>
      </w:r>
    </w:p>
    <w:p w14:paraId="30655E34">
      <w:pPr>
        <w:pStyle w:val="22"/>
        <w:bidi w:val="0"/>
        <w:rPr>
          <w:rFonts w:hint="eastAsia"/>
        </w:rPr>
      </w:pPr>
      <w:r>
        <w:rPr>
          <w:rFonts w:hint="eastAsia"/>
        </w:rPr>
        <w:t>卫生间内污水、废水合流排放。厨房间的废水不得与卫生间的污水合用一根立管。</w:t>
      </w:r>
    </w:p>
    <w:p w14:paraId="51071F5D">
      <w:pPr>
        <w:pStyle w:val="22"/>
        <w:bidi w:val="0"/>
        <w:rPr>
          <w:rFonts w:hint="eastAsia"/>
        </w:rPr>
      </w:pPr>
      <w:r>
        <w:rPr>
          <w:rFonts w:hint="eastAsia"/>
        </w:rPr>
        <w:t>空调冷凝水集中收集有组织间接排放。</w:t>
      </w:r>
    </w:p>
    <w:p w14:paraId="60A4483E">
      <w:pPr>
        <w:pStyle w:val="22"/>
        <w:bidi w:val="0"/>
        <w:rPr>
          <w:rFonts w:hint="eastAsia"/>
        </w:rPr>
      </w:pPr>
      <w:r>
        <w:rPr>
          <w:rFonts w:hint="eastAsia"/>
        </w:rPr>
        <w:t>特殊废水经收集后单独处理排放。</w:t>
      </w:r>
    </w:p>
    <w:p w14:paraId="2AA44833">
      <w:pPr>
        <w:pStyle w:val="22"/>
        <w:bidi w:val="0"/>
        <w:rPr>
          <w:rFonts w:hint="eastAsia"/>
        </w:rPr>
      </w:pPr>
      <w:r>
        <w:rPr>
          <w:rFonts w:hint="eastAsia"/>
        </w:rPr>
        <w:t>食堂含油废水需经隔油池处理后排入室外污水管网。</w:t>
      </w:r>
    </w:p>
    <w:p w14:paraId="4A7EDA3D">
      <w:pPr>
        <w:pStyle w:val="22"/>
        <w:bidi w:val="0"/>
        <w:rPr>
          <w:rFonts w:hint="eastAsia"/>
          <w:lang w:val="zh-CN"/>
        </w:rPr>
      </w:pPr>
      <w:r>
        <w:rPr>
          <w:rFonts w:hint="eastAsia"/>
          <w:lang w:eastAsia="zh-CN"/>
        </w:rPr>
        <w:t>（</w:t>
      </w:r>
      <w:r>
        <w:rPr>
          <w:rFonts w:hint="eastAsia"/>
          <w:lang w:val="en-US" w:eastAsia="zh-CN"/>
        </w:rPr>
        <w:t>2</w:t>
      </w:r>
      <w:r>
        <w:rPr>
          <w:rFonts w:hint="eastAsia"/>
          <w:lang w:eastAsia="zh-CN"/>
        </w:rPr>
        <w:t>）</w:t>
      </w:r>
      <w:r>
        <w:rPr>
          <w:rFonts w:hint="eastAsia"/>
        </w:rPr>
        <w:t>管材</w:t>
      </w:r>
    </w:p>
    <w:p w14:paraId="7610FF91">
      <w:pPr>
        <w:pStyle w:val="22"/>
        <w:bidi w:val="0"/>
        <w:rPr>
          <w:rFonts w:hint="eastAsia"/>
          <w:lang w:val="zh-CN"/>
        </w:rPr>
      </w:pPr>
      <w:r>
        <w:rPr>
          <w:rFonts w:hint="eastAsia"/>
          <w:lang w:val="zh-CN"/>
        </w:rPr>
        <w:t>室内重力排水的立管、支管及水平排水主干管部分采用</w:t>
      </w:r>
      <w:r>
        <w:rPr>
          <w:rFonts w:hint="eastAsia"/>
        </w:rPr>
        <w:t>UPVC塑料排水管</w:t>
      </w:r>
      <w:r>
        <w:rPr>
          <w:rFonts w:hint="eastAsia"/>
          <w:lang w:val="zh-CN"/>
        </w:rPr>
        <w:t>，</w:t>
      </w:r>
      <w:r>
        <w:rPr>
          <w:rFonts w:hint="eastAsia"/>
        </w:rPr>
        <w:t>承插式粘接</w:t>
      </w:r>
      <w:r>
        <w:t>连接</w:t>
      </w:r>
      <w:r>
        <w:rPr>
          <w:rFonts w:hint="eastAsia"/>
          <w:lang w:val="zh-CN"/>
        </w:rPr>
        <w:t>；埋地污水排出管采用柔性接口法兰机械式排水铸铁管，A型接口；室内压力排水管采用衬塑钢管，管径≤DN50时采用螺纹连接，管径＞DN50时采用卡箍链接。</w:t>
      </w:r>
    </w:p>
    <w:p w14:paraId="3A87441D">
      <w:pPr>
        <w:pStyle w:val="22"/>
        <w:bidi w:val="0"/>
        <w:rPr>
          <w:rFonts w:hint="eastAsia"/>
        </w:rPr>
      </w:pPr>
      <w:r>
        <w:rPr>
          <w:rFonts w:hint="eastAsia"/>
        </w:rPr>
        <w:t>管路敷设：室内污水立管尽量隐蔽敷设，污水横干管及支管按图集要求进行敷设。</w:t>
      </w:r>
    </w:p>
    <w:p w14:paraId="21FD5914">
      <w:pPr>
        <w:pStyle w:val="22"/>
        <w:bidi w:val="0"/>
        <w:rPr>
          <w:rFonts w:hint="eastAsia"/>
        </w:rPr>
      </w:pPr>
      <w:r>
        <w:rPr>
          <w:rFonts w:hint="eastAsia"/>
          <w:lang w:val="en-US" w:eastAsia="zh-CN"/>
        </w:rPr>
        <w:t>六、</w:t>
      </w:r>
      <w:r>
        <w:rPr>
          <w:rFonts w:hint="eastAsia"/>
        </w:rPr>
        <w:t>管道试压、冲洗及消毒</w:t>
      </w:r>
    </w:p>
    <w:p w14:paraId="25F1ED94">
      <w:pPr>
        <w:pStyle w:val="22"/>
        <w:bidi w:val="0"/>
        <w:rPr>
          <w:rFonts w:hint="eastAsia"/>
        </w:rPr>
      </w:pPr>
      <w:r>
        <w:rPr>
          <w:rFonts w:hint="eastAsia"/>
        </w:rPr>
        <w:t>管网安装完毕后，应对其进行强度试验、冲洗和严密性试验。</w:t>
      </w:r>
    </w:p>
    <w:p w14:paraId="28EF358F">
      <w:pPr>
        <w:pStyle w:val="22"/>
        <w:bidi w:val="0"/>
        <w:rPr>
          <w:rFonts w:hint="eastAsia"/>
        </w:rPr>
      </w:pPr>
      <w:r>
        <w:rPr>
          <w:rFonts w:hint="eastAsia"/>
        </w:rPr>
        <w:t>给水管和热水管的试压方法按《建筑给水排水及采暖工程施工质量验收规范》（GB 50242-2002）的规定执行。</w:t>
      </w:r>
    </w:p>
    <w:p w14:paraId="0EB863B7">
      <w:pPr>
        <w:pStyle w:val="22"/>
        <w:bidi w:val="0"/>
        <w:rPr>
          <w:rFonts w:hint="eastAsia"/>
        </w:rPr>
      </w:pPr>
      <w:r>
        <w:rPr>
          <w:rFonts w:hint="eastAsia"/>
        </w:rPr>
        <w:t>隐蔽或埋地的排水管道在隐蔽前做灌水试验，立管注水高度为一层楼高，30min后液面不下降为合格。</w:t>
      </w:r>
    </w:p>
    <w:p w14:paraId="6A21C99C">
      <w:pPr>
        <w:pStyle w:val="22"/>
        <w:bidi w:val="0"/>
        <w:rPr>
          <w:rFonts w:hint="eastAsia"/>
        </w:rPr>
      </w:pPr>
      <w:r>
        <w:rPr>
          <w:rFonts w:hint="eastAsia"/>
        </w:rPr>
        <w:t>室内雨水管注水至最上部雨水斗，持续1h后以液面不下降为合格。</w:t>
      </w:r>
    </w:p>
    <w:p w14:paraId="18AD983E">
      <w:pPr>
        <w:pStyle w:val="22"/>
        <w:bidi w:val="0"/>
        <w:rPr>
          <w:rFonts w:hint="eastAsia"/>
        </w:rPr>
      </w:pPr>
      <w:r>
        <w:rPr>
          <w:rFonts w:hint="eastAsia"/>
        </w:rPr>
        <w:t>污水及雨水的立管、横干管，还应按《建筑给水排水及采暖工程施工质量验收规范》GB50242-2002的要求做通球试验。</w:t>
      </w:r>
    </w:p>
    <w:p w14:paraId="2100E5E2">
      <w:pPr>
        <w:pStyle w:val="22"/>
        <w:bidi w:val="0"/>
        <w:rPr>
          <w:rFonts w:hint="eastAsia"/>
        </w:rPr>
      </w:pPr>
      <w:r>
        <w:rPr>
          <w:rFonts w:hint="eastAsia"/>
        </w:rPr>
        <w:t>水压试验的试验压力表应位于系统或试验部分的最低部位。</w:t>
      </w:r>
    </w:p>
    <w:p w14:paraId="6BE1EAEE">
      <w:pPr>
        <w:pStyle w:val="22"/>
        <w:bidi w:val="0"/>
        <w:rPr>
          <w:rFonts w:hint="eastAsia"/>
        </w:rPr>
      </w:pPr>
      <w:r>
        <w:rPr>
          <w:rFonts w:hint="eastAsia"/>
        </w:rPr>
        <w:t>给水管道在系统运行前须用水冲洗和消毒</w:t>
      </w:r>
      <w:r>
        <w:rPr>
          <w:rFonts w:hint="eastAsia"/>
          <w:lang w:eastAsia="zh-CN"/>
        </w:rPr>
        <w:t>，</w:t>
      </w:r>
      <w:r>
        <w:rPr>
          <w:rFonts w:hint="eastAsia"/>
        </w:rPr>
        <w:t>要求以不小于1.5m/s的流速进行冲洗</w:t>
      </w:r>
      <w:r>
        <w:rPr>
          <w:rFonts w:hint="eastAsia"/>
          <w:lang w:eastAsia="zh-CN"/>
        </w:rPr>
        <w:t>，</w:t>
      </w:r>
      <w:r>
        <w:rPr>
          <w:rFonts w:hint="eastAsia"/>
        </w:rPr>
        <w:t>并符合《建筑给水排水及采暖工程施工质量验收规范》GB50242-2002中4.2.3条的规定。与此同时，生活水箱也应冲洗和消毒。供水设施（水池、水箱、水泵、阀门、压力水容器，供水管道）在交付使用前必须清洗和消毒。可采用20mg/L的游离氯消毒液浸泡24h，经有关资质认证机构取样化验，水质符合《生活饮用水卫生标准》GB5749的要求后方可使用。</w:t>
      </w:r>
    </w:p>
    <w:p w14:paraId="125D0DED">
      <w:pPr>
        <w:pStyle w:val="22"/>
        <w:bidi w:val="0"/>
        <w:rPr>
          <w:rFonts w:hint="eastAsia"/>
        </w:rPr>
      </w:pPr>
      <w:r>
        <w:rPr>
          <w:rFonts w:hint="eastAsia"/>
        </w:rPr>
        <w:t>雨水管和排水管冲洗以管道通畅为合格。</w:t>
      </w:r>
    </w:p>
    <w:p w14:paraId="5C38EAF3">
      <w:pPr>
        <w:pStyle w:val="25"/>
        <w:bidi w:val="0"/>
        <w:rPr>
          <w:rFonts w:hint="eastAsia"/>
        </w:rPr>
      </w:pPr>
      <w:r>
        <w:rPr>
          <w:rFonts w:hint="eastAsia"/>
        </w:rPr>
        <w:t>管材试压表</w:t>
      </w:r>
    </w:p>
    <w:tbl>
      <w:tblPr>
        <w:tblStyle w:val="11"/>
        <w:tblW w:w="4998"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85"/>
        <w:gridCol w:w="2771"/>
        <w:gridCol w:w="1880"/>
        <w:gridCol w:w="1880"/>
        <w:gridCol w:w="1880"/>
      </w:tblGrid>
      <w:tr w14:paraId="5E7524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524" w:type="pct"/>
            <w:noWrap w:val="0"/>
            <w:vAlign w:val="center"/>
          </w:tcPr>
          <w:p w14:paraId="7BA8D06F">
            <w:pPr>
              <w:keepNext w:val="0"/>
              <w:keepLines w:val="0"/>
              <w:widowControl/>
              <w:suppressLineNumbers w:val="0"/>
              <w:spacing w:line="240" w:lineRule="auto"/>
              <w:ind w:firstLine="0" w:firstLineChars="0"/>
              <w:jc w:val="center"/>
              <w:textAlignment w:val="center"/>
              <w:rPr>
                <w:rFonts w:hint="eastAsia" w:ascii="Times New Roman" w:hAnsi="Times New Roman" w:eastAsia="宋体" w:cs="Times New Roman"/>
                <w:i w:val="0"/>
                <w:iCs w:val="0"/>
                <w:color w:val="000000"/>
                <w:kern w:val="0"/>
                <w:sz w:val="20"/>
                <w:szCs w:val="20"/>
                <w:u w:val="none"/>
                <w:lang w:val="en-US" w:eastAsia="zh-CN" w:bidi="ar"/>
              </w:rPr>
            </w:pPr>
            <w:r>
              <w:rPr>
                <w:rFonts w:hint="eastAsia" w:ascii="Times New Roman" w:hAnsi="Times New Roman" w:eastAsia="宋体" w:cs="Times New Roman"/>
                <w:i w:val="0"/>
                <w:iCs w:val="0"/>
                <w:color w:val="000000"/>
                <w:kern w:val="0"/>
                <w:sz w:val="20"/>
                <w:szCs w:val="20"/>
                <w:u w:val="none"/>
                <w:lang w:val="en-US" w:eastAsia="zh-CN" w:bidi="ar"/>
              </w:rPr>
              <w:t>序号</w:t>
            </w:r>
          </w:p>
        </w:tc>
        <w:tc>
          <w:tcPr>
            <w:tcW w:w="1474" w:type="pct"/>
            <w:noWrap w:val="0"/>
            <w:vAlign w:val="center"/>
          </w:tcPr>
          <w:p w14:paraId="7795BB84">
            <w:pPr>
              <w:keepNext w:val="0"/>
              <w:keepLines w:val="0"/>
              <w:widowControl/>
              <w:suppressLineNumbers w:val="0"/>
              <w:spacing w:line="240" w:lineRule="auto"/>
              <w:ind w:firstLine="0" w:firstLineChars="0"/>
              <w:jc w:val="center"/>
              <w:textAlignment w:val="center"/>
              <w:rPr>
                <w:rFonts w:hint="eastAsia" w:ascii="Times New Roman" w:hAnsi="Times New Roman" w:eastAsia="宋体" w:cs="Times New Roman"/>
                <w:i w:val="0"/>
                <w:iCs w:val="0"/>
                <w:color w:val="000000"/>
                <w:kern w:val="0"/>
                <w:sz w:val="20"/>
                <w:szCs w:val="20"/>
                <w:u w:val="none"/>
                <w:lang w:val="en-US" w:eastAsia="zh-CN" w:bidi="ar"/>
              </w:rPr>
            </w:pPr>
            <w:r>
              <w:rPr>
                <w:rFonts w:hint="eastAsia" w:ascii="Times New Roman" w:hAnsi="Times New Roman" w:eastAsia="宋体" w:cs="Times New Roman"/>
                <w:i w:val="0"/>
                <w:iCs w:val="0"/>
                <w:color w:val="000000"/>
                <w:kern w:val="0"/>
                <w:sz w:val="20"/>
                <w:szCs w:val="20"/>
                <w:u w:val="none"/>
                <w:lang w:val="en-US" w:eastAsia="zh-CN" w:bidi="ar"/>
              </w:rPr>
              <w:t>管道名称</w:t>
            </w:r>
          </w:p>
        </w:tc>
        <w:tc>
          <w:tcPr>
            <w:tcW w:w="1000" w:type="pct"/>
            <w:noWrap w:val="0"/>
            <w:vAlign w:val="center"/>
          </w:tcPr>
          <w:p w14:paraId="583D7E6E">
            <w:pPr>
              <w:keepNext w:val="0"/>
              <w:keepLines w:val="0"/>
              <w:widowControl/>
              <w:suppressLineNumbers w:val="0"/>
              <w:spacing w:line="240" w:lineRule="auto"/>
              <w:ind w:firstLine="0" w:firstLineChars="0"/>
              <w:jc w:val="center"/>
              <w:textAlignment w:val="center"/>
              <w:rPr>
                <w:rFonts w:hint="eastAsia" w:ascii="Times New Roman" w:hAnsi="Times New Roman" w:eastAsia="宋体" w:cs="Times New Roman"/>
                <w:i w:val="0"/>
                <w:iCs w:val="0"/>
                <w:color w:val="000000"/>
                <w:kern w:val="0"/>
                <w:sz w:val="20"/>
                <w:szCs w:val="20"/>
                <w:u w:val="none"/>
                <w:lang w:val="en-US" w:eastAsia="zh-CN" w:bidi="ar"/>
              </w:rPr>
            </w:pPr>
            <w:r>
              <w:rPr>
                <w:rFonts w:hint="eastAsia" w:ascii="Times New Roman" w:hAnsi="Times New Roman" w:eastAsia="宋体" w:cs="Times New Roman"/>
                <w:i w:val="0"/>
                <w:iCs w:val="0"/>
                <w:color w:val="000000"/>
                <w:kern w:val="0"/>
                <w:sz w:val="20"/>
                <w:szCs w:val="20"/>
                <w:u w:val="none"/>
                <w:lang w:val="en-US" w:eastAsia="zh-CN" w:bidi="ar"/>
              </w:rPr>
              <w:t>工作压力（MPa）</w:t>
            </w:r>
          </w:p>
        </w:tc>
        <w:tc>
          <w:tcPr>
            <w:tcW w:w="1000" w:type="pct"/>
            <w:noWrap w:val="0"/>
            <w:vAlign w:val="center"/>
          </w:tcPr>
          <w:p w14:paraId="51D4556E">
            <w:pPr>
              <w:keepNext w:val="0"/>
              <w:keepLines w:val="0"/>
              <w:widowControl/>
              <w:suppressLineNumbers w:val="0"/>
              <w:spacing w:line="240" w:lineRule="auto"/>
              <w:ind w:firstLine="0" w:firstLineChars="0"/>
              <w:jc w:val="center"/>
              <w:textAlignment w:val="center"/>
              <w:rPr>
                <w:rFonts w:hint="eastAsia" w:ascii="Times New Roman" w:hAnsi="Times New Roman" w:eastAsia="宋体" w:cs="Times New Roman"/>
                <w:i w:val="0"/>
                <w:iCs w:val="0"/>
                <w:color w:val="000000"/>
                <w:kern w:val="0"/>
                <w:sz w:val="20"/>
                <w:szCs w:val="20"/>
                <w:u w:val="none"/>
                <w:lang w:val="en-US" w:eastAsia="zh-CN" w:bidi="ar"/>
              </w:rPr>
            </w:pPr>
            <w:r>
              <w:rPr>
                <w:rFonts w:hint="eastAsia" w:ascii="Times New Roman" w:hAnsi="Times New Roman" w:eastAsia="宋体" w:cs="Times New Roman"/>
                <w:i w:val="0"/>
                <w:iCs w:val="0"/>
                <w:color w:val="000000"/>
                <w:kern w:val="0"/>
                <w:sz w:val="20"/>
                <w:szCs w:val="20"/>
                <w:u w:val="none"/>
                <w:lang w:val="en-US" w:eastAsia="zh-CN" w:bidi="ar"/>
              </w:rPr>
              <w:t>试验压力（MPa）</w:t>
            </w:r>
          </w:p>
        </w:tc>
        <w:tc>
          <w:tcPr>
            <w:tcW w:w="1000" w:type="pct"/>
            <w:noWrap w:val="0"/>
            <w:vAlign w:val="center"/>
          </w:tcPr>
          <w:p w14:paraId="328F77E0">
            <w:pPr>
              <w:keepNext w:val="0"/>
              <w:keepLines w:val="0"/>
              <w:widowControl/>
              <w:suppressLineNumbers w:val="0"/>
              <w:spacing w:line="240" w:lineRule="auto"/>
              <w:ind w:firstLine="0" w:firstLineChars="0"/>
              <w:jc w:val="center"/>
              <w:textAlignment w:val="center"/>
              <w:rPr>
                <w:rFonts w:hint="eastAsia" w:ascii="Times New Roman" w:hAnsi="Times New Roman" w:eastAsia="宋体" w:cs="Times New Roman"/>
                <w:i w:val="0"/>
                <w:iCs w:val="0"/>
                <w:color w:val="000000"/>
                <w:kern w:val="0"/>
                <w:sz w:val="20"/>
                <w:szCs w:val="20"/>
                <w:u w:val="none"/>
                <w:lang w:val="en-US" w:eastAsia="zh-CN" w:bidi="ar"/>
              </w:rPr>
            </w:pPr>
            <w:r>
              <w:rPr>
                <w:rFonts w:hint="eastAsia" w:ascii="Times New Roman" w:hAnsi="Times New Roman" w:eastAsia="宋体" w:cs="Times New Roman"/>
                <w:i w:val="0"/>
                <w:iCs w:val="0"/>
                <w:color w:val="000000"/>
                <w:kern w:val="0"/>
                <w:sz w:val="20"/>
                <w:szCs w:val="20"/>
                <w:u w:val="none"/>
                <w:lang w:val="en-US" w:eastAsia="zh-CN" w:bidi="ar"/>
              </w:rPr>
              <w:t>备注</w:t>
            </w:r>
          </w:p>
        </w:tc>
      </w:tr>
      <w:tr w14:paraId="447A357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524" w:type="pct"/>
            <w:noWrap w:val="0"/>
            <w:vAlign w:val="center"/>
          </w:tcPr>
          <w:p w14:paraId="414E0C51">
            <w:pPr>
              <w:keepNext w:val="0"/>
              <w:keepLines w:val="0"/>
              <w:widowControl/>
              <w:suppressLineNumbers w:val="0"/>
              <w:spacing w:line="240" w:lineRule="auto"/>
              <w:ind w:firstLine="0" w:firstLineChars="0"/>
              <w:jc w:val="center"/>
              <w:textAlignment w:val="center"/>
              <w:rPr>
                <w:rFonts w:hint="eastAsia" w:ascii="Times New Roman" w:hAnsi="Times New Roman" w:eastAsia="宋体" w:cs="Times New Roman"/>
                <w:i w:val="0"/>
                <w:iCs w:val="0"/>
                <w:color w:val="000000"/>
                <w:kern w:val="0"/>
                <w:sz w:val="20"/>
                <w:szCs w:val="20"/>
                <w:u w:val="none"/>
                <w:lang w:val="en-US" w:eastAsia="zh-CN" w:bidi="ar"/>
              </w:rPr>
            </w:pPr>
            <w:r>
              <w:rPr>
                <w:rFonts w:hint="eastAsia" w:ascii="Times New Roman" w:hAnsi="Times New Roman" w:eastAsia="宋体" w:cs="Times New Roman"/>
                <w:i w:val="0"/>
                <w:iCs w:val="0"/>
                <w:color w:val="000000"/>
                <w:kern w:val="0"/>
                <w:sz w:val="20"/>
                <w:szCs w:val="20"/>
                <w:u w:val="none"/>
                <w:lang w:val="en-US" w:eastAsia="zh-CN" w:bidi="ar"/>
              </w:rPr>
              <w:t>1</w:t>
            </w:r>
          </w:p>
        </w:tc>
        <w:tc>
          <w:tcPr>
            <w:tcW w:w="1474" w:type="pct"/>
            <w:noWrap w:val="0"/>
            <w:vAlign w:val="center"/>
          </w:tcPr>
          <w:p w14:paraId="0A742C5F">
            <w:pPr>
              <w:keepNext w:val="0"/>
              <w:keepLines w:val="0"/>
              <w:widowControl/>
              <w:suppressLineNumbers w:val="0"/>
              <w:spacing w:line="240" w:lineRule="auto"/>
              <w:ind w:firstLine="0" w:firstLineChars="0"/>
              <w:jc w:val="center"/>
              <w:textAlignment w:val="center"/>
              <w:rPr>
                <w:rFonts w:hint="eastAsia" w:ascii="Times New Roman" w:hAnsi="Times New Roman" w:eastAsia="宋体" w:cs="Times New Roman"/>
                <w:i w:val="0"/>
                <w:iCs w:val="0"/>
                <w:color w:val="000000"/>
                <w:kern w:val="0"/>
                <w:sz w:val="20"/>
                <w:szCs w:val="20"/>
                <w:u w:val="none"/>
                <w:lang w:val="en-US" w:eastAsia="zh-CN" w:bidi="ar"/>
              </w:rPr>
            </w:pPr>
            <w:r>
              <w:rPr>
                <w:rFonts w:hint="eastAsia" w:ascii="Times New Roman" w:hAnsi="Times New Roman" w:eastAsia="宋体" w:cs="Times New Roman"/>
                <w:i w:val="0"/>
                <w:iCs w:val="0"/>
                <w:color w:val="000000"/>
                <w:kern w:val="0"/>
                <w:sz w:val="20"/>
                <w:szCs w:val="20"/>
                <w:u w:val="none"/>
                <w:lang w:val="en-US" w:eastAsia="zh-CN" w:bidi="ar"/>
              </w:rPr>
              <w:t>生产、生活给水管</w:t>
            </w:r>
          </w:p>
        </w:tc>
        <w:tc>
          <w:tcPr>
            <w:tcW w:w="1000" w:type="pct"/>
            <w:noWrap w:val="0"/>
            <w:vAlign w:val="center"/>
          </w:tcPr>
          <w:p w14:paraId="7BAA5485">
            <w:pPr>
              <w:keepNext w:val="0"/>
              <w:keepLines w:val="0"/>
              <w:widowControl/>
              <w:suppressLineNumbers w:val="0"/>
              <w:spacing w:line="240" w:lineRule="auto"/>
              <w:ind w:firstLine="0" w:firstLineChars="0"/>
              <w:jc w:val="center"/>
              <w:textAlignment w:val="center"/>
              <w:rPr>
                <w:rFonts w:hint="eastAsia" w:ascii="Times New Roman" w:hAnsi="Times New Roman" w:eastAsia="宋体" w:cs="Times New Roman"/>
                <w:i w:val="0"/>
                <w:iCs w:val="0"/>
                <w:color w:val="000000"/>
                <w:kern w:val="0"/>
                <w:sz w:val="20"/>
                <w:szCs w:val="20"/>
                <w:u w:val="none"/>
                <w:lang w:val="en-US" w:eastAsia="zh-CN" w:bidi="ar"/>
              </w:rPr>
            </w:pPr>
            <w:r>
              <w:rPr>
                <w:rFonts w:hint="eastAsia" w:ascii="Times New Roman" w:hAnsi="Times New Roman" w:eastAsia="宋体" w:cs="Times New Roman"/>
                <w:i w:val="0"/>
                <w:iCs w:val="0"/>
                <w:color w:val="000000"/>
                <w:kern w:val="0"/>
                <w:sz w:val="20"/>
                <w:szCs w:val="20"/>
                <w:u w:val="none"/>
                <w:lang w:val="en-US" w:eastAsia="zh-CN" w:bidi="ar"/>
              </w:rPr>
              <w:t>0.6</w:t>
            </w:r>
          </w:p>
        </w:tc>
        <w:tc>
          <w:tcPr>
            <w:tcW w:w="1000" w:type="pct"/>
            <w:noWrap w:val="0"/>
            <w:vAlign w:val="center"/>
          </w:tcPr>
          <w:p w14:paraId="155B576D">
            <w:pPr>
              <w:keepNext w:val="0"/>
              <w:keepLines w:val="0"/>
              <w:widowControl/>
              <w:suppressLineNumbers w:val="0"/>
              <w:spacing w:line="240" w:lineRule="auto"/>
              <w:ind w:firstLine="0" w:firstLineChars="0"/>
              <w:jc w:val="center"/>
              <w:textAlignment w:val="center"/>
              <w:rPr>
                <w:rFonts w:hint="eastAsia" w:ascii="Times New Roman" w:hAnsi="Times New Roman" w:eastAsia="宋体" w:cs="Times New Roman"/>
                <w:i w:val="0"/>
                <w:iCs w:val="0"/>
                <w:color w:val="000000"/>
                <w:kern w:val="0"/>
                <w:sz w:val="20"/>
                <w:szCs w:val="20"/>
                <w:u w:val="none"/>
                <w:lang w:val="en-US" w:eastAsia="zh-CN" w:bidi="ar"/>
              </w:rPr>
            </w:pPr>
            <w:r>
              <w:rPr>
                <w:rFonts w:hint="eastAsia" w:ascii="Times New Roman" w:hAnsi="Times New Roman" w:eastAsia="宋体" w:cs="Times New Roman"/>
                <w:i w:val="0"/>
                <w:iCs w:val="0"/>
                <w:color w:val="000000"/>
                <w:kern w:val="0"/>
                <w:sz w:val="20"/>
                <w:szCs w:val="20"/>
                <w:u w:val="none"/>
                <w:lang w:val="en-US" w:eastAsia="zh-CN" w:bidi="ar"/>
              </w:rPr>
              <w:t>0.9</w:t>
            </w:r>
          </w:p>
        </w:tc>
        <w:tc>
          <w:tcPr>
            <w:tcW w:w="1000" w:type="pct"/>
            <w:noWrap w:val="0"/>
            <w:vAlign w:val="center"/>
          </w:tcPr>
          <w:p w14:paraId="5CB38A6B">
            <w:pPr>
              <w:keepNext w:val="0"/>
              <w:keepLines w:val="0"/>
              <w:widowControl/>
              <w:suppressLineNumbers w:val="0"/>
              <w:spacing w:line="240" w:lineRule="auto"/>
              <w:ind w:firstLine="0" w:firstLineChars="0"/>
              <w:jc w:val="center"/>
              <w:textAlignment w:val="center"/>
              <w:rPr>
                <w:rFonts w:hint="eastAsia" w:ascii="Times New Roman" w:hAnsi="Times New Roman" w:eastAsia="宋体" w:cs="Times New Roman"/>
                <w:i w:val="0"/>
                <w:iCs w:val="0"/>
                <w:color w:val="000000"/>
                <w:kern w:val="0"/>
                <w:sz w:val="20"/>
                <w:szCs w:val="20"/>
                <w:u w:val="none"/>
                <w:lang w:val="en-US" w:eastAsia="zh-CN" w:bidi="ar"/>
              </w:rPr>
            </w:pPr>
          </w:p>
        </w:tc>
      </w:tr>
      <w:tr w14:paraId="16989FC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524" w:type="pct"/>
            <w:noWrap w:val="0"/>
            <w:vAlign w:val="center"/>
          </w:tcPr>
          <w:p w14:paraId="63BA1ECE">
            <w:pPr>
              <w:keepNext w:val="0"/>
              <w:keepLines w:val="0"/>
              <w:widowControl/>
              <w:suppressLineNumbers w:val="0"/>
              <w:spacing w:line="240" w:lineRule="auto"/>
              <w:ind w:firstLine="0" w:firstLineChars="0"/>
              <w:jc w:val="center"/>
              <w:textAlignment w:val="center"/>
              <w:rPr>
                <w:rFonts w:hint="eastAsia" w:ascii="Times New Roman" w:hAnsi="Times New Roman" w:eastAsia="宋体" w:cs="Times New Roman"/>
                <w:i w:val="0"/>
                <w:iCs w:val="0"/>
                <w:color w:val="000000"/>
                <w:kern w:val="0"/>
                <w:sz w:val="20"/>
                <w:szCs w:val="20"/>
                <w:u w:val="none"/>
                <w:lang w:val="en-US" w:eastAsia="zh-CN" w:bidi="ar"/>
              </w:rPr>
            </w:pPr>
            <w:r>
              <w:rPr>
                <w:rFonts w:hint="eastAsia" w:ascii="Times New Roman" w:hAnsi="Times New Roman" w:eastAsia="宋体" w:cs="Times New Roman"/>
                <w:i w:val="0"/>
                <w:iCs w:val="0"/>
                <w:color w:val="000000"/>
                <w:kern w:val="0"/>
                <w:sz w:val="20"/>
                <w:szCs w:val="20"/>
                <w:u w:val="none"/>
                <w:lang w:val="en-US" w:eastAsia="zh-CN" w:bidi="ar"/>
              </w:rPr>
              <w:t>2</w:t>
            </w:r>
          </w:p>
        </w:tc>
        <w:tc>
          <w:tcPr>
            <w:tcW w:w="1474" w:type="pct"/>
            <w:noWrap w:val="0"/>
            <w:vAlign w:val="center"/>
          </w:tcPr>
          <w:p w14:paraId="0B3B014C">
            <w:pPr>
              <w:keepNext w:val="0"/>
              <w:keepLines w:val="0"/>
              <w:widowControl/>
              <w:suppressLineNumbers w:val="0"/>
              <w:spacing w:line="240" w:lineRule="auto"/>
              <w:ind w:firstLine="0" w:firstLineChars="0"/>
              <w:jc w:val="center"/>
              <w:textAlignment w:val="center"/>
              <w:rPr>
                <w:rFonts w:hint="eastAsia" w:ascii="Times New Roman" w:hAnsi="Times New Roman" w:eastAsia="宋体" w:cs="Times New Roman"/>
                <w:i w:val="0"/>
                <w:iCs w:val="0"/>
                <w:color w:val="000000"/>
                <w:kern w:val="0"/>
                <w:sz w:val="20"/>
                <w:szCs w:val="20"/>
                <w:u w:val="none"/>
                <w:lang w:val="en-US" w:eastAsia="zh-CN" w:bidi="ar"/>
              </w:rPr>
            </w:pPr>
            <w:r>
              <w:rPr>
                <w:rFonts w:hint="eastAsia" w:ascii="Times New Roman" w:hAnsi="Times New Roman" w:eastAsia="宋体" w:cs="Times New Roman"/>
                <w:i w:val="0"/>
                <w:iCs w:val="0"/>
                <w:color w:val="000000"/>
                <w:kern w:val="0"/>
                <w:sz w:val="20"/>
                <w:szCs w:val="20"/>
                <w:u w:val="none"/>
                <w:lang w:val="en-US" w:eastAsia="zh-CN" w:bidi="ar"/>
              </w:rPr>
              <w:t>消火栓管道</w:t>
            </w:r>
          </w:p>
        </w:tc>
        <w:tc>
          <w:tcPr>
            <w:tcW w:w="1000" w:type="pct"/>
            <w:noWrap w:val="0"/>
            <w:vAlign w:val="center"/>
          </w:tcPr>
          <w:p w14:paraId="72BC112B">
            <w:pPr>
              <w:keepNext w:val="0"/>
              <w:keepLines w:val="0"/>
              <w:widowControl/>
              <w:suppressLineNumbers w:val="0"/>
              <w:spacing w:line="240" w:lineRule="auto"/>
              <w:ind w:firstLine="0" w:firstLineChars="0"/>
              <w:jc w:val="center"/>
              <w:textAlignment w:val="center"/>
              <w:rPr>
                <w:rFonts w:hint="eastAsia" w:ascii="Times New Roman" w:hAnsi="Times New Roman" w:eastAsia="宋体" w:cs="Times New Roman"/>
                <w:i w:val="0"/>
                <w:iCs w:val="0"/>
                <w:color w:val="000000"/>
                <w:kern w:val="0"/>
                <w:sz w:val="20"/>
                <w:szCs w:val="20"/>
                <w:u w:val="none"/>
                <w:lang w:val="en-US" w:eastAsia="zh-CN" w:bidi="ar"/>
              </w:rPr>
            </w:pPr>
            <w:r>
              <w:rPr>
                <w:rFonts w:hint="eastAsia" w:ascii="Times New Roman" w:hAnsi="Times New Roman" w:eastAsia="宋体" w:cs="Times New Roman"/>
                <w:i w:val="0"/>
                <w:iCs w:val="0"/>
                <w:color w:val="000000"/>
                <w:kern w:val="0"/>
                <w:sz w:val="20"/>
                <w:szCs w:val="20"/>
                <w:u w:val="none"/>
                <w:lang w:val="en-US" w:eastAsia="zh-CN" w:bidi="ar"/>
              </w:rPr>
              <w:t>0.9</w:t>
            </w:r>
          </w:p>
        </w:tc>
        <w:tc>
          <w:tcPr>
            <w:tcW w:w="1000" w:type="pct"/>
            <w:noWrap w:val="0"/>
            <w:vAlign w:val="center"/>
          </w:tcPr>
          <w:p w14:paraId="6D61C793">
            <w:pPr>
              <w:keepNext w:val="0"/>
              <w:keepLines w:val="0"/>
              <w:widowControl/>
              <w:suppressLineNumbers w:val="0"/>
              <w:spacing w:line="240" w:lineRule="auto"/>
              <w:ind w:firstLine="0" w:firstLineChars="0"/>
              <w:jc w:val="center"/>
              <w:textAlignment w:val="center"/>
              <w:rPr>
                <w:rFonts w:hint="eastAsia" w:ascii="Times New Roman" w:hAnsi="Times New Roman" w:eastAsia="宋体" w:cs="Times New Roman"/>
                <w:i w:val="0"/>
                <w:iCs w:val="0"/>
                <w:color w:val="000000"/>
                <w:kern w:val="0"/>
                <w:sz w:val="20"/>
                <w:szCs w:val="20"/>
                <w:u w:val="none"/>
                <w:lang w:val="en-US" w:eastAsia="zh-CN" w:bidi="ar"/>
              </w:rPr>
            </w:pPr>
            <w:r>
              <w:rPr>
                <w:rFonts w:hint="eastAsia" w:ascii="Times New Roman" w:hAnsi="Times New Roman" w:eastAsia="宋体" w:cs="Times New Roman"/>
                <w:i w:val="0"/>
                <w:iCs w:val="0"/>
                <w:color w:val="000000"/>
                <w:kern w:val="0"/>
                <w:sz w:val="20"/>
                <w:szCs w:val="20"/>
                <w:u w:val="none"/>
                <w:lang w:val="en-US" w:eastAsia="zh-CN" w:bidi="ar"/>
              </w:rPr>
              <w:t>1.4</w:t>
            </w:r>
          </w:p>
        </w:tc>
        <w:tc>
          <w:tcPr>
            <w:tcW w:w="1000" w:type="pct"/>
            <w:noWrap w:val="0"/>
            <w:vAlign w:val="center"/>
          </w:tcPr>
          <w:p w14:paraId="69BA80DC">
            <w:pPr>
              <w:keepNext w:val="0"/>
              <w:keepLines w:val="0"/>
              <w:widowControl/>
              <w:suppressLineNumbers w:val="0"/>
              <w:spacing w:line="240" w:lineRule="auto"/>
              <w:ind w:firstLine="0" w:firstLineChars="0"/>
              <w:jc w:val="center"/>
              <w:textAlignment w:val="center"/>
              <w:rPr>
                <w:rFonts w:hint="eastAsia" w:ascii="Times New Roman" w:hAnsi="Times New Roman" w:eastAsia="宋体" w:cs="Times New Roman"/>
                <w:i w:val="0"/>
                <w:iCs w:val="0"/>
                <w:color w:val="000000"/>
                <w:kern w:val="0"/>
                <w:sz w:val="20"/>
                <w:szCs w:val="20"/>
                <w:u w:val="none"/>
                <w:lang w:val="en-US" w:eastAsia="zh-CN" w:bidi="ar"/>
              </w:rPr>
            </w:pPr>
          </w:p>
        </w:tc>
      </w:tr>
      <w:tr w14:paraId="55AD890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524" w:type="pct"/>
            <w:noWrap w:val="0"/>
            <w:vAlign w:val="center"/>
          </w:tcPr>
          <w:p w14:paraId="26C650FD">
            <w:pPr>
              <w:keepNext w:val="0"/>
              <w:keepLines w:val="0"/>
              <w:widowControl/>
              <w:suppressLineNumbers w:val="0"/>
              <w:spacing w:line="240" w:lineRule="auto"/>
              <w:ind w:firstLine="0" w:firstLineChars="0"/>
              <w:jc w:val="center"/>
              <w:textAlignment w:val="center"/>
              <w:rPr>
                <w:rFonts w:hint="eastAsia" w:ascii="Times New Roman" w:hAnsi="Times New Roman" w:eastAsia="宋体" w:cs="Times New Roman"/>
                <w:i w:val="0"/>
                <w:iCs w:val="0"/>
                <w:color w:val="000000"/>
                <w:kern w:val="0"/>
                <w:sz w:val="20"/>
                <w:szCs w:val="20"/>
                <w:u w:val="none"/>
                <w:lang w:val="en-US" w:eastAsia="zh-CN" w:bidi="ar"/>
              </w:rPr>
            </w:pPr>
            <w:r>
              <w:rPr>
                <w:rFonts w:hint="eastAsia" w:ascii="Times New Roman" w:hAnsi="Times New Roman" w:eastAsia="宋体" w:cs="Times New Roman"/>
                <w:i w:val="0"/>
                <w:iCs w:val="0"/>
                <w:color w:val="000000"/>
                <w:kern w:val="0"/>
                <w:sz w:val="20"/>
                <w:szCs w:val="20"/>
                <w:u w:val="none"/>
                <w:lang w:val="en-US" w:eastAsia="zh-CN" w:bidi="ar"/>
              </w:rPr>
              <w:t>3</w:t>
            </w:r>
          </w:p>
        </w:tc>
        <w:tc>
          <w:tcPr>
            <w:tcW w:w="1474" w:type="pct"/>
            <w:noWrap w:val="0"/>
            <w:vAlign w:val="center"/>
          </w:tcPr>
          <w:p w14:paraId="79B72EA5">
            <w:pPr>
              <w:keepNext w:val="0"/>
              <w:keepLines w:val="0"/>
              <w:widowControl/>
              <w:suppressLineNumbers w:val="0"/>
              <w:spacing w:line="240" w:lineRule="auto"/>
              <w:ind w:firstLine="0" w:firstLineChars="0"/>
              <w:jc w:val="center"/>
              <w:textAlignment w:val="center"/>
              <w:rPr>
                <w:rFonts w:hint="eastAsia" w:ascii="Times New Roman" w:hAnsi="Times New Roman" w:eastAsia="宋体" w:cs="Times New Roman"/>
                <w:i w:val="0"/>
                <w:iCs w:val="0"/>
                <w:color w:val="000000"/>
                <w:kern w:val="0"/>
                <w:sz w:val="20"/>
                <w:szCs w:val="20"/>
                <w:u w:val="none"/>
                <w:lang w:val="en-US" w:eastAsia="zh-CN" w:bidi="ar"/>
              </w:rPr>
            </w:pPr>
            <w:r>
              <w:rPr>
                <w:rFonts w:hint="eastAsia" w:ascii="Times New Roman" w:hAnsi="Times New Roman" w:eastAsia="宋体" w:cs="Times New Roman"/>
                <w:i w:val="0"/>
                <w:iCs w:val="0"/>
                <w:color w:val="000000"/>
                <w:kern w:val="0"/>
                <w:sz w:val="20"/>
                <w:szCs w:val="20"/>
                <w:u w:val="none"/>
                <w:lang w:val="en-US" w:eastAsia="zh-CN" w:bidi="ar"/>
              </w:rPr>
              <w:t>生活污、废水管</w:t>
            </w:r>
          </w:p>
        </w:tc>
        <w:tc>
          <w:tcPr>
            <w:tcW w:w="1000" w:type="pct"/>
            <w:noWrap w:val="0"/>
            <w:vAlign w:val="center"/>
          </w:tcPr>
          <w:p w14:paraId="06B78CDB">
            <w:pPr>
              <w:keepNext w:val="0"/>
              <w:keepLines w:val="0"/>
              <w:widowControl/>
              <w:suppressLineNumbers w:val="0"/>
              <w:spacing w:line="240" w:lineRule="auto"/>
              <w:ind w:firstLine="0" w:firstLineChars="0"/>
              <w:jc w:val="center"/>
              <w:textAlignment w:val="center"/>
              <w:rPr>
                <w:rFonts w:hint="eastAsia" w:ascii="Times New Roman" w:hAnsi="Times New Roman" w:eastAsia="宋体" w:cs="Times New Roman"/>
                <w:i w:val="0"/>
                <w:iCs w:val="0"/>
                <w:color w:val="000000"/>
                <w:kern w:val="0"/>
                <w:sz w:val="20"/>
                <w:szCs w:val="20"/>
                <w:u w:val="none"/>
                <w:lang w:val="en-US" w:eastAsia="zh-CN" w:bidi="ar"/>
              </w:rPr>
            </w:pPr>
          </w:p>
        </w:tc>
        <w:tc>
          <w:tcPr>
            <w:tcW w:w="1000" w:type="pct"/>
            <w:noWrap w:val="0"/>
            <w:vAlign w:val="center"/>
          </w:tcPr>
          <w:p w14:paraId="428E3D8D">
            <w:pPr>
              <w:keepNext w:val="0"/>
              <w:keepLines w:val="0"/>
              <w:widowControl/>
              <w:suppressLineNumbers w:val="0"/>
              <w:spacing w:line="240" w:lineRule="auto"/>
              <w:ind w:firstLine="0" w:firstLineChars="0"/>
              <w:jc w:val="center"/>
              <w:textAlignment w:val="center"/>
              <w:rPr>
                <w:rFonts w:hint="eastAsia" w:ascii="Times New Roman" w:hAnsi="Times New Roman" w:eastAsia="宋体" w:cs="Times New Roman"/>
                <w:i w:val="0"/>
                <w:iCs w:val="0"/>
                <w:color w:val="000000"/>
                <w:kern w:val="0"/>
                <w:sz w:val="20"/>
                <w:szCs w:val="20"/>
                <w:u w:val="none"/>
                <w:lang w:val="en-US" w:eastAsia="zh-CN" w:bidi="ar"/>
              </w:rPr>
            </w:pPr>
            <w:r>
              <w:rPr>
                <w:rFonts w:hint="eastAsia" w:ascii="Times New Roman" w:hAnsi="Times New Roman" w:eastAsia="宋体" w:cs="Times New Roman"/>
                <w:i w:val="0"/>
                <w:iCs w:val="0"/>
                <w:color w:val="000000"/>
                <w:kern w:val="0"/>
                <w:sz w:val="20"/>
                <w:szCs w:val="20"/>
                <w:u w:val="none"/>
                <w:lang w:val="en-US" w:eastAsia="zh-CN" w:bidi="ar"/>
              </w:rPr>
              <w:t>通水试验</w:t>
            </w:r>
          </w:p>
        </w:tc>
        <w:tc>
          <w:tcPr>
            <w:tcW w:w="1000" w:type="pct"/>
            <w:noWrap w:val="0"/>
            <w:vAlign w:val="center"/>
          </w:tcPr>
          <w:p w14:paraId="048E0793">
            <w:pPr>
              <w:keepNext w:val="0"/>
              <w:keepLines w:val="0"/>
              <w:widowControl/>
              <w:suppressLineNumbers w:val="0"/>
              <w:spacing w:line="240" w:lineRule="auto"/>
              <w:ind w:firstLine="0" w:firstLineChars="0"/>
              <w:jc w:val="center"/>
              <w:textAlignment w:val="center"/>
              <w:rPr>
                <w:rFonts w:hint="eastAsia" w:ascii="Times New Roman" w:hAnsi="Times New Roman" w:eastAsia="宋体" w:cs="Times New Roman"/>
                <w:i w:val="0"/>
                <w:iCs w:val="0"/>
                <w:color w:val="000000"/>
                <w:kern w:val="0"/>
                <w:sz w:val="20"/>
                <w:szCs w:val="20"/>
                <w:u w:val="none"/>
                <w:lang w:val="en-US" w:eastAsia="zh-CN" w:bidi="ar"/>
              </w:rPr>
            </w:pPr>
          </w:p>
        </w:tc>
      </w:tr>
      <w:tr w14:paraId="715D7CA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524" w:type="pct"/>
            <w:noWrap w:val="0"/>
            <w:vAlign w:val="center"/>
          </w:tcPr>
          <w:p w14:paraId="505D74C1">
            <w:pPr>
              <w:keepNext w:val="0"/>
              <w:keepLines w:val="0"/>
              <w:widowControl/>
              <w:suppressLineNumbers w:val="0"/>
              <w:spacing w:line="240" w:lineRule="auto"/>
              <w:ind w:firstLine="0" w:firstLineChars="0"/>
              <w:jc w:val="center"/>
              <w:textAlignment w:val="center"/>
              <w:rPr>
                <w:rFonts w:hint="eastAsia" w:ascii="Times New Roman" w:hAnsi="Times New Roman" w:eastAsia="宋体" w:cs="Times New Roman"/>
                <w:i w:val="0"/>
                <w:iCs w:val="0"/>
                <w:color w:val="000000"/>
                <w:kern w:val="0"/>
                <w:sz w:val="20"/>
                <w:szCs w:val="20"/>
                <w:u w:val="none"/>
                <w:lang w:val="en-US" w:eastAsia="zh-CN" w:bidi="ar"/>
              </w:rPr>
            </w:pPr>
            <w:r>
              <w:rPr>
                <w:rFonts w:hint="eastAsia" w:ascii="Times New Roman" w:hAnsi="Times New Roman" w:eastAsia="宋体" w:cs="Times New Roman"/>
                <w:i w:val="0"/>
                <w:iCs w:val="0"/>
                <w:color w:val="000000"/>
                <w:kern w:val="0"/>
                <w:sz w:val="20"/>
                <w:szCs w:val="20"/>
                <w:u w:val="none"/>
                <w:lang w:val="en-US" w:eastAsia="zh-CN" w:bidi="ar"/>
              </w:rPr>
              <w:t>4</w:t>
            </w:r>
          </w:p>
        </w:tc>
        <w:tc>
          <w:tcPr>
            <w:tcW w:w="1474" w:type="pct"/>
            <w:noWrap w:val="0"/>
            <w:vAlign w:val="center"/>
          </w:tcPr>
          <w:p w14:paraId="2E6E29CF">
            <w:pPr>
              <w:keepNext w:val="0"/>
              <w:keepLines w:val="0"/>
              <w:widowControl/>
              <w:suppressLineNumbers w:val="0"/>
              <w:spacing w:line="240" w:lineRule="auto"/>
              <w:ind w:firstLine="0" w:firstLineChars="0"/>
              <w:jc w:val="center"/>
              <w:textAlignment w:val="center"/>
              <w:rPr>
                <w:rFonts w:hint="eastAsia" w:ascii="Times New Roman" w:hAnsi="Times New Roman" w:eastAsia="宋体" w:cs="Times New Roman"/>
                <w:i w:val="0"/>
                <w:iCs w:val="0"/>
                <w:color w:val="000000"/>
                <w:kern w:val="0"/>
                <w:sz w:val="20"/>
                <w:szCs w:val="20"/>
                <w:u w:val="none"/>
                <w:lang w:val="en-US" w:eastAsia="zh-CN" w:bidi="ar"/>
              </w:rPr>
            </w:pPr>
            <w:r>
              <w:rPr>
                <w:rFonts w:hint="eastAsia" w:ascii="Times New Roman" w:hAnsi="Times New Roman" w:eastAsia="宋体" w:cs="Times New Roman"/>
                <w:i w:val="0"/>
                <w:iCs w:val="0"/>
                <w:color w:val="000000"/>
                <w:kern w:val="0"/>
                <w:sz w:val="20"/>
                <w:szCs w:val="20"/>
                <w:u w:val="none"/>
                <w:lang w:val="en-US" w:eastAsia="zh-CN" w:bidi="ar"/>
              </w:rPr>
              <w:t>雨水管</w:t>
            </w:r>
          </w:p>
        </w:tc>
        <w:tc>
          <w:tcPr>
            <w:tcW w:w="1000" w:type="pct"/>
            <w:noWrap w:val="0"/>
            <w:vAlign w:val="center"/>
          </w:tcPr>
          <w:p w14:paraId="1F40F65C">
            <w:pPr>
              <w:keepNext w:val="0"/>
              <w:keepLines w:val="0"/>
              <w:widowControl/>
              <w:suppressLineNumbers w:val="0"/>
              <w:spacing w:line="240" w:lineRule="auto"/>
              <w:ind w:firstLine="0" w:firstLineChars="0"/>
              <w:jc w:val="center"/>
              <w:textAlignment w:val="center"/>
              <w:rPr>
                <w:rFonts w:hint="eastAsia" w:ascii="Times New Roman" w:hAnsi="Times New Roman" w:eastAsia="宋体" w:cs="Times New Roman"/>
                <w:i w:val="0"/>
                <w:iCs w:val="0"/>
                <w:color w:val="000000"/>
                <w:kern w:val="0"/>
                <w:sz w:val="20"/>
                <w:szCs w:val="20"/>
                <w:u w:val="none"/>
                <w:lang w:val="en-US" w:eastAsia="zh-CN" w:bidi="ar"/>
              </w:rPr>
            </w:pPr>
          </w:p>
        </w:tc>
        <w:tc>
          <w:tcPr>
            <w:tcW w:w="1000" w:type="pct"/>
            <w:noWrap w:val="0"/>
            <w:vAlign w:val="center"/>
          </w:tcPr>
          <w:p w14:paraId="790EBDF6">
            <w:pPr>
              <w:keepNext w:val="0"/>
              <w:keepLines w:val="0"/>
              <w:widowControl/>
              <w:suppressLineNumbers w:val="0"/>
              <w:spacing w:line="240" w:lineRule="auto"/>
              <w:ind w:firstLine="0" w:firstLineChars="0"/>
              <w:jc w:val="center"/>
              <w:textAlignment w:val="center"/>
              <w:rPr>
                <w:rFonts w:hint="eastAsia" w:ascii="Times New Roman" w:hAnsi="Times New Roman" w:eastAsia="宋体" w:cs="Times New Roman"/>
                <w:i w:val="0"/>
                <w:iCs w:val="0"/>
                <w:color w:val="000000"/>
                <w:kern w:val="0"/>
                <w:sz w:val="20"/>
                <w:szCs w:val="20"/>
                <w:u w:val="none"/>
                <w:lang w:val="en-US" w:eastAsia="zh-CN" w:bidi="ar"/>
              </w:rPr>
            </w:pPr>
            <w:r>
              <w:rPr>
                <w:rFonts w:hint="eastAsia" w:ascii="Times New Roman" w:hAnsi="Times New Roman" w:eastAsia="宋体" w:cs="Times New Roman"/>
                <w:i w:val="0"/>
                <w:iCs w:val="0"/>
                <w:color w:val="000000"/>
                <w:kern w:val="0"/>
                <w:sz w:val="20"/>
                <w:szCs w:val="20"/>
                <w:u w:val="none"/>
                <w:lang w:val="en-US" w:eastAsia="zh-CN" w:bidi="ar"/>
              </w:rPr>
              <w:t>通水试验</w:t>
            </w:r>
          </w:p>
        </w:tc>
        <w:tc>
          <w:tcPr>
            <w:tcW w:w="1000" w:type="pct"/>
            <w:noWrap w:val="0"/>
            <w:vAlign w:val="center"/>
          </w:tcPr>
          <w:p w14:paraId="74472E86">
            <w:pPr>
              <w:keepNext w:val="0"/>
              <w:keepLines w:val="0"/>
              <w:widowControl/>
              <w:suppressLineNumbers w:val="0"/>
              <w:spacing w:line="240" w:lineRule="auto"/>
              <w:ind w:firstLine="0" w:firstLineChars="0"/>
              <w:jc w:val="center"/>
              <w:textAlignment w:val="center"/>
              <w:rPr>
                <w:rFonts w:hint="eastAsia" w:ascii="Times New Roman" w:hAnsi="Times New Roman" w:eastAsia="宋体" w:cs="Times New Roman"/>
                <w:i w:val="0"/>
                <w:iCs w:val="0"/>
                <w:color w:val="000000"/>
                <w:kern w:val="0"/>
                <w:sz w:val="20"/>
                <w:szCs w:val="20"/>
                <w:u w:val="none"/>
                <w:lang w:val="en-US" w:eastAsia="zh-CN" w:bidi="ar"/>
              </w:rPr>
            </w:pPr>
          </w:p>
        </w:tc>
      </w:tr>
    </w:tbl>
    <w:p w14:paraId="7DD74BE8">
      <w:pPr>
        <w:pStyle w:val="22"/>
        <w:bidi w:val="0"/>
        <w:rPr>
          <w:rFonts w:hint="eastAsia"/>
        </w:rPr>
      </w:pPr>
      <w:r>
        <w:rPr>
          <w:rFonts w:hint="eastAsia"/>
          <w:lang w:val="en-US" w:eastAsia="zh-CN"/>
        </w:rPr>
        <w:t>七、</w:t>
      </w:r>
      <w:r>
        <w:rPr>
          <w:rFonts w:hint="eastAsia"/>
        </w:rPr>
        <w:t>管道防腐、保温及标示</w:t>
      </w:r>
    </w:p>
    <w:p w14:paraId="70BDD0FC">
      <w:pPr>
        <w:pStyle w:val="22"/>
        <w:bidi w:val="0"/>
        <w:rPr>
          <w:rFonts w:hint="eastAsia"/>
        </w:rPr>
      </w:pPr>
      <w:r>
        <w:rPr>
          <w:rFonts w:hint="eastAsia"/>
        </w:rPr>
        <w:t>1</w:t>
      </w:r>
      <w:r>
        <w:rPr>
          <w:rFonts w:hint="eastAsia"/>
          <w:lang w:eastAsia="zh-CN"/>
        </w:rPr>
        <w:t>、</w:t>
      </w:r>
      <w:r>
        <w:rPr>
          <w:rFonts w:hint="eastAsia"/>
        </w:rPr>
        <w:t>管道保温</w:t>
      </w:r>
    </w:p>
    <w:p w14:paraId="49446E71">
      <w:pPr>
        <w:pStyle w:val="22"/>
        <w:bidi w:val="0"/>
        <w:rPr>
          <w:rFonts w:hint="eastAsia"/>
        </w:rPr>
      </w:pPr>
      <w:r>
        <w:rPr>
          <w:rFonts w:hint="eastAsia"/>
        </w:rPr>
        <w:t>为避免夏季管道结露污损吊顶、地面、影响室内使用，明装给水横干管、吊顶内给水横管应做防结露保温处理，防结露保温层厚20mm；室内的生活热水管道需要设置保温处理，厚度不小于30mm；消防水箱保温材料采用橡塑发泡保温材料，保温层厚度＞30mm以上，保温外壳采用S304不锈钢壳，厚度≥1.0mm。当管道保温位于室外或有水区域时</w:t>
      </w:r>
      <w:r>
        <w:rPr>
          <w:rFonts w:hint="eastAsia"/>
          <w:lang w:eastAsia="zh-CN"/>
        </w:rPr>
        <w:t>，</w:t>
      </w:r>
      <w:r>
        <w:rPr>
          <w:rFonts w:hint="eastAsia"/>
        </w:rPr>
        <w:t>应在保温层外设置防潮层及保护层</w:t>
      </w:r>
      <w:r>
        <w:rPr>
          <w:rFonts w:hint="eastAsia"/>
          <w:lang w:eastAsia="zh-CN"/>
        </w:rPr>
        <w:t>，</w:t>
      </w:r>
      <w:r>
        <w:rPr>
          <w:rFonts w:hint="eastAsia"/>
        </w:rPr>
        <w:t>防潮层采用三元乙丙橡胶防水卷材（厚度1.0~1.2mm）</w:t>
      </w:r>
      <w:r>
        <w:rPr>
          <w:rFonts w:hint="eastAsia"/>
          <w:lang w:eastAsia="zh-CN"/>
        </w:rPr>
        <w:t>，</w:t>
      </w:r>
      <w:r>
        <w:rPr>
          <w:rFonts w:hint="eastAsia"/>
        </w:rPr>
        <w:t>镀锌钢板保护层。管道与设备保温应在水压试验合格，完成防腐处理后进行。敷设在吊顶内管道的保温材料和保护层材料的燃烧等级应不低于难燃B1级，优先采用橡塑泡沫。管道与设备保温做法参照国标图集《管道和设备保温、防结露及电伴热》16S401。</w:t>
      </w:r>
    </w:p>
    <w:p w14:paraId="69720A96">
      <w:pPr>
        <w:pStyle w:val="22"/>
        <w:bidi w:val="0"/>
        <w:rPr>
          <w:rFonts w:hint="eastAsia"/>
        </w:rPr>
      </w:pPr>
      <w:r>
        <w:rPr>
          <w:rFonts w:hint="eastAsia"/>
        </w:rPr>
        <w:t>2</w:t>
      </w:r>
      <w:r>
        <w:rPr>
          <w:rFonts w:hint="eastAsia"/>
          <w:lang w:eastAsia="zh-CN"/>
        </w:rPr>
        <w:t>、</w:t>
      </w:r>
      <w:r>
        <w:rPr>
          <w:rFonts w:hint="eastAsia"/>
        </w:rPr>
        <w:t>防腐、油漆及标识</w:t>
      </w:r>
    </w:p>
    <w:p w14:paraId="53C16526">
      <w:pPr>
        <w:pStyle w:val="22"/>
        <w:bidi w:val="0"/>
        <w:rPr>
          <w:rFonts w:hint="eastAsia"/>
        </w:rPr>
      </w:pPr>
      <w:r>
        <w:rPr>
          <w:rFonts w:hint="eastAsia"/>
        </w:rPr>
        <w:t>在涂刷底漆前，应清除表面的灰尘、污垢、锈斑、焊渣等物。涂刷油漆厚度应均匀，不得有脱皮、起泡、流淌和漏涂现象。焊接钢管外表经除锈后，埋地管道采用两布三油、外裹牛皮纸的防腐措施，非埋地管道先刷樟丹两道，再刷防锈漆两道。金属管道支架经除锈后刷樟丹两道，灰色调和漆二道。如采用铜管，应在管道与支架之间加橡胶垫。保温管道进行保温后，外壳再刷防火漆二道。</w:t>
      </w:r>
    </w:p>
    <w:p w14:paraId="46E52654">
      <w:pPr>
        <w:pStyle w:val="22"/>
        <w:bidi w:val="0"/>
        <w:rPr>
          <w:rFonts w:hint="eastAsia"/>
        </w:rPr>
      </w:pPr>
      <w:r>
        <w:rPr>
          <w:rFonts w:hint="eastAsia"/>
        </w:rPr>
        <w:t>所有管道在经防腐处理完毕后，应在其外表面根据不同的管道类别，外刷不同颜色的面漆，以便检修和识别。溢、泄水管外壁刷蓝色调和漆二道；压力排水管外壁刷灰色调和漆二道；消火栓管刷红色调和漆二道；自动喷水管银粉调和漆二道；给水管外刷蓝色环，热水供水管道应为黄色环、热水回水管道应为棕色环；中水管道、雨水回用和海水利用管道应为淡绿色环；排水管道应为黄棕色环。</w:t>
      </w:r>
    </w:p>
    <w:p w14:paraId="66AB0B49">
      <w:pPr>
        <w:pStyle w:val="22"/>
        <w:bidi w:val="0"/>
      </w:pPr>
      <w:r>
        <w:rPr>
          <w:rFonts w:hint="eastAsia"/>
        </w:rPr>
        <w:t>建议在管道表面标注出系统名称、系统分区以及水流方向等信息。建筑外墙上明装的给排水管道均刷涂耐受紫外线较好的氟碳树脂或丙烯酸树脂，涂料颜色与建筑外墙相同（消防管道除外）。给排水主要设备应在设备外轮廓明显处注明设备名称或悬挂明显的标识标牌。</w:t>
      </w:r>
    </w:p>
    <w:p w14:paraId="1B906395">
      <w:pPr>
        <w:pStyle w:val="22"/>
        <w:bidi w:val="0"/>
        <w:rPr>
          <w:rFonts w:hint="eastAsia"/>
        </w:rPr>
      </w:pPr>
      <w:r>
        <w:rPr>
          <w:rFonts w:hint="eastAsia"/>
          <w:lang w:val="en-US" w:eastAsia="zh-CN"/>
        </w:rPr>
        <w:t>八、</w:t>
      </w:r>
      <w:r>
        <w:rPr>
          <w:rFonts w:hint="eastAsia"/>
        </w:rPr>
        <w:t>机电抗震设计</w:t>
      </w:r>
    </w:p>
    <w:p w14:paraId="195D5CE5">
      <w:pPr>
        <w:pStyle w:val="22"/>
        <w:bidi w:val="0"/>
        <w:rPr>
          <w:rFonts w:hint="eastAsia"/>
        </w:rPr>
      </w:pPr>
      <w:r>
        <w:rPr>
          <w:rFonts w:hint="eastAsia"/>
        </w:rPr>
        <w:t>抗震设防烈度为6度及6度以上地区的建筑机电工程必须进行抗震设计。依据《建筑与市政工程抗震通用规范》强制性条文，应对机电管线系统进行抗震加固。本工程DN65及以上管径的给排水、消防、喷淋等管道系统须采用机电管线抗震支撑系统。刚性管道侧向抗震支撑最大设计间距不得超过12m；柔性管道侧向抗震支撑最大设计间距不得超过6m。刚性管道纵向抗震支撑最大设计间距不得超过24m；柔性管道纵向抗震支撑最大设计间距不得超过12m。抗震支撑最终间距应根据具体深化设计及现场实际情况综合确定。</w:t>
      </w:r>
    </w:p>
    <w:p w14:paraId="4F629C45">
      <w:pPr>
        <w:pStyle w:val="22"/>
        <w:bidi w:val="0"/>
        <w:rPr>
          <w:rFonts w:hint="eastAsia"/>
        </w:rPr>
      </w:pPr>
      <w:r>
        <w:rPr>
          <w:rFonts w:hint="eastAsia"/>
        </w:rPr>
        <w:t>机电设备抗震支撑系统：已设防震基础的机器设备，如水泵等，需设置限位器，以防止机器设备地震时产生过量的移动，甚至倾覆而扭坏管道。</w:t>
      </w:r>
    </w:p>
    <w:p w14:paraId="06EF6286">
      <w:pPr>
        <w:pStyle w:val="22"/>
        <w:bidi w:val="0"/>
        <w:rPr>
          <w:rFonts w:hint="eastAsia"/>
        </w:rPr>
      </w:pPr>
      <w:r>
        <w:rPr>
          <w:rFonts w:hint="eastAsia"/>
        </w:rPr>
        <w:t>未设防震基础的机器设备，如水箱等必须与主体结构连接牢固，以防止地震时机器设备在地面上滑动或倾覆，破坏其使用功能或扭坏其连接管道。</w:t>
      </w:r>
    </w:p>
    <w:p w14:paraId="71DE23F3">
      <w:pPr>
        <w:pStyle w:val="22"/>
        <w:bidi w:val="0"/>
      </w:pPr>
      <w:r>
        <w:rPr>
          <w:rFonts w:hint="eastAsia"/>
          <w:lang w:val="en-US" w:eastAsia="zh-CN"/>
        </w:rPr>
        <w:t>九、给排水</w:t>
      </w:r>
      <w:r>
        <w:rPr>
          <w:rFonts w:hint="eastAsia"/>
        </w:rPr>
        <w:t>消防设计</w:t>
      </w:r>
    </w:p>
    <w:p w14:paraId="34CFD1DA">
      <w:pPr>
        <w:pStyle w:val="22"/>
        <w:bidi w:val="0"/>
        <w:rPr>
          <w:rFonts w:hint="eastAsia"/>
        </w:rPr>
      </w:pPr>
      <w:r>
        <w:rPr>
          <w:rFonts w:hint="eastAsia"/>
          <w:lang w:val="en-US" w:eastAsia="zh-CN"/>
        </w:rPr>
        <w:t>1</w:t>
      </w:r>
      <w:r>
        <w:rPr>
          <w:rFonts w:hint="eastAsia"/>
        </w:rPr>
        <w:t>、设计依据</w:t>
      </w:r>
    </w:p>
    <w:p w14:paraId="38C57105">
      <w:pPr>
        <w:pStyle w:val="22"/>
        <w:bidi w:val="0"/>
        <w:rPr>
          <w:rFonts w:hint="eastAsia"/>
          <w:lang w:eastAsia="zh-CN"/>
        </w:rPr>
      </w:pPr>
      <w:r>
        <w:rPr>
          <w:rFonts w:hint="eastAsia"/>
        </w:rPr>
        <w:t>《建筑给水排水设计标准》（GB 50015-2019）</w:t>
      </w:r>
      <w:r>
        <w:rPr>
          <w:rFonts w:hint="eastAsia"/>
          <w:lang w:eastAsia="zh-CN"/>
        </w:rPr>
        <w:t>；</w:t>
      </w:r>
    </w:p>
    <w:p w14:paraId="19F478E3">
      <w:pPr>
        <w:pStyle w:val="22"/>
        <w:bidi w:val="0"/>
        <w:rPr>
          <w:rFonts w:hint="eastAsia"/>
          <w:lang w:eastAsia="zh-CN"/>
        </w:rPr>
      </w:pPr>
      <w:r>
        <w:rPr>
          <w:rFonts w:hint="eastAsia"/>
        </w:rPr>
        <w:t>《建筑设计防火规范》（GB 50016-2014）（2018年版）</w:t>
      </w:r>
      <w:r>
        <w:rPr>
          <w:rFonts w:hint="eastAsia"/>
          <w:lang w:eastAsia="zh-CN"/>
        </w:rPr>
        <w:t>；</w:t>
      </w:r>
    </w:p>
    <w:p w14:paraId="57294C55">
      <w:pPr>
        <w:pStyle w:val="22"/>
        <w:bidi w:val="0"/>
        <w:rPr>
          <w:rFonts w:hint="eastAsia"/>
          <w:lang w:eastAsia="zh-CN"/>
        </w:rPr>
      </w:pPr>
      <w:r>
        <w:rPr>
          <w:rFonts w:hint="eastAsia"/>
        </w:rPr>
        <w:t>《消防给水及消火栓系统技术规范》（GB 50974-2014）</w:t>
      </w:r>
      <w:r>
        <w:rPr>
          <w:rFonts w:hint="eastAsia"/>
          <w:lang w:eastAsia="zh-CN"/>
        </w:rPr>
        <w:t>；</w:t>
      </w:r>
    </w:p>
    <w:p w14:paraId="4BD7061A">
      <w:pPr>
        <w:pStyle w:val="22"/>
        <w:bidi w:val="0"/>
        <w:rPr>
          <w:rFonts w:hint="eastAsia"/>
          <w:lang w:eastAsia="zh-CN"/>
        </w:rPr>
      </w:pPr>
      <w:r>
        <w:rPr>
          <w:rFonts w:hint="eastAsia"/>
        </w:rPr>
        <w:t>《自动喷水灭火系统设计规范》（GB 50084-2017）</w:t>
      </w:r>
      <w:r>
        <w:rPr>
          <w:rFonts w:hint="eastAsia"/>
          <w:lang w:eastAsia="zh-CN"/>
        </w:rPr>
        <w:t>；</w:t>
      </w:r>
    </w:p>
    <w:p w14:paraId="4AA9DE81">
      <w:pPr>
        <w:pStyle w:val="22"/>
        <w:bidi w:val="0"/>
        <w:rPr>
          <w:rFonts w:hint="eastAsia"/>
          <w:lang w:eastAsia="zh-CN"/>
        </w:rPr>
      </w:pPr>
      <w:r>
        <w:rPr>
          <w:rFonts w:hint="eastAsia"/>
        </w:rPr>
        <w:t>《建筑灭火器配置设计规范》（GB 50140-2005）</w:t>
      </w:r>
      <w:r>
        <w:rPr>
          <w:rFonts w:hint="eastAsia"/>
          <w:lang w:eastAsia="zh-CN"/>
        </w:rPr>
        <w:t>；</w:t>
      </w:r>
    </w:p>
    <w:p w14:paraId="7FFA716A">
      <w:pPr>
        <w:pStyle w:val="22"/>
        <w:bidi w:val="0"/>
        <w:rPr>
          <w:rFonts w:hint="eastAsia"/>
          <w:lang w:eastAsia="zh-CN"/>
        </w:rPr>
      </w:pPr>
      <w:r>
        <w:rPr>
          <w:rFonts w:hint="eastAsia"/>
        </w:rPr>
        <w:t>《建筑防火通用规范》（GB 55037-2022）</w:t>
      </w:r>
      <w:r>
        <w:rPr>
          <w:rFonts w:hint="eastAsia"/>
          <w:lang w:eastAsia="zh-CN"/>
        </w:rPr>
        <w:t>；</w:t>
      </w:r>
    </w:p>
    <w:p w14:paraId="636850A1">
      <w:pPr>
        <w:pStyle w:val="22"/>
        <w:bidi w:val="0"/>
        <w:rPr>
          <w:rFonts w:hint="eastAsia"/>
          <w:lang w:eastAsia="zh-CN"/>
        </w:rPr>
      </w:pPr>
      <w:r>
        <w:rPr>
          <w:rFonts w:hint="eastAsia"/>
        </w:rPr>
        <w:t>《消防设施通用规范》（GB 55036-2022）</w:t>
      </w:r>
      <w:r>
        <w:rPr>
          <w:rFonts w:hint="eastAsia"/>
          <w:lang w:eastAsia="zh-CN"/>
        </w:rPr>
        <w:t>。</w:t>
      </w:r>
    </w:p>
    <w:p w14:paraId="1F4B6262">
      <w:pPr>
        <w:pStyle w:val="22"/>
        <w:bidi w:val="0"/>
        <w:rPr>
          <w:rFonts w:hint="eastAsia"/>
        </w:rPr>
      </w:pPr>
      <w:r>
        <w:rPr>
          <w:rFonts w:hint="eastAsia"/>
        </w:rPr>
        <w:t>2</w:t>
      </w:r>
      <w:r>
        <w:rPr>
          <w:rFonts w:hint="eastAsia"/>
          <w:lang w:eastAsia="zh-CN"/>
        </w:rPr>
        <w:t>、</w:t>
      </w:r>
      <w:r>
        <w:rPr>
          <w:rFonts w:hint="eastAsia"/>
        </w:rPr>
        <w:t>消防系统</w:t>
      </w:r>
    </w:p>
    <w:p w14:paraId="035041BE">
      <w:pPr>
        <w:pStyle w:val="22"/>
        <w:bidi w:val="0"/>
        <w:rPr>
          <w:rFonts w:hint="eastAsia"/>
        </w:rPr>
      </w:pPr>
      <w:r>
        <w:rPr>
          <w:rFonts w:hint="eastAsia"/>
          <w:lang w:eastAsia="zh-CN"/>
        </w:rPr>
        <w:t>（</w:t>
      </w:r>
      <w:r>
        <w:rPr>
          <w:rFonts w:hint="eastAsia"/>
          <w:lang w:val="en-US" w:eastAsia="zh-CN"/>
        </w:rPr>
        <w:t>1</w:t>
      </w:r>
      <w:r>
        <w:rPr>
          <w:rFonts w:hint="eastAsia"/>
          <w:lang w:eastAsia="zh-CN"/>
        </w:rPr>
        <w:t>）</w:t>
      </w:r>
      <w:r>
        <w:rPr>
          <w:rFonts w:hint="eastAsia"/>
        </w:rPr>
        <w:t>消防用水量</w:t>
      </w:r>
    </w:p>
    <w:p w14:paraId="0F9F189D">
      <w:pPr>
        <w:pStyle w:val="22"/>
        <w:bidi w:val="0"/>
        <w:rPr>
          <w:rFonts w:hint="eastAsia"/>
        </w:rPr>
      </w:pPr>
      <w:r>
        <w:rPr>
          <w:rFonts w:hint="eastAsia"/>
        </w:rPr>
        <w:t>室内消火栓消防用水量：20L/s，火灾延续时间3.0h，一次灭火用水量216</w:t>
      </w:r>
      <w:r>
        <w:rPr>
          <w:rFonts w:hint="eastAsia"/>
          <w:lang w:eastAsia="zh-CN"/>
        </w:rPr>
        <w:t>m³</w:t>
      </w:r>
      <w:r>
        <w:rPr>
          <w:rFonts w:hint="eastAsia"/>
        </w:rPr>
        <w:t>；</w:t>
      </w:r>
    </w:p>
    <w:p w14:paraId="0A888FC4">
      <w:pPr>
        <w:pStyle w:val="22"/>
        <w:bidi w:val="0"/>
        <w:rPr>
          <w:rFonts w:hint="eastAsia"/>
        </w:rPr>
      </w:pPr>
      <w:r>
        <w:rPr>
          <w:rFonts w:hint="eastAsia"/>
        </w:rPr>
        <w:t>室外消火栓消防用水量：25L/s，火灾延续时间3.0h，一次灭火用水量270</w:t>
      </w:r>
      <w:r>
        <w:rPr>
          <w:rFonts w:hint="eastAsia"/>
          <w:lang w:eastAsia="zh-CN"/>
        </w:rPr>
        <w:t>m³</w:t>
      </w:r>
      <w:r>
        <w:rPr>
          <w:rFonts w:hint="eastAsia"/>
        </w:rPr>
        <w:t>；</w:t>
      </w:r>
    </w:p>
    <w:p w14:paraId="71EF2E1A">
      <w:pPr>
        <w:pStyle w:val="22"/>
        <w:bidi w:val="0"/>
      </w:pPr>
      <w:r>
        <w:rPr>
          <w:rFonts w:hint="eastAsia"/>
        </w:rPr>
        <w:t>自动喷水灭火系统：根据《建筑防火通用规范》8.1.7条，本次不设置自喷系统。</w:t>
      </w:r>
    </w:p>
    <w:p w14:paraId="26852ADB">
      <w:pPr>
        <w:pStyle w:val="22"/>
        <w:bidi w:val="0"/>
        <w:rPr>
          <w:rFonts w:hint="eastAsia"/>
        </w:rPr>
      </w:pPr>
      <w:r>
        <w:rPr>
          <w:rFonts w:hint="eastAsia"/>
          <w:lang w:eastAsia="zh-CN"/>
        </w:rPr>
        <w:t>（</w:t>
      </w:r>
      <w:r>
        <w:rPr>
          <w:rFonts w:hint="eastAsia"/>
          <w:lang w:val="en-US" w:eastAsia="zh-CN"/>
        </w:rPr>
        <w:t>2</w:t>
      </w:r>
      <w:r>
        <w:rPr>
          <w:rFonts w:hint="eastAsia"/>
          <w:lang w:eastAsia="zh-CN"/>
        </w:rPr>
        <w:t>）</w:t>
      </w:r>
      <w:r>
        <w:rPr>
          <w:rFonts w:hint="eastAsia"/>
        </w:rPr>
        <w:t>消防系统</w:t>
      </w:r>
    </w:p>
    <w:p w14:paraId="151B0746">
      <w:pPr>
        <w:pStyle w:val="22"/>
        <w:bidi w:val="0"/>
        <w:rPr>
          <w:rFonts w:hint="eastAsia"/>
        </w:rPr>
      </w:pPr>
      <w:r>
        <w:rPr>
          <w:rFonts w:hint="eastAsia"/>
        </w:rPr>
        <w:t>本项目设置有效容积486</w:t>
      </w:r>
      <w:r>
        <w:rPr>
          <w:rFonts w:hint="eastAsia"/>
          <w:lang w:eastAsia="zh-CN"/>
        </w:rPr>
        <w:t>m³</w:t>
      </w:r>
      <w:r>
        <w:rPr>
          <w:rFonts w:hint="eastAsia"/>
        </w:rPr>
        <w:t>消防水池，储存室内消火栓用水（216</w:t>
      </w:r>
      <w:r>
        <w:rPr>
          <w:rFonts w:hint="eastAsia"/>
          <w:lang w:eastAsia="zh-CN"/>
        </w:rPr>
        <w:t>m³</w:t>
      </w:r>
      <w:r>
        <w:rPr>
          <w:rFonts w:hint="eastAsia"/>
        </w:rPr>
        <w:t>）、室外消火栓用水（270</w:t>
      </w:r>
      <w:r>
        <w:rPr>
          <w:rFonts w:hint="eastAsia"/>
          <w:lang w:eastAsia="zh-CN"/>
        </w:rPr>
        <w:t>m³</w:t>
      </w:r>
      <w:r>
        <w:rPr>
          <w:rFonts w:hint="eastAsia"/>
        </w:rPr>
        <w:t>），并设室内消火栓泵；在建筑屋顶设有效容积12m³水箱，并设稳压罐、稳压泵及配电柜。</w:t>
      </w:r>
    </w:p>
    <w:p w14:paraId="44A0D6D8">
      <w:pPr>
        <w:pStyle w:val="25"/>
        <w:bidi w:val="0"/>
        <w:rPr>
          <w:rFonts w:hint="eastAsia"/>
        </w:rPr>
      </w:pPr>
      <w:r>
        <w:rPr>
          <w:rFonts w:hint="eastAsia"/>
        </w:rPr>
        <w:t>消防水泵性能一览表</w:t>
      </w:r>
    </w:p>
    <w:tbl>
      <w:tblPr>
        <w:tblStyle w:val="11"/>
        <w:tblW w:w="4998"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398"/>
        <w:gridCol w:w="1593"/>
        <w:gridCol w:w="4733"/>
        <w:gridCol w:w="1672"/>
      </w:tblGrid>
      <w:tr w14:paraId="3F2F350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744" w:type="pct"/>
            <w:noWrap w:val="0"/>
            <w:vAlign w:val="center"/>
          </w:tcPr>
          <w:p w14:paraId="7ABEF804">
            <w:pPr>
              <w:keepNext w:val="0"/>
              <w:keepLines w:val="0"/>
              <w:widowControl/>
              <w:suppressLineNumbers w:val="0"/>
              <w:spacing w:line="240" w:lineRule="auto"/>
              <w:ind w:firstLine="0" w:firstLineChars="0"/>
              <w:jc w:val="center"/>
              <w:textAlignment w:val="center"/>
              <w:rPr>
                <w:rFonts w:hint="eastAsia" w:ascii="Times New Roman" w:hAnsi="Times New Roman" w:eastAsia="宋体" w:cs="Times New Roman"/>
                <w:i w:val="0"/>
                <w:iCs w:val="0"/>
                <w:color w:val="000000"/>
                <w:kern w:val="0"/>
                <w:sz w:val="20"/>
                <w:szCs w:val="20"/>
                <w:u w:val="none"/>
                <w:lang w:val="en-US" w:eastAsia="zh-CN" w:bidi="ar"/>
              </w:rPr>
            </w:pPr>
            <w:r>
              <w:rPr>
                <w:rFonts w:hint="eastAsia" w:ascii="Times New Roman" w:hAnsi="Times New Roman" w:eastAsia="宋体" w:cs="Times New Roman"/>
                <w:i w:val="0"/>
                <w:iCs w:val="0"/>
                <w:color w:val="000000"/>
                <w:kern w:val="0"/>
                <w:sz w:val="20"/>
                <w:szCs w:val="20"/>
                <w:u w:val="none"/>
                <w:lang w:val="en-US" w:eastAsia="zh-CN" w:bidi="ar"/>
              </w:rPr>
              <w:t>名称</w:t>
            </w:r>
          </w:p>
        </w:tc>
        <w:tc>
          <w:tcPr>
            <w:tcW w:w="847" w:type="pct"/>
            <w:noWrap w:val="0"/>
            <w:vAlign w:val="center"/>
          </w:tcPr>
          <w:p w14:paraId="1D1BABCB">
            <w:pPr>
              <w:keepNext w:val="0"/>
              <w:keepLines w:val="0"/>
              <w:widowControl/>
              <w:suppressLineNumbers w:val="0"/>
              <w:spacing w:line="240" w:lineRule="auto"/>
              <w:ind w:firstLine="0" w:firstLineChars="0"/>
              <w:jc w:val="center"/>
              <w:textAlignment w:val="center"/>
              <w:rPr>
                <w:rFonts w:hint="eastAsia" w:ascii="Times New Roman" w:hAnsi="Times New Roman" w:eastAsia="宋体" w:cs="Times New Roman"/>
                <w:i w:val="0"/>
                <w:iCs w:val="0"/>
                <w:color w:val="000000"/>
                <w:kern w:val="0"/>
                <w:sz w:val="20"/>
                <w:szCs w:val="20"/>
                <w:u w:val="none"/>
                <w:lang w:val="en-US" w:eastAsia="zh-CN" w:bidi="ar"/>
              </w:rPr>
            </w:pPr>
            <w:r>
              <w:rPr>
                <w:rFonts w:hint="eastAsia" w:ascii="Times New Roman" w:hAnsi="Times New Roman" w:eastAsia="宋体" w:cs="Times New Roman"/>
                <w:i w:val="0"/>
                <w:iCs w:val="0"/>
                <w:color w:val="000000"/>
                <w:kern w:val="0"/>
                <w:sz w:val="20"/>
                <w:szCs w:val="20"/>
                <w:u w:val="none"/>
                <w:lang w:val="en-US" w:eastAsia="zh-CN" w:bidi="ar"/>
              </w:rPr>
              <w:t>型号</w:t>
            </w:r>
          </w:p>
        </w:tc>
        <w:tc>
          <w:tcPr>
            <w:tcW w:w="2517" w:type="pct"/>
            <w:noWrap w:val="0"/>
            <w:vAlign w:val="center"/>
          </w:tcPr>
          <w:p w14:paraId="70338D1C">
            <w:pPr>
              <w:keepNext w:val="0"/>
              <w:keepLines w:val="0"/>
              <w:widowControl/>
              <w:suppressLineNumbers w:val="0"/>
              <w:spacing w:line="240" w:lineRule="auto"/>
              <w:ind w:firstLine="0" w:firstLineChars="0"/>
              <w:jc w:val="center"/>
              <w:textAlignment w:val="center"/>
              <w:rPr>
                <w:rFonts w:hint="eastAsia" w:ascii="Times New Roman" w:hAnsi="Times New Roman" w:eastAsia="宋体" w:cs="Times New Roman"/>
                <w:i w:val="0"/>
                <w:iCs w:val="0"/>
                <w:color w:val="000000"/>
                <w:kern w:val="0"/>
                <w:sz w:val="20"/>
                <w:szCs w:val="20"/>
                <w:u w:val="none"/>
                <w:lang w:val="en-US" w:eastAsia="zh-CN" w:bidi="ar"/>
              </w:rPr>
            </w:pPr>
            <w:r>
              <w:rPr>
                <w:rFonts w:hint="eastAsia" w:ascii="Times New Roman" w:hAnsi="Times New Roman" w:eastAsia="宋体" w:cs="Times New Roman"/>
                <w:i w:val="0"/>
                <w:iCs w:val="0"/>
                <w:color w:val="000000"/>
                <w:kern w:val="0"/>
                <w:sz w:val="20"/>
                <w:szCs w:val="20"/>
                <w:u w:val="none"/>
                <w:lang w:val="en-US" w:eastAsia="zh-CN" w:bidi="ar"/>
              </w:rPr>
              <w:t>参数</w:t>
            </w:r>
          </w:p>
        </w:tc>
        <w:tc>
          <w:tcPr>
            <w:tcW w:w="889" w:type="pct"/>
            <w:noWrap w:val="0"/>
            <w:vAlign w:val="center"/>
          </w:tcPr>
          <w:p w14:paraId="680F557A">
            <w:pPr>
              <w:keepNext w:val="0"/>
              <w:keepLines w:val="0"/>
              <w:widowControl/>
              <w:suppressLineNumbers w:val="0"/>
              <w:spacing w:line="240" w:lineRule="auto"/>
              <w:ind w:firstLine="0" w:firstLineChars="0"/>
              <w:jc w:val="center"/>
              <w:textAlignment w:val="center"/>
              <w:rPr>
                <w:rFonts w:hint="eastAsia" w:ascii="Times New Roman" w:hAnsi="Times New Roman" w:eastAsia="宋体" w:cs="Times New Roman"/>
                <w:i w:val="0"/>
                <w:iCs w:val="0"/>
                <w:color w:val="000000"/>
                <w:kern w:val="0"/>
                <w:sz w:val="20"/>
                <w:szCs w:val="20"/>
                <w:u w:val="none"/>
                <w:lang w:val="en-US" w:eastAsia="zh-CN" w:bidi="ar"/>
              </w:rPr>
            </w:pPr>
            <w:r>
              <w:rPr>
                <w:rFonts w:hint="eastAsia" w:ascii="Times New Roman" w:hAnsi="Times New Roman" w:eastAsia="宋体" w:cs="Times New Roman"/>
                <w:i w:val="0"/>
                <w:iCs w:val="0"/>
                <w:color w:val="000000"/>
                <w:kern w:val="0"/>
                <w:sz w:val="20"/>
                <w:szCs w:val="20"/>
                <w:u w:val="none"/>
                <w:lang w:val="en-US" w:eastAsia="zh-CN" w:bidi="ar"/>
              </w:rPr>
              <w:t>台数</w:t>
            </w:r>
          </w:p>
        </w:tc>
      </w:tr>
      <w:tr w14:paraId="58BCE41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744" w:type="pct"/>
            <w:noWrap w:val="0"/>
            <w:vAlign w:val="center"/>
          </w:tcPr>
          <w:p w14:paraId="3BA38D8F">
            <w:pPr>
              <w:keepNext w:val="0"/>
              <w:keepLines w:val="0"/>
              <w:widowControl/>
              <w:suppressLineNumbers w:val="0"/>
              <w:spacing w:line="240" w:lineRule="auto"/>
              <w:ind w:firstLine="0" w:firstLineChars="0"/>
              <w:jc w:val="center"/>
              <w:textAlignment w:val="center"/>
              <w:rPr>
                <w:rFonts w:hint="eastAsia" w:ascii="Times New Roman" w:hAnsi="Times New Roman" w:eastAsia="宋体" w:cs="Times New Roman"/>
                <w:i w:val="0"/>
                <w:iCs w:val="0"/>
                <w:color w:val="000000"/>
                <w:kern w:val="0"/>
                <w:sz w:val="20"/>
                <w:szCs w:val="20"/>
                <w:u w:val="none"/>
                <w:lang w:val="en-US" w:eastAsia="zh-CN" w:bidi="ar"/>
              </w:rPr>
            </w:pPr>
            <w:r>
              <w:rPr>
                <w:rFonts w:hint="eastAsia" w:ascii="Times New Roman" w:hAnsi="Times New Roman" w:eastAsia="宋体" w:cs="Times New Roman"/>
                <w:i w:val="0"/>
                <w:iCs w:val="0"/>
                <w:color w:val="000000"/>
                <w:kern w:val="0"/>
                <w:sz w:val="20"/>
                <w:szCs w:val="20"/>
                <w:u w:val="none"/>
                <w:lang w:val="en-US" w:eastAsia="zh-CN" w:bidi="ar"/>
              </w:rPr>
              <w:t>室内消火栓系统给水泵</w:t>
            </w:r>
          </w:p>
        </w:tc>
        <w:tc>
          <w:tcPr>
            <w:tcW w:w="847" w:type="pct"/>
            <w:noWrap w:val="0"/>
            <w:vAlign w:val="center"/>
          </w:tcPr>
          <w:p w14:paraId="6E9A4788">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kern w:val="0"/>
                <w:sz w:val="20"/>
                <w:szCs w:val="20"/>
                <w:u w:val="none"/>
                <w:lang w:val="en-US" w:eastAsia="zh-CN" w:bidi="ar"/>
              </w:rPr>
            </w:pPr>
            <w:r>
              <w:rPr>
                <w:rFonts w:hint="eastAsia" w:ascii="Times New Roman" w:hAnsi="Times New Roman" w:eastAsia="宋体" w:cs="Times New Roman"/>
                <w:i w:val="0"/>
                <w:iCs w:val="0"/>
                <w:color w:val="000000"/>
                <w:kern w:val="0"/>
                <w:sz w:val="20"/>
                <w:szCs w:val="20"/>
                <w:u w:val="none"/>
                <w:lang w:val="en-US" w:eastAsia="zh-CN" w:bidi="ar"/>
              </w:rPr>
              <w:t>XBD6/20-22</w:t>
            </w:r>
          </w:p>
        </w:tc>
        <w:tc>
          <w:tcPr>
            <w:tcW w:w="2517" w:type="pct"/>
            <w:noWrap w:val="0"/>
            <w:vAlign w:val="center"/>
          </w:tcPr>
          <w:p w14:paraId="172E85EB">
            <w:pPr>
              <w:keepNext w:val="0"/>
              <w:keepLines w:val="0"/>
              <w:widowControl/>
              <w:suppressLineNumbers w:val="0"/>
              <w:spacing w:line="240" w:lineRule="auto"/>
              <w:ind w:firstLine="0" w:firstLineChars="0"/>
              <w:jc w:val="center"/>
              <w:textAlignment w:val="center"/>
              <w:rPr>
                <w:rFonts w:hint="eastAsia" w:ascii="Times New Roman" w:hAnsi="Times New Roman" w:eastAsia="宋体" w:cs="Times New Roman"/>
                <w:i w:val="0"/>
                <w:iCs w:val="0"/>
                <w:color w:val="000000"/>
                <w:kern w:val="0"/>
                <w:sz w:val="20"/>
                <w:szCs w:val="20"/>
                <w:u w:val="none"/>
                <w:lang w:val="en-US" w:eastAsia="zh-CN" w:bidi="ar"/>
              </w:rPr>
            </w:pPr>
            <w:r>
              <w:rPr>
                <w:rFonts w:hint="eastAsia" w:ascii="Times New Roman" w:hAnsi="Times New Roman" w:eastAsia="宋体" w:cs="Times New Roman"/>
                <w:i w:val="0"/>
                <w:iCs w:val="0"/>
                <w:color w:val="000000"/>
                <w:kern w:val="0"/>
                <w:sz w:val="20"/>
                <w:szCs w:val="20"/>
                <w:u w:val="none"/>
                <w:lang w:val="en-US" w:eastAsia="zh-CN" w:bidi="ar"/>
              </w:rPr>
              <w:t>Q=20L/s、H=55m、N=22kW</w:t>
            </w:r>
          </w:p>
        </w:tc>
        <w:tc>
          <w:tcPr>
            <w:tcW w:w="889" w:type="pct"/>
            <w:noWrap w:val="0"/>
            <w:vAlign w:val="center"/>
          </w:tcPr>
          <w:p w14:paraId="1001B6EA">
            <w:pPr>
              <w:keepNext w:val="0"/>
              <w:keepLines w:val="0"/>
              <w:widowControl/>
              <w:suppressLineNumbers w:val="0"/>
              <w:spacing w:line="240" w:lineRule="auto"/>
              <w:ind w:firstLine="0" w:firstLineChars="0"/>
              <w:jc w:val="center"/>
              <w:textAlignment w:val="center"/>
              <w:rPr>
                <w:rFonts w:hint="eastAsia" w:ascii="Times New Roman" w:hAnsi="Times New Roman" w:eastAsia="宋体" w:cs="Times New Roman"/>
                <w:i w:val="0"/>
                <w:iCs w:val="0"/>
                <w:color w:val="000000"/>
                <w:kern w:val="0"/>
                <w:sz w:val="20"/>
                <w:szCs w:val="20"/>
                <w:u w:val="none"/>
                <w:lang w:val="en-US" w:eastAsia="zh-CN" w:bidi="ar"/>
              </w:rPr>
            </w:pPr>
            <w:r>
              <w:rPr>
                <w:rFonts w:hint="eastAsia" w:ascii="Times New Roman" w:hAnsi="Times New Roman" w:eastAsia="宋体" w:cs="Times New Roman"/>
                <w:i w:val="0"/>
                <w:iCs w:val="0"/>
                <w:color w:val="000000"/>
                <w:kern w:val="0"/>
                <w:sz w:val="20"/>
                <w:szCs w:val="20"/>
                <w:u w:val="none"/>
                <w:lang w:val="en-US" w:eastAsia="zh-CN" w:bidi="ar"/>
              </w:rPr>
              <w:t>2（1用1备）</w:t>
            </w:r>
          </w:p>
        </w:tc>
      </w:tr>
      <w:tr w14:paraId="4BA3183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744" w:type="pct"/>
            <w:noWrap w:val="0"/>
            <w:vAlign w:val="center"/>
          </w:tcPr>
          <w:p w14:paraId="60930DE0">
            <w:pPr>
              <w:keepNext w:val="0"/>
              <w:keepLines w:val="0"/>
              <w:widowControl/>
              <w:suppressLineNumbers w:val="0"/>
              <w:spacing w:line="240" w:lineRule="auto"/>
              <w:ind w:firstLine="0" w:firstLineChars="0"/>
              <w:jc w:val="center"/>
              <w:textAlignment w:val="center"/>
              <w:rPr>
                <w:rFonts w:hint="eastAsia" w:ascii="Times New Roman" w:hAnsi="Times New Roman" w:eastAsia="宋体" w:cs="Times New Roman"/>
                <w:i w:val="0"/>
                <w:iCs w:val="0"/>
                <w:color w:val="000000"/>
                <w:kern w:val="0"/>
                <w:sz w:val="20"/>
                <w:szCs w:val="20"/>
                <w:u w:val="none"/>
                <w:lang w:val="en-US" w:eastAsia="zh-CN" w:bidi="ar"/>
              </w:rPr>
            </w:pPr>
            <w:r>
              <w:rPr>
                <w:rFonts w:hint="eastAsia" w:ascii="Times New Roman" w:hAnsi="Times New Roman" w:eastAsia="宋体" w:cs="Times New Roman"/>
                <w:i w:val="0"/>
                <w:iCs w:val="0"/>
                <w:color w:val="000000"/>
                <w:kern w:val="0"/>
                <w:sz w:val="20"/>
                <w:szCs w:val="20"/>
                <w:u w:val="none"/>
                <w:lang w:val="en-US" w:eastAsia="zh-CN" w:bidi="ar"/>
              </w:rPr>
              <w:t>稳压设备</w:t>
            </w:r>
          </w:p>
        </w:tc>
        <w:tc>
          <w:tcPr>
            <w:tcW w:w="847" w:type="pct"/>
            <w:noWrap w:val="0"/>
            <w:vAlign w:val="center"/>
          </w:tcPr>
          <w:p w14:paraId="70DE9AF3">
            <w:pPr>
              <w:keepNext w:val="0"/>
              <w:keepLines w:val="0"/>
              <w:widowControl/>
              <w:suppressLineNumbers w:val="0"/>
              <w:spacing w:line="240" w:lineRule="auto"/>
              <w:ind w:firstLine="0" w:firstLineChars="0"/>
              <w:jc w:val="center"/>
              <w:textAlignment w:val="center"/>
              <w:rPr>
                <w:rFonts w:hint="eastAsia" w:ascii="Times New Roman" w:hAnsi="Times New Roman" w:eastAsia="宋体" w:cs="Times New Roman"/>
                <w:i w:val="0"/>
                <w:iCs w:val="0"/>
                <w:color w:val="000000"/>
                <w:kern w:val="0"/>
                <w:sz w:val="20"/>
                <w:szCs w:val="20"/>
                <w:u w:val="none"/>
                <w:lang w:val="en-US" w:eastAsia="zh-CN" w:bidi="ar"/>
              </w:rPr>
            </w:pPr>
            <w:r>
              <w:rPr>
                <w:rFonts w:hint="eastAsia" w:ascii="Times New Roman" w:hAnsi="Times New Roman" w:eastAsia="宋体" w:cs="Times New Roman"/>
                <w:i w:val="0"/>
                <w:iCs w:val="0"/>
                <w:color w:val="000000"/>
                <w:kern w:val="0"/>
                <w:sz w:val="20"/>
                <w:szCs w:val="20"/>
                <w:u w:val="none"/>
                <w:lang w:val="en-US" w:eastAsia="zh-CN" w:bidi="ar"/>
              </w:rPr>
              <w:t>WXB-12-1.5/1.5</w:t>
            </w:r>
          </w:p>
        </w:tc>
        <w:tc>
          <w:tcPr>
            <w:tcW w:w="2517" w:type="pct"/>
            <w:noWrap w:val="0"/>
            <w:vAlign w:val="center"/>
          </w:tcPr>
          <w:p w14:paraId="33A2C35B">
            <w:pPr>
              <w:keepNext w:val="0"/>
              <w:keepLines w:val="0"/>
              <w:widowControl/>
              <w:suppressLineNumbers w:val="0"/>
              <w:spacing w:line="240" w:lineRule="auto"/>
              <w:ind w:firstLine="0" w:firstLineChars="0"/>
              <w:jc w:val="center"/>
              <w:textAlignment w:val="center"/>
              <w:rPr>
                <w:rFonts w:hint="eastAsia" w:ascii="Times New Roman" w:hAnsi="Times New Roman" w:eastAsia="宋体" w:cs="Times New Roman"/>
                <w:i w:val="0"/>
                <w:iCs w:val="0"/>
                <w:color w:val="000000"/>
                <w:kern w:val="0"/>
                <w:sz w:val="20"/>
                <w:szCs w:val="20"/>
                <w:u w:val="none"/>
                <w:lang w:val="en-US" w:eastAsia="zh-CN" w:bidi="ar"/>
              </w:rPr>
            </w:pPr>
            <w:r>
              <w:rPr>
                <w:rFonts w:hint="eastAsia" w:ascii="Times New Roman" w:hAnsi="Times New Roman" w:eastAsia="宋体" w:cs="Times New Roman"/>
                <w:i w:val="0"/>
                <w:iCs w:val="0"/>
                <w:color w:val="000000"/>
                <w:kern w:val="0"/>
                <w:sz w:val="20"/>
                <w:szCs w:val="20"/>
                <w:u w:val="none"/>
                <w:lang w:val="en-US" w:eastAsia="zh-CN" w:bidi="ar"/>
              </w:rPr>
              <w:t>气压罐SQL800X0.6调节水容积V=150L运行压力（MPa）P1=0.16 Ps1=0.24 Ps2=O.31 Q=1.5L/S N=1.1Kw</w:t>
            </w:r>
          </w:p>
        </w:tc>
        <w:tc>
          <w:tcPr>
            <w:tcW w:w="889" w:type="pct"/>
            <w:noWrap w:val="0"/>
            <w:vAlign w:val="center"/>
          </w:tcPr>
          <w:p w14:paraId="69F3A8E6">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kern w:val="0"/>
                <w:sz w:val="20"/>
                <w:szCs w:val="20"/>
                <w:u w:val="none"/>
                <w:lang w:val="en-US" w:eastAsia="zh-CN" w:bidi="ar"/>
              </w:rPr>
            </w:pPr>
            <w:r>
              <w:rPr>
                <w:rFonts w:hint="eastAsia" w:ascii="Times New Roman" w:hAnsi="Times New Roman" w:eastAsia="宋体" w:cs="Times New Roman"/>
                <w:i w:val="0"/>
                <w:iCs w:val="0"/>
                <w:color w:val="000000"/>
                <w:kern w:val="0"/>
                <w:sz w:val="20"/>
                <w:szCs w:val="20"/>
                <w:u w:val="none"/>
                <w:lang w:val="en-US" w:eastAsia="zh-CN" w:bidi="ar"/>
              </w:rPr>
              <w:t>2（1用1备）</w:t>
            </w:r>
          </w:p>
        </w:tc>
      </w:tr>
      <w:tr w14:paraId="0EAC48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744" w:type="pct"/>
            <w:noWrap w:val="0"/>
            <w:vAlign w:val="center"/>
          </w:tcPr>
          <w:p w14:paraId="6CF99FF7">
            <w:pPr>
              <w:keepNext w:val="0"/>
              <w:keepLines w:val="0"/>
              <w:widowControl/>
              <w:suppressLineNumbers w:val="0"/>
              <w:spacing w:line="240" w:lineRule="auto"/>
              <w:ind w:firstLine="0" w:firstLineChars="0"/>
              <w:jc w:val="center"/>
              <w:textAlignment w:val="center"/>
              <w:rPr>
                <w:rFonts w:hint="eastAsia" w:ascii="Times New Roman" w:hAnsi="Times New Roman" w:eastAsia="宋体" w:cs="Times New Roman"/>
                <w:i w:val="0"/>
                <w:iCs w:val="0"/>
                <w:color w:val="000000"/>
                <w:kern w:val="0"/>
                <w:sz w:val="20"/>
                <w:szCs w:val="20"/>
                <w:u w:val="none"/>
                <w:lang w:val="en-US" w:eastAsia="zh-CN" w:bidi="ar"/>
              </w:rPr>
            </w:pPr>
            <w:r>
              <w:rPr>
                <w:rFonts w:hint="eastAsia" w:ascii="Times New Roman" w:hAnsi="Times New Roman" w:eastAsia="宋体" w:cs="Times New Roman"/>
                <w:i w:val="0"/>
                <w:iCs w:val="0"/>
                <w:color w:val="000000"/>
                <w:kern w:val="0"/>
                <w:sz w:val="20"/>
                <w:szCs w:val="20"/>
                <w:u w:val="none"/>
                <w:lang w:val="en-US" w:eastAsia="zh-CN" w:bidi="ar"/>
              </w:rPr>
              <w:t>消防水箱</w:t>
            </w:r>
          </w:p>
        </w:tc>
        <w:tc>
          <w:tcPr>
            <w:tcW w:w="847" w:type="pct"/>
            <w:noWrap w:val="0"/>
            <w:vAlign w:val="center"/>
          </w:tcPr>
          <w:p w14:paraId="1F245033">
            <w:pPr>
              <w:keepNext w:val="0"/>
              <w:keepLines w:val="0"/>
              <w:widowControl/>
              <w:suppressLineNumbers w:val="0"/>
              <w:spacing w:line="240" w:lineRule="auto"/>
              <w:ind w:firstLine="0" w:firstLineChars="0"/>
              <w:jc w:val="center"/>
              <w:textAlignment w:val="center"/>
              <w:rPr>
                <w:rFonts w:hint="eastAsia" w:ascii="Times New Roman" w:hAnsi="Times New Roman" w:eastAsia="宋体" w:cs="Times New Roman"/>
                <w:i w:val="0"/>
                <w:iCs w:val="0"/>
                <w:color w:val="000000"/>
                <w:kern w:val="0"/>
                <w:sz w:val="20"/>
                <w:szCs w:val="20"/>
                <w:u w:val="none"/>
                <w:lang w:val="en-US" w:eastAsia="zh-CN" w:bidi="ar"/>
              </w:rPr>
            </w:pPr>
          </w:p>
        </w:tc>
        <w:tc>
          <w:tcPr>
            <w:tcW w:w="2517" w:type="pct"/>
            <w:noWrap w:val="0"/>
            <w:vAlign w:val="center"/>
          </w:tcPr>
          <w:p w14:paraId="5632ED01">
            <w:pPr>
              <w:keepNext w:val="0"/>
              <w:keepLines w:val="0"/>
              <w:widowControl/>
              <w:suppressLineNumbers w:val="0"/>
              <w:spacing w:line="240" w:lineRule="auto"/>
              <w:ind w:firstLine="0" w:firstLineChars="0"/>
              <w:jc w:val="center"/>
              <w:textAlignment w:val="center"/>
              <w:rPr>
                <w:rFonts w:hint="eastAsia" w:ascii="Times New Roman" w:hAnsi="Times New Roman" w:eastAsia="宋体" w:cs="Times New Roman"/>
                <w:i w:val="0"/>
                <w:iCs w:val="0"/>
                <w:color w:val="000000"/>
                <w:kern w:val="0"/>
                <w:sz w:val="20"/>
                <w:szCs w:val="20"/>
                <w:u w:val="none"/>
                <w:lang w:val="en-US" w:eastAsia="zh-CN" w:bidi="ar"/>
              </w:rPr>
            </w:pPr>
            <w:r>
              <w:rPr>
                <w:rFonts w:hint="eastAsia" w:ascii="Times New Roman" w:hAnsi="Times New Roman" w:eastAsia="宋体" w:cs="Times New Roman"/>
                <w:i w:val="0"/>
                <w:iCs w:val="0"/>
                <w:color w:val="000000"/>
                <w:kern w:val="0"/>
                <w:sz w:val="20"/>
                <w:szCs w:val="20"/>
                <w:u w:val="none"/>
                <w:lang w:val="en-US" w:eastAsia="zh-CN" w:bidi="ar"/>
              </w:rPr>
              <w:t>容积12m³</w:t>
            </w:r>
          </w:p>
        </w:tc>
        <w:tc>
          <w:tcPr>
            <w:tcW w:w="889" w:type="pct"/>
            <w:noWrap w:val="0"/>
            <w:vAlign w:val="center"/>
          </w:tcPr>
          <w:p w14:paraId="25B298D5">
            <w:pPr>
              <w:keepNext w:val="0"/>
              <w:keepLines w:val="0"/>
              <w:widowControl/>
              <w:suppressLineNumbers w:val="0"/>
              <w:spacing w:line="240" w:lineRule="auto"/>
              <w:ind w:firstLine="0" w:firstLineChars="0"/>
              <w:jc w:val="center"/>
              <w:textAlignment w:val="center"/>
              <w:rPr>
                <w:rFonts w:hint="eastAsia" w:ascii="Times New Roman" w:hAnsi="Times New Roman" w:eastAsia="宋体" w:cs="Times New Roman"/>
                <w:i w:val="0"/>
                <w:iCs w:val="0"/>
                <w:color w:val="000000"/>
                <w:kern w:val="0"/>
                <w:sz w:val="20"/>
                <w:szCs w:val="20"/>
                <w:u w:val="none"/>
                <w:lang w:val="en-US" w:eastAsia="zh-CN" w:bidi="ar"/>
              </w:rPr>
            </w:pPr>
            <w:r>
              <w:rPr>
                <w:rFonts w:hint="eastAsia" w:ascii="Times New Roman" w:hAnsi="Times New Roman" w:eastAsia="宋体" w:cs="Times New Roman"/>
                <w:i w:val="0"/>
                <w:iCs w:val="0"/>
                <w:color w:val="000000"/>
                <w:kern w:val="0"/>
                <w:sz w:val="20"/>
                <w:szCs w:val="20"/>
                <w:u w:val="none"/>
                <w:lang w:val="en-US" w:eastAsia="zh-CN" w:bidi="ar"/>
              </w:rPr>
              <w:t>1台</w:t>
            </w:r>
          </w:p>
        </w:tc>
      </w:tr>
    </w:tbl>
    <w:p w14:paraId="5A84EFF6">
      <w:pPr>
        <w:pStyle w:val="22"/>
        <w:bidi w:val="0"/>
        <w:rPr>
          <w:rFonts w:hint="eastAsia"/>
        </w:rPr>
      </w:pPr>
      <w:r>
        <w:rPr>
          <w:rFonts w:hint="eastAsia"/>
          <w:lang w:val="en-US" w:eastAsia="zh-CN"/>
        </w:rPr>
        <w:t>3、</w:t>
      </w:r>
      <w:r>
        <w:rPr>
          <w:rFonts w:hint="eastAsia"/>
        </w:rPr>
        <w:t>消火栓系统</w:t>
      </w:r>
    </w:p>
    <w:p w14:paraId="033692E0">
      <w:pPr>
        <w:pStyle w:val="22"/>
        <w:bidi w:val="0"/>
        <w:rPr>
          <w:rFonts w:hint="eastAsia"/>
        </w:rPr>
      </w:pPr>
      <w:r>
        <w:rPr>
          <w:rFonts w:hint="eastAsia"/>
          <w:lang w:eastAsia="zh-CN"/>
        </w:rPr>
        <w:t>（</w:t>
      </w:r>
      <w:r>
        <w:rPr>
          <w:rFonts w:hint="eastAsia"/>
          <w:lang w:val="en-US" w:eastAsia="zh-CN"/>
        </w:rPr>
        <w:t>1</w:t>
      </w:r>
      <w:r>
        <w:rPr>
          <w:rFonts w:hint="eastAsia"/>
          <w:lang w:eastAsia="zh-CN"/>
        </w:rPr>
        <w:t>）</w:t>
      </w:r>
      <w:r>
        <w:rPr>
          <w:rFonts w:hint="eastAsia"/>
        </w:rPr>
        <w:t>室外消防系统</w:t>
      </w:r>
    </w:p>
    <w:p w14:paraId="573702B6">
      <w:pPr>
        <w:pStyle w:val="22"/>
        <w:bidi w:val="0"/>
        <w:rPr>
          <w:rFonts w:hint="eastAsia"/>
        </w:rPr>
      </w:pPr>
      <w:r>
        <w:rPr>
          <w:rFonts w:hint="eastAsia"/>
        </w:rPr>
        <w:t>室外消防采用低压制，室外消防用水量由市政管网保证。自院区外已有市政管网上接入DN150的给水管，在院区内成环，环状管径DN150。并在其上设置一定数量的地上式消火栓</w:t>
      </w:r>
      <w:r>
        <w:rPr>
          <w:rFonts w:hint="eastAsia"/>
          <w:lang w:eastAsia="zh-CN"/>
        </w:rPr>
        <w:t>，</w:t>
      </w:r>
      <w:r>
        <w:rPr>
          <w:rFonts w:hint="eastAsia"/>
        </w:rPr>
        <w:t>间距不超过120m，保护半径不大于150m。设置检修阀门，每段消火栓数量不超过5个。在消防水池上设消防车取水口。供消防车取水，消防取水口保证消防车取水高度不超过5m。</w:t>
      </w:r>
    </w:p>
    <w:p w14:paraId="5AB06F83">
      <w:pPr>
        <w:pStyle w:val="22"/>
        <w:bidi w:val="0"/>
        <w:rPr>
          <w:rFonts w:hint="eastAsia"/>
        </w:rPr>
      </w:pPr>
      <w:r>
        <w:rPr>
          <w:rFonts w:hint="eastAsia"/>
          <w:lang w:eastAsia="zh-CN"/>
        </w:rPr>
        <w:t>（</w:t>
      </w:r>
      <w:r>
        <w:rPr>
          <w:rFonts w:hint="eastAsia"/>
          <w:lang w:val="en-US" w:eastAsia="zh-CN"/>
        </w:rPr>
        <w:t>2</w:t>
      </w:r>
      <w:r>
        <w:rPr>
          <w:rFonts w:hint="eastAsia"/>
          <w:lang w:eastAsia="zh-CN"/>
        </w:rPr>
        <w:t>）</w:t>
      </w:r>
      <w:r>
        <w:rPr>
          <w:rFonts w:hint="eastAsia"/>
        </w:rPr>
        <w:t>室内消防系统</w:t>
      </w:r>
    </w:p>
    <w:p w14:paraId="75F92D18">
      <w:pPr>
        <w:pStyle w:val="22"/>
        <w:bidi w:val="0"/>
        <w:rPr>
          <w:rFonts w:hint="eastAsia"/>
        </w:rPr>
      </w:pPr>
      <w:r>
        <w:rPr>
          <w:rFonts w:hint="eastAsia"/>
        </w:rPr>
        <w:t>室内消火栓系统为临时高压给水系统。火灾初期的消防水量由设于建筑物屋顶的消防泵箱一体化设备保证。消火栓给水由消防泵房出水管两个进口引入，并在室内成环。楼内设置单栓消火栓，型号为SG18E65Z-J型消火栓，配备DN65栓口一个，25m麻质水带一条，Φ19mm消防水枪一只，水带卷盘一个，消防报警按钮一个（不启泵），且应设有保护按钮的装置。建筑物室内消火栓布置均按有两股消火栓的水枪充实水柱同时到达任何部位设置。设试验用消火栓。室内消防泵选用Q=00L/s</w:t>
      </w:r>
      <w:r>
        <w:rPr>
          <w:rFonts w:hint="eastAsia"/>
          <w:lang w:eastAsia="zh-CN"/>
        </w:rPr>
        <w:t>，</w:t>
      </w:r>
      <w:r>
        <w:rPr>
          <w:rFonts w:hint="eastAsia"/>
        </w:rPr>
        <w:t>H=55m，N=22kW一用一备。</w:t>
      </w:r>
    </w:p>
    <w:p w14:paraId="2FC4CF71">
      <w:pPr>
        <w:pStyle w:val="22"/>
        <w:bidi w:val="0"/>
        <w:rPr>
          <w:rFonts w:hint="eastAsia"/>
        </w:rPr>
      </w:pPr>
      <w:r>
        <w:rPr>
          <w:rFonts w:hint="eastAsia"/>
        </w:rPr>
        <w:t>消防水泵采用消防专用水泵，水泵性能曲线平滑无驼峰。</w:t>
      </w:r>
    </w:p>
    <w:p w14:paraId="2A8EB3BB">
      <w:pPr>
        <w:pStyle w:val="22"/>
        <w:bidi w:val="0"/>
        <w:rPr>
          <w:rFonts w:hint="eastAsia"/>
        </w:rPr>
      </w:pPr>
      <w:r>
        <w:rPr>
          <w:rFonts w:hint="eastAsia"/>
          <w:lang w:val="en-US" w:eastAsia="zh-CN"/>
        </w:rPr>
        <w:t>4、</w:t>
      </w:r>
      <w:r>
        <w:rPr>
          <w:rFonts w:hint="eastAsia"/>
        </w:rPr>
        <w:t>建筑灭火器配置</w:t>
      </w:r>
    </w:p>
    <w:p w14:paraId="5B06F8E1">
      <w:pPr>
        <w:pStyle w:val="22"/>
        <w:bidi w:val="0"/>
        <w:rPr>
          <w:rFonts w:hint="eastAsia"/>
        </w:rPr>
      </w:pPr>
      <w:r>
        <w:rPr>
          <w:rFonts w:hint="eastAsia"/>
        </w:rPr>
        <w:t>本项目高低压配电室、弱电机房按严重危险级E类设置灭火器，设置干粉灭火器MFT/ABC5，灭火器保护范围为12m。</w:t>
      </w:r>
    </w:p>
    <w:p w14:paraId="49188603">
      <w:pPr>
        <w:pStyle w:val="22"/>
        <w:bidi w:val="0"/>
        <w:rPr>
          <w:rFonts w:hint="eastAsia"/>
        </w:rPr>
      </w:pPr>
      <w:r>
        <w:rPr>
          <w:rFonts w:hint="eastAsia"/>
        </w:rPr>
        <w:t>其余部位按照中危险级A类，设置干粉灭火器MFT/ABC4，灭火器保护范围为20m。</w:t>
      </w:r>
    </w:p>
    <w:p w14:paraId="6FF147DD">
      <w:pPr>
        <w:pStyle w:val="22"/>
        <w:bidi w:val="0"/>
        <w:rPr>
          <w:rFonts w:hint="eastAsia"/>
          <w:lang w:val="zh-CN"/>
        </w:rPr>
      </w:pPr>
      <w:r>
        <w:rPr>
          <w:rFonts w:hint="eastAsia"/>
          <w:lang w:val="zh-CN"/>
        </w:rPr>
        <w:t>手提式磷酸铵盐干粉灭火器，型号规格及布置见各</w:t>
      </w:r>
      <w:r>
        <w:rPr>
          <w:rFonts w:hint="eastAsia"/>
        </w:rPr>
        <w:t>建筑</w:t>
      </w:r>
      <w:r>
        <w:rPr>
          <w:rFonts w:hint="eastAsia"/>
          <w:lang w:val="zh-CN"/>
        </w:rPr>
        <w:t>平面图，灭火器的摆放应稳固，其铭牌应朝外。灭火器设置于专用灭火器箱内，箱底距地面不小于0.08米，灭火器箱不得上锁。</w:t>
      </w:r>
    </w:p>
    <w:p w14:paraId="244D7FF7">
      <w:pPr>
        <w:pStyle w:val="22"/>
        <w:bidi w:val="0"/>
      </w:pPr>
      <w:r>
        <w:rPr>
          <w:rFonts w:hint="eastAsia"/>
        </w:rPr>
        <w:t>灭火器的使用年限按照《消防设施通用规范》10.0.8条执行。灭火器的使用温度为-10℃~+55℃。</w:t>
      </w:r>
    </w:p>
    <w:p w14:paraId="2BA66CEC">
      <w:pPr>
        <w:pStyle w:val="22"/>
        <w:bidi w:val="0"/>
        <w:rPr>
          <w:rFonts w:hint="eastAsia"/>
        </w:rPr>
      </w:pPr>
      <w:r>
        <w:rPr>
          <w:rFonts w:hint="eastAsia"/>
          <w:lang w:val="en-US" w:eastAsia="zh-CN"/>
        </w:rPr>
        <w:t>5、</w:t>
      </w:r>
      <w:r>
        <w:rPr>
          <w:rFonts w:hint="eastAsia"/>
        </w:rPr>
        <w:t>管材及试压</w:t>
      </w:r>
    </w:p>
    <w:p w14:paraId="50C21425">
      <w:pPr>
        <w:pStyle w:val="22"/>
        <w:bidi w:val="0"/>
      </w:pPr>
      <w:r>
        <w:rPr>
          <w:rFonts w:hint="eastAsia"/>
        </w:rPr>
        <w:t>室外消防管材同室外给水管道，采用PSP钢塑复合管；室内消火栓管道采用热浸镀锌钢管。</w:t>
      </w:r>
    </w:p>
    <w:p w14:paraId="6D296EC7">
      <w:pPr>
        <w:pStyle w:val="22"/>
        <w:bidi w:val="0"/>
        <w:rPr>
          <w:rFonts w:hint="eastAsia"/>
        </w:rPr>
      </w:pPr>
      <w:r>
        <w:rPr>
          <w:rFonts w:hint="eastAsia"/>
        </w:rPr>
        <w:t>消防给水管道冲洗：室内消火栓给水系统给水管连接前，必须将室外给水管冲洗干净，其冲洗强度应达到消防时最大设计流量。室内消火栓系统在交付使用前，必须冲洗干净，其冲洗强度应达到消防时的最大设计流量。</w:t>
      </w:r>
    </w:p>
    <w:p w14:paraId="02D5C463">
      <w:pPr>
        <w:pStyle w:val="22"/>
        <w:bidi w:val="0"/>
        <w:rPr>
          <w:rFonts w:hint="eastAsia"/>
        </w:rPr>
      </w:pPr>
      <w:r>
        <w:rPr>
          <w:rFonts w:hint="eastAsia"/>
        </w:rPr>
        <w:t>管道试压：消火栓消防给水管和自动喷水灭火系统管道的试压方法按《自动喷水灭火系统施工及验收规范》（GB 50261-2017）的规定执行。</w:t>
      </w:r>
    </w:p>
    <w:p w14:paraId="33FF6712">
      <w:pPr>
        <w:pStyle w:val="25"/>
        <w:bidi w:val="0"/>
        <w:rPr>
          <w:rFonts w:hint="eastAsia"/>
        </w:rPr>
      </w:pPr>
      <w:r>
        <w:rPr>
          <w:rFonts w:hint="eastAsia"/>
        </w:rPr>
        <w:t>管材试压表</w:t>
      </w:r>
    </w:p>
    <w:tbl>
      <w:tblPr>
        <w:tblStyle w:val="11"/>
        <w:tblW w:w="4998"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86"/>
        <w:gridCol w:w="2770"/>
        <w:gridCol w:w="1880"/>
        <w:gridCol w:w="1880"/>
        <w:gridCol w:w="1880"/>
      </w:tblGrid>
      <w:tr w14:paraId="2B8E7D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525" w:type="pct"/>
            <w:noWrap w:val="0"/>
            <w:vAlign w:val="center"/>
          </w:tcPr>
          <w:p w14:paraId="3ADF831A">
            <w:pPr>
              <w:keepNext w:val="0"/>
              <w:keepLines w:val="0"/>
              <w:widowControl/>
              <w:suppressLineNumbers w:val="0"/>
              <w:spacing w:line="240" w:lineRule="auto"/>
              <w:ind w:firstLine="0" w:firstLineChars="0"/>
              <w:jc w:val="center"/>
              <w:textAlignment w:val="center"/>
              <w:rPr>
                <w:rFonts w:hint="eastAsia" w:ascii="Times New Roman" w:hAnsi="Times New Roman" w:eastAsia="宋体" w:cs="Times New Roman"/>
                <w:i w:val="0"/>
                <w:iCs w:val="0"/>
                <w:color w:val="000000"/>
                <w:kern w:val="0"/>
                <w:sz w:val="20"/>
                <w:szCs w:val="20"/>
                <w:u w:val="none"/>
                <w:lang w:val="en-US" w:eastAsia="zh-CN" w:bidi="ar"/>
              </w:rPr>
            </w:pPr>
            <w:r>
              <w:rPr>
                <w:rFonts w:hint="eastAsia" w:ascii="Times New Roman" w:hAnsi="Times New Roman" w:eastAsia="宋体" w:cs="Times New Roman"/>
                <w:i w:val="0"/>
                <w:iCs w:val="0"/>
                <w:color w:val="000000"/>
                <w:kern w:val="0"/>
                <w:sz w:val="20"/>
                <w:szCs w:val="20"/>
                <w:u w:val="none"/>
                <w:lang w:val="en-US" w:eastAsia="zh-CN" w:bidi="ar"/>
              </w:rPr>
              <w:t>序号</w:t>
            </w:r>
          </w:p>
        </w:tc>
        <w:tc>
          <w:tcPr>
            <w:tcW w:w="1474" w:type="pct"/>
            <w:noWrap w:val="0"/>
            <w:vAlign w:val="center"/>
          </w:tcPr>
          <w:p w14:paraId="235C2BD2">
            <w:pPr>
              <w:keepNext w:val="0"/>
              <w:keepLines w:val="0"/>
              <w:widowControl/>
              <w:suppressLineNumbers w:val="0"/>
              <w:spacing w:line="240" w:lineRule="auto"/>
              <w:ind w:firstLine="0" w:firstLineChars="0"/>
              <w:jc w:val="center"/>
              <w:textAlignment w:val="center"/>
              <w:rPr>
                <w:rFonts w:hint="eastAsia" w:ascii="Times New Roman" w:hAnsi="Times New Roman" w:eastAsia="宋体" w:cs="Times New Roman"/>
                <w:i w:val="0"/>
                <w:iCs w:val="0"/>
                <w:color w:val="000000"/>
                <w:kern w:val="0"/>
                <w:sz w:val="20"/>
                <w:szCs w:val="20"/>
                <w:u w:val="none"/>
                <w:lang w:val="en-US" w:eastAsia="zh-CN" w:bidi="ar"/>
              </w:rPr>
            </w:pPr>
            <w:r>
              <w:rPr>
                <w:rFonts w:hint="eastAsia" w:ascii="Times New Roman" w:hAnsi="Times New Roman" w:eastAsia="宋体" w:cs="Times New Roman"/>
                <w:i w:val="0"/>
                <w:iCs w:val="0"/>
                <w:color w:val="000000"/>
                <w:kern w:val="0"/>
                <w:sz w:val="20"/>
                <w:szCs w:val="20"/>
                <w:u w:val="none"/>
                <w:lang w:val="en-US" w:eastAsia="zh-CN" w:bidi="ar"/>
              </w:rPr>
              <w:t>管道名称</w:t>
            </w:r>
          </w:p>
        </w:tc>
        <w:tc>
          <w:tcPr>
            <w:tcW w:w="1000" w:type="pct"/>
            <w:noWrap w:val="0"/>
            <w:vAlign w:val="center"/>
          </w:tcPr>
          <w:p w14:paraId="3A43AD96">
            <w:pPr>
              <w:keepNext w:val="0"/>
              <w:keepLines w:val="0"/>
              <w:widowControl/>
              <w:suppressLineNumbers w:val="0"/>
              <w:spacing w:line="240" w:lineRule="auto"/>
              <w:ind w:firstLine="0" w:firstLineChars="0"/>
              <w:jc w:val="center"/>
              <w:textAlignment w:val="center"/>
              <w:rPr>
                <w:rFonts w:hint="eastAsia" w:ascii="Times New Roman" w:hAnsi="Times New Roman" w:eastAsia="宋体" w:cs="Times New Roman"/>
                <w:i w:val="0"/>
                <w:iCs w:val="0"/>
                <w:color w:val="000000"/>
                <w:kern w:val="0"/>
                <w:sz w:val="20"/>
                <w:szCs w:val="20"/>
                <w:u w:val="none"/>
                <w:lang w:val="en-US" w:eastAsia="zh-CN" w:bidi="ar"/>
              </w:rPr>
            </w:pPr>
            <w:r>
              <w:rPr>
                <w:rFonts w:hint="eastAsia" w:ascii="Times New Roman" w:hAnsi="Times New Roman" w:eastAsia="宋体" w:cs="Times New Roman"/>
                <w:i w:val="0"/>
                <w:iCs w:val="0"/>
                <w:color w:val="000000"/>
                <w:kern w:val="0"/>
                <w:sz w:val="20"/>
                <w:szCs w:val="20"/>
                <w:u w:val="none"/>
                <w:lang w:val="en-US" w:eastAsia="zh-CN" w:bidi="ar"/>
              </w:rPr>
              <w:t>工作压力（MPa）</w:t>
            </w:r>
          </w:p>
        </w:tc>
        <w:tc>
          <w:tcPr>
            <w:tcW w:w="1000" w:type="pct"/>
            <w:noWrap w:val="0"/>
            <w:vAlign w:val="center"/>
          </w:tcPr>
          <w:p w14:paraId="0FAB34DB">
            <w:pPr>
              <w:keepNext w:val="0"/>
              <w:keepLines w:val="0"/>
              <w:widowControl/>
              <w:suppressLineNumbers w:val="0"/>
              <w:spacing w:line="240" w:lineRule="auto"/>
              <w:ind w:firstLine="0" w:firstLineChars="0"/>
              <w:jc w:val="center"/>
              <w:textAlignment w:val="center"/>
              <w:rPr>
                <w:rFonts w:hint="eastAsia" w:ascii="Times New Roman" w:hAnsi="Times New Roman" w:eastAsia="宋体" w:cs="Times New Roman"/>
                <w:i w:val="0"/>
                <w:iCs w:val="0"/>
                <w:color w:val="000000"/>
                <w:kern w:val="0"/>
                <w:sz w:val="20"/>
                <w:szCs w:val="20"/>
                <w:u w:val="none"/>
                <w:lang w:val="en-US" w:eastAsia="zh-CN" w:bidi="ar"/>
              </w:rPr>
            </w:pPr>
            <w:r>
              <w:rPr>
                <w:rFonts w:hint="eastAsia" w:ascii="Times New Roman" w:hAnsi="Times New Roman" w:eastAsia="宋体" w:cs="Times New Roman"/>
                <w:i w:val="0"/>
                <w:iCs w:val="0"/>
                <w:color w:val="000000"/>
                <w:kern w:val="0"/>
                <w:sz w:val="20"/>
                <w:szCs w:val="20"/>
                <w:u w:val="none"/>
                <w:lang w:val="en-US" w:eastAsia="zh-CN" w:bidi="ar"/>
              </w:rPr>
              <w:t>试验压力（MPa）</w:t>
            </w:r>
          </w:p>
        </w:tc>
        <w:tc>
          <w:tcPr>
            <w:tcW w:w="1000" w:type="pct"/>
            <w:noWrap w:val="0"/>
            <w:vAlign w:val="center"/>
          </w:tcPr>
          <w:p w14:paraId="027A2E8F">
            <w:pPr>
              <w:keepNext w:val="0"/>
              <w:keepLines w:val="0"/>
              <w:widowControl/>
              <w:suppressLineNumbers w:val="0"/>
              <w:spacing w:line="240" w:lineRule="auto"/>
              <w:ind w:firstLine="0" w:firstLineChars="0"/>
              <w:jc w:val="center"/>
              <w:textAlignment w:val="center"/>
              <w:rPr>
                <w:rFonts w:hint="eastAsia" w:ascii="Times New Roman" w:hAnsi="Times New Roman" w:eastAsia="宋体" w:cs="Times New Roman"/>
                <w:i w:val="0"/>
                <w:iCs w:val="0"/>
                <w:color w:val="000000"/>
                <w:kern w:val="0"/>
                <w:sz w:val="20"/>
                <w:szCs w:val="20"/>
                <w:u w:val="none"/>
                <w:lang w:val="en-US" w:eastAsia="zh-CN" w:bidi="ar"/>
              </w:rPr>
            </w:pPr>
            <w:r>
              <w:rPr>
                <w:rFonts w:hint="eastAsia" w:ascii="Times New Roman" w:hAnsi="Times New Roman" w:eastAsia="宋体" w:cs="Times New Roman"/>
                <w:i w:val="0"/>
                <w:iCs w:val="0"/>
                <w:color w:val="000000"/>
                <w:kern w:val="0"/>
                <w:sz w:val="20"/>
                <w:szCs w:val="20"/>
                <w:u w:val="none"/>
                <w:lang w:val="en-US" w:eastAsia="zh-CN" w:bidi="ar"/>
              </w:rPr>
              <w:t>备注</w:t>
            </w:r>
          </w:p>
        </w:tc>
      </w:tr>
      <w:tr w14:paraId="0AACE77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525" w:type="pct"/>
            <w:noWrap w:val="0"/>
            <w:vAlign w:val="center"/>
          </w:tcPr>
          <w:p w14:paraId="6FDE384E">
            <w:pPr>
              <w:keepNext w:val="0"/>
              <w:keepLines w:val="0"/>
              <w:widowControl/>
              <w:suppressLineNumbers w:val="0"/>
              <w:spacing w:line="240" w:lineRule="auto"/>
              <w:ind w:firstLine="0" w:firstLineChars="0"/>
              <w:jc w:val="center"/>
              <w:textAlignment w:val="center"/>
              <w:rPr>
                <w:rFonts w:hint="eastAsia" w:ascii="Times New Roman" w:hAnsi="Times New Roman" w:eastAsia="宋体" w:cs="Times New Roman"/>
                <w:i w:val="0"/>
                <w:iCs w:val="0"/>
                <w:color w:val="000000"/>
                <w:kern w:val="0"/>
                <w:sz w:val="20"/>
                <w:szCs w:val="20"/>
                <w:u w:val="none"/>
                <w:lang w:val="en-US" w:eastAsia="zh-CN" w:bidi="ar"/>
              </w:rPr>
            </w:pPr>
            <w:r>
              <w:rPr>
                <w:rFonts w:hint="eastAsia" w:ascii="Times New Roman" w:hAnsi="Times New Roman" w:eastAsia="宋体" w:cs="Times New Roman"/>
                <w:i w:val="0"/>
                <w:iCs w:val="0"/>
                <w:color w:val="000000"/>
                <w:kern w:val="0"/>
                <w:sz w:val="20"/>
                <w:szCs w:val="20"/>
                <w:u w:val="none"/>
                <w:lang w:val="en-US" w:eastAsia="zh-CN" w:bidi="ar"/>
              </w:rPr>
              <w:t>1</w:t>
            </w:r>
          </w:p>
        </w:tc>
        <w:tc>
          <w:tcPr>
            <w:tcW w:w="1474" w:type="pct"/>
            <w:noWrap w:val="0"/>
            <w:vAlign w:val="center"/>
          </w:tcPr>
          <w:p w14:paraId="0A8B00B7">
            <w:pPr>
              <w:keepNext w:val="0"/>
              <w:keepLines w:val="0"/>
              <w:widowControl/>
              <w:suppressLineNumbers w:val="0"/>
              <w:spacing w:line="240" w:lineRule="auto"/>
              <w:ind w:firstLine="0" w:firstLineChars="0"/>
              <w:jc w:val="center"/>
              <w:textAlignment w:val="center"/>
              <w:rPr>
                <w:rFonts w:hint="eastAsia" w:ascii="Times New Roman" w:hAnsi="Times New Roman" w:eastAsia="宋体" w:cs="Times New Roman"/>
                <w:i w:val="0"/>
                <w:iCs w:val="0"/>
                <w:color w:val="000000"/>
                <w:kern w:val="0"/>
                <w:sz w:val="20"/>
                <w:szCs w:val="20"/>
                <w:u w:val="none"/>
                <w:lang w:val="en-US" w:eastAsia="zh-CN" w:bidi="ar"/>
              </w:rPr>
            </w:pPr>
            <w:r>
              <w:rPr>
                <w:rFonts w:hint="eastAsia" w:ascii="Times New Roman" w:hAnsi="Times New Roman" w:eastAsia="宋体" w:cs="Times New Roman"/>
                <w:i w:val="0"/>
                <w:iCs w:val="0"/>
                <w:color w:val="000000"/>
                <w:kern w:val="0"/>
                <w:sz w:val="20"/>
                <w:szCs w:val="20"/>
                <w:u w:val="none"/>
                <w:lang w:val="en-US" w:eastAsia="zh-CN" w:bidi="ar"/>
              </w:rPr>
              <w:t>生产、生活给水管</w:t>
            </w:r>
          </w:p>
        </w:tc>
        <w:tc>
          <w:tcPr>
            <w:tcW w:w="1000" w:type="pct"/>
            <w:noWrap w:val="0"/>
            <w:vAlign w:val="center"/>
          </w:tcPr>
          <w:p w14:paraId="76861911">
            <w:pPr>
              <w:keepNext w:val="0"/>
              <w:keepLines w:val="0"/>
              <w:widowControl/>
              <w:suppressLineNumbers w:val="0"/>
              <w:spacing w:line="240" w:lineRule="auto"/>
              <w:ind w:firstLine="0" w:firstLineChars="0"/>
              <w:jc w:val="center"/>
              <w:textAlignment w:val="center"/>
              <w:rPr>
                <w:rFonts w:hint="eastAsia" w:ascii="Times New Roman" w:hAnsi="Times New Roman" w:eastAsia="宋体" w:cs="Times New Roman"/>
                <w:i w:val="0"/>
                <w:iCs w:val="0"/>
                <w:color w:val="000000"/>
                <w:kern w:val="0"/>
                <w:sz w:val="20"/>
                <w:szCs w:val="20"/>
                <w:u w:val="none"/>
                <w:lang w:val="en-US" w:eastAsia="zh-CN" w:bidi="ar"/>
              </w:rPr>
            </w:pPr>
            <w:r>
              <w:rPr>
                <w:rFonts w:hint="eastAsia" w:ascii="Times New Roman" w:hAnsi="Times New Roman" w:eastAsia="宋体" w:cs="Times New Roman"/>
                <w:i w:val="0"/>
                <w:iCs w:val="0"/>
                <w:color w:val="000000"/>
                <w:kern w:val="0"/>
                <w:sz w:val="20"/>
                <w:szCs w:val="20"/>
                <w:u w:val="none"/>
                <w:lang w:val="en-US" w:eastAsia="zh-CN" w:bidi="ar"/>
              </w:rPr>
              <w:t>0.6</w:t>
            </w:r>
          </w:p>
        </w:tc>
        <w:tc>
          <w:tcPr>
            <w:tcW w:w="1000" w:type="pct"/>
            <w:noWrap w:val="0"/>
            <w:vAlign w:val="center"/>
          </w:tcPr>
          <w:p w14:paraId="4C2127D2">
            <w:pPr>
              <w:keepNext w:val="0"/>
              <w:keepLines w:val="0"/>
              <w:widowControl/>
              <w:suppressLineNumbers w:val="0"/>
              <w:spacing w:line="240" w:lineRule="auto"/>
              <w:ind w:firstLine="0" w:firstLineChars="0"/>
              <w:jc w:val="center"/>
              <w:textAlignment w:val="center"/>
              <w:rPr>
                <w:rFonts w:hint="eastAsia" w:ascii="Times New Roman" w:hAnsi="Times New Roman" w:eastAsia="宋体" w:cs="Times New Roman"/>
                <w:i w:val="0"/>
                <w:iCs w:val="0"/>
                <w:color w:val="000000"/>
                <w:kern w:val="0"/>
                <w:sz w:val="20"/>
                <w:szCs w:val="20"/>
                <w:u w:val="none"/>
                <w:lang w:val="en-US" w:eastAsia="zh-CN" w:bidi="ar"/>
              </w:rPr>
            </w:pPr>
            <w:r>
              <w:rPr>
                <w:rFonts w:hint="eastAsia" w:ascii="Times New Roman" w:hAnsi="Times New Roman" w:eastAsia="宋体" w:cs="Times New Roman"/>
                <w:i w:val="0"/>
                <w:iCs w:val="0"/>
                <w:color w:val="000000"/>
                <w:kern w:val="0"/>
                <w:sz w:val="20"/>
                <w:szCs w:val="20"/>
                <w:u w:val="none"/>
                <w:lang w:val="en-US" w:eastAsia="zh-CN" w:bidi="ar"/>
              </w:rPr>
              <w:t>0.9</w:t>
            </w:r>
          </w:p>
        </w:tc>
        <w:tc>
          <w:tcPr>
            <w:tcW w:w="1000" w:type="pct"/>
            <w:noWrap w:val="0"/>
            <w:vAlign w:val="center"/>
          </w:tcPr>
          <w:p w14:paraId="30B40249">
            <w:pPr>
              <w:keepNext w:val="0"/>
              <w:keepLines w:val="0"/>
              <w:widowControl/>
              <w:suppressLineNumbers w:val="0"/>
              <w:spacing w:line="240" w:lineRule="auto"/>
              <w:ind w:firstLine="0" w:firstLineChars="0"/>
              <w:jc w:val="center"/>
              <w:textAlignment w:val="center"/>
              <w:rPr>
                <w:rFonts w:hint="eastAsia" w:ascii="Times New Roman" w:hAnsi="Times New Roman" w:eastAsia="宋体" w:cs="Times New Roman"/>
                <w:i w:val="0"/>
                <w:iCs w:val="0"/>
                <w:color w:val="000000"/>
                <w:kern w:val="0"/>
                <w:sz w:val="20"/>
                <w:szCs w:val="20"/>
                <w:u w:val="none"/>
                <w:lang w:val="en-US" w:eastAsia="zh-CN" w:bidi="ar"/>
              </w:rPr>
            </w:pPr>
          </w:p>
        </w:tc>
      </w:tr>
      <w:tr w14:paraId="04B8F84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525" w:type="pct"/>
            <w:noWrap w:val="0"/>
            <w:vAlign w:val="center"/>
          </w:tcPr>
          <w:p w14:paraId="1C2E1B28">
            <w:pPr>
              <w:keepNext w:val="0"/>
              <w:keepLines w:val="0"/>
              <w:widowControl/>
              <w:suppressLineNumbers w:val="0"/>
              <w:spacing w:line="240" w:lineRule="auto"/>
              <w:ind w:firstLine="0" w:firstLineChars="0"/>
              <w:jc w:val="center"/>
              <w:textAlignment w:val="center"/>
              <w:rPr>
                <w:rFonts w:hint="eastAsia" w:ascii="Times New Roman" w:hAnsi="Times New Roman" w:eastAsia="宋体" w:cs="Times New Roman"/>
                <w:i w:val="0"/>
                <w:iCs w:val="0"/>
                <w:color w:val="000000"/>
                <w:kern w:val="0"/>
                <w:sz w:val="20"/>
                <w:szCs w:val="20"/>
                <w:u w:val="none"/>
                <w:lang w:val="en-US" w:eastAsia="zh-CN" w:bidi="ar"/>
              </w:rPr>
            </w:pPr>
            <w:r>
              <w:rPr>
                <w:rFonts w:hint="eastAsia" w:ascii="Times New Roman" w:hAnsi="Times New Roman" w:eastAsia="宋体" w:cs="Times New Roman"/>
                <w:i w:val="0"/>
                <w:iCs w:val="0"/>
                <w:color w:val="000000"/>
                <w:kern w:val="0"/>
                <w:sz w:val="20"/>
                <w:szCs w:val="20"/>
                <w:u w:val="none"/>
                <w:lang w:val="en-US" w:eastAsia="zh-CN" w:bidi="ar"/>
              </w:rPr>
              <w:t>2</w:t>
            </w:r>
          </w:p>
        </w:tc>
        <w:tc>
          <w:tcPr>
            <w:tcW w:w="1474" w:type="pct"/>
            <w:noWrap w:val="0"/>
            <w:vAlign w:val="center"/>
          </w:tcPr>
          <w:p w14:paraId="317A046F">
            <w:pPr>
              <w:keepNext w:val="0"/>
              <w:keepLines w:val="0"/>
              <w:widowControl/>
              <w:suppressLineNumbers w:val="0"/>
              <w:spacing w:line="240" w:lineRule="auto"/>
              <w:ind w:firstLine="0" w:firstLineChars="0"/>
              <w:jc w:val="center"/>
              <w:textAlignment w:val="center"/>
              <w:rPr>
                <w:rFonts w:hint="eastAsia" w:ascii="Times New Roman" w:hAnsi="Times New Roman" w:eastAsia="宋体" w:cs="Times New Roman"/>
                <w:i w:val="0"/>
                <w:iCs w:val="0"/>
                <w:color w:val="000000"/>
                <w:kern w:val="0"/>
                <w:sz w:val="20"/>
                <w:szCs w:val="20"/>
                <w:u w:val="none"/>
                <w:lang w:val="en-US" w:eastAsia="zh-CN" w:bidi="ar"/>
              </w:rPr>
            </w:pPr>
            <w:r>
              <w:rPr>
                <w:rFonts w:hint="eastAsia" w:ascii="Times New Roman" w:hAnsi="Times New Roman" w:eastAsia="宋体" w:cs="Times New Roman"/>
                <w:i w:val="0"/>
                <w:iCs w:val="0"/>
                <w:color w:val="000000"/>
                <w:kern w:val="0"/>
                <w:sz w:val="20"/>
                <w:szCs w:val="20"/>
                <w:u w:val="none"/>
                <w:lang w:val="en-US" w:eastAsia="zh-CN" w:bidi="ar"/>
              </w:rPr>
              <w:t>消火栓管道</w:t>
            </w:r>
          </w:p>
        </w:tc>
        <w:tc>
          <w:tcPr>
            <w:tcW w:w="1000" w:type="pct"/>
            <w:noWrap w:val="0"/>
            <w:vAlign w:val="center"/>
          </w:tcPr>
          <w:p w14:paraId="45C3C8F7">
            <w:pPr>
              <w:keepNext w:val="0"/>
              <w:keepLines w:val="0"/>
              <w:widowControl/>
              <w:suppressLineNumbers w:val="0"/>
              <w:spacing w:line="240" w:lineRule="auto"/>
              <w:ind w:firstLine="0" w:firstLineChars="0"/>
              <w:jc w:val="center"/>
              <w:textAlignment w:val="center"/>
              <w:rPr>
                <w:rFonts w:hint="eastAsia" w:ascii="Times New Roman" w:hAnsi="Times New Roman" w:eastAsia="宋体" w:cs="Times New Roman"/>
                <w:i w:val="0"/>
                <w:iCs w:val="0"/>
                <w:color w:val="000000"/>
                <w:kern w:val="0"/>
                <w:sz w:val="20"/>
                <w:szCs w:val="20"/>
                <w:u w:val="none"/>
                <w:lang w:val="en-US" w:eastAsia="zh-CN" w:bidi="ar"/>
              </w:rPr>
            </w:pPr>
            <w:r>
              <w:rPr>
                <w:rFonts w:hint="eastAsia" w:ascii="Times New Roman" w:hAnsi="Times New Roman" w:eastAsia="宋体" w:cs="Times New Roman"/>
                <w:i w:val="0"/>
                <w:iCs w:val="0"/>
                <w:color w:val="000000"/>
                <w:kern w:val="0"/>
                <w:sz w:val="20"/>
                <w:szCs w:val="20"/>
                <w:u w:val="none"/>
                <w:lang w:val="en-US" w:eastAsia="zh-CN" w:bidi="ar"/>
              </w:rPr>
              <w:t>0.9</w:t>
            </w:r>
          </w:p>
        </w:tc>
        <w:tc>
          <w:tcPr>
            <w:tcW w:w="1000" w:type="pct"/>
            <w:noWrap w:val="0"/>
            <w:vAlign w:val="center"/>
          </w:tcPr>
          <w:p w14:paraId="7CC95033">
            <w:pPr>
              <w:keepNext w:val="0"/>
              <w:keepLines w:val="0"/>
              <w:widowControl/>
              <w:suppressLineNumbers w:val="0"/>
              <w:spacing w:line="240" w:lineRule="auto"/>
              <w:ind w:firstLine="0" w:firstLineChars="0"/>
              <w:jc w:val="center"/>
              <w:textAlignment w:val="center"/>
              <w:rPr>
                <w:rFonts w:hint="eastAsia" w:ascii="Times New Roman" w:hAnsi="Times New Roman" w:eastAsia="宋体" w:cs="Times New Roman"/>
                <w:i w:val="0"/>
                <w:iCs w:val="0"/>
                <w:color w:val="000000"/>
                <w:kern w:val="0"/>
                <w:sz w:val="20"/>
                <w:szCs w:val="20"/>
                <w:u w:val="none"/>
                <w:lang w:val="en-US" w:eastAsia="zh-CN" w:bidi="ar"/>
              </w:rPr>
            </w:pPr>
            <w:r>
              <w:rPr>
                <w:rFonts w:hint="eastAsia" w:ascii="Times New Roman" w:hAnsi="Times New Roman" w:eastAsia="宋体" w:cs="Times New Roman"/>
                <w:i w:val="0"/>
                <w:iCs w:val="0"/>
                <w:color w:val="000000"/>
                <w:kern w:val="0"/>
                <w:sz w:val="20"/>
                <w:szCs w:val="20"/>
                <w:u w:val="none"/>
                <w:lang w:val="en-US" w:eastAsia="zh-CN" w:bidi="ar"/>
              </w:rPr>
              <w:t>1.4</w:t>
            </w:r>
          </w:p>
        </w:tc>
        <w:tc>
          <w:tcPr>
            <w:tcW w:w="1000" w:type="pct"/>
            <w:noWrap w:val="0"/>
            <w:vAlign w:val="center"/>
          </w:tcPr>
          <w:p w14:paraId="386F49E2">
            <w:pPr>
              <w:keepNext w:val="0"/>
              <w:keepLines w:val="0"/>
              <w:widowControl/>
              <w:suppressLineNumbers w:val="0"/>
              <w:spacing w:line="240" w:lineRule="auto"/>
              <w:ind w:firstLine="0" w:firstLineChars="0"/>
              <w:jc w:val="center"/>
              <w:textAlignment w:val="center"/>
              <w:rPr>
                <w:rFonts w:hint="eastAsia" w:ascii="Times New Roman" w:hAnsi="Times New Roman" w:eastAsia="宋体" w:cs="Times New Roman"/>
                <w:i w:val="0"/>
                <w:iCs w:val="0"/>
                <w:color w:val="000000"/>
                <w:kern w:val="0"/>
                <w:sz w:val="20"/>
                <w:szCs w:val="20"/>
                <w:u w:val="none"/>
                <w:lang w:val="en-US" w:eastAsia="zh-CN" w:bidi="ar"/>
              </w:rPr>
            </w:pPr>
          </w:p>
        </w:tc>
      </w:tr>
      <w:tr w14:paraId="2477995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525" w:type="pct"/>
            <w:noWrap w:val="0"/>
            <w:vAlign w:val="center"/>
          </w:tcPr>
          <w:p w14:paraId="59413848">
            <w:pPr>
              <w:keepNext w:val="0"/>
              <w:keepLines w:val="0"/>
              <w:widowControl/>
              <w:suppressLineNumbers w:val="0"/>
              <w:spacing w:line="240" w:lineRule="auto"/>
              <w:ind w:firstLine="0" w:firstLineChars="0"/>
              <w:jc w:val="center"/>
              <w:textAlignment w:val="center"/>
              <w:rPr>
                <w:rFonts w:hint="eastAsia" w:ascii="Times New Roman" w:hAnsi="Times New Roman" w:eastAsia="宋体" w:cs="Times New Roman"/>
                <w:i w:val="0"/>
                <w:iCs w:val="0"/>
                <w:color w:val="000000"/>
                <w:kern w:val="0"/>
                <w:sz w:val="20"/>
                <w:szCs w:val="20"/>
                <w:u w:val="none"/>
                <w:lang w:val="en-US" w:eastAsia="zh-CN" w:bidi="ar"/>
              </w:rPr>
            </w:pPr>
            <w:r>
              <w:rPr>
                <w:rFonts w:hint="eastAsia" w:ascii="Times New Roman" w:hAnsi="Times New Roman" w:eastAsia="宋体" w:cs="Times New Roman"/>
                <w:i w:val="0"/>
                <w:iCs w:val="0"/>
                <w:color w:val="000000"/>
                <w:kern w:val="0"/>
                <w:sz w:val="20"/>
                <w:szCs w:val="20"/>
                <w:u w:val="none"/>
                <w:lang w:val="en-US" w:eastAsia="zh-CN" w:bidi="ar"/>
              </w:rPr>
              <w:t>3</w:t>
            </w:r>
          </w:p>
        </w:tc>
        <w:tc>
          <w:tcPr>
            <w:tcW w:w="1474" w:type="pct"/>
            <w:noWrap w:val="0"/>
            <w:vAlign w:val="center"/>
          </w:tcPr>
          <w:p w14:paraId="41DFCEB9">
            <w:pPr>
              <w:keepNext w:val="0"/>
              <w:keepLines w:val="0"/>
              <w:widowControl/>
              <w:suppressLineNumbers w:val="0"/>
              <w:spacing w:line="240" w:lineRule="auto"/>
              <w:ind w:firstLine="0" w:firstLineChars="0"/>
              <w:jc w:val="center"/>
              <w:textAlignment w:val="center"/>
              <w:rPr>
                <w:rFonts w:hint="eastAsia" w:ascii="Times New Roman" w:hAnsi="Times New Roman" w:eastAsia="宋体" w:cs="Times New Roman"/>
                <w:i w:val="0"/>
                <w:iCs w:val="0"/>
                <w:color w:val="000000"/>
                <w:kern w:val="0"/>
                <w:sz w:val="20"/>
                <w:szCs w:val="20"/>
                <w:u w:val="none"/>
                <w:lang w:val="en-US" w:eastAsia="zh-CN" w:bidi="ar"/>
              </w:rPr>
            </w:pPr>
            <w:r>
              <w:rPr>
                <w:rFonts w:hint="eastAsia" w:ascii="Times New Roman" w:hAnsi="Times New Roman" w:eastAsia="宋体" w:cs="Times New Roman"/>
                <w:i w:val="0"/>
                <w:iCs w:val="0"/>
                <w:color w:val="000000"/>
                <w:kern w:val="0"/>
                <w:sz w:val="20"/>
                <w:szCs w:val="20"/>
                <w:u w:val="none"/>
                <w:lang w:val="en-US" w:eastAsia="zh-CN" w:bidi="ar"/>
              </w:rPr>
              <w:t>喷淋管道</w:t>
            </w:r>
          </w:p>
        </w:tc>
        <w:tc>
          <w:tcPr>
            <w:tcW w:w="1000" w:type="pct"/>
            <w:noWrap w:val="0"/>
            <w:vAlign w:val="center"/>
          </w:tcPr>
          <w:p w14:paraId="449F5B1D">
            <w:pPr>
              <w:keepNext w:val="0"/>
              <w:keepLines w:val="0"/>
              <w:widowControl/>
              <w:suppressLineNumbers w:val="0"/>
              <w:spacing w:line="240" w:lineRule="auto"/>
              <w:ind w:firstLine="0" w:firstLineChars="0"/>
              <w:jc w:val="center"/>
              <w:textAlignment w:val="center"/>
              <w:rPr>
                <w:rFonts w:hint="eastAsia" w:ascii="Times New Roman" w:hAnsi="Times New Roman" w:eastAsia="宋体" w:cs="Times New Roman"/>
                <w:i w:val="0"/>
                <w:iCs w:val="0"/>
                <w:color w:val="000000"/>
                <w:kern w:val="0"/>
                <w:sz w:val="20"/>
                <w:szCs w:val="20"/>
                <w:u w:val="none"/>
                <w:lang w:val="en-US" w:eastAsia="zh-CN" w:bidi="ar"/>
              </w:rPr>
            </w:pPr>
            <w:r>
              <w:rPr>
                <w:rFonts w:hint="eastAsia" w:ascii="Times New Roman" w:hAnsi="Times New Roman" w:eastAsia="宋体" w:cs="Times New Roman"/>
                <w:i w:val="0"/>
                <w:iCs w:val="0"/>
                <w:color w:val="000000"/>
                <w:kern w:val="0"/>
                <w:sz w:val="20"/>
                <w:szCs w:val="20"/>
                <w:u w:val="none"/>
                <w:lang w:val="en-US" w:eastAsia="zh-CN" w:bidi="ar"/>
              </w:rPr>
              <w:t>0.9</w:t>
            </w:r>
          </w:p>
        </w:tc>
        <w:tc>
          <w:tcPr>
            <w:tcW w:w="1000" w:type="pct"/>
            <w:noWrap w:val="0"/>
            <w:vAlign w:val="center"/>
          </w:tcPr>
          <w:p w14:paraId="32CD54FF">
            <w:pPr>
              <w:keepNext w:val="0"/>
              <w:keepLines w:val="0"/>
              <w:widowControl/>
              <w:suppressLineNumbers w:val="0"/>
              <w:spacing w:line="240" w:lineRule="auto"/>
              <w:ind w:firstLine="0" w:firstLineChars="0"/>
              <w:jc w:val="center"/>
              <w:textAlignment w:val="center"/>
              <w:rPr>
                <w:rFonts w:hint="eastAsia" w:ascii="Times New Roman" w:hAnsi="Times New Roman" w:eastAsia="宋体" w:cs="Times New Roman"/>
                <w:i w:val="0"/>
                <w:iCs w:val="0"/>
                <w:color w:val="000000"/>
                <w:kern w:val="0"/>
                <w:sz w:val="20"/>
                <w:szCs w:val="20"/>
                <w:u w:val="none"/>
                <w:lang w:val="en-US" w:eastAsia="zh-CN" w:bidi="ar"/>
              </w:rPr>
            </w:pPr>
            <w:r>
              <w:rPr>
                <w:rFonts w:hint="eastAsia" w:ascii="Times New Roman" w:hAnsi="Times New Roman" w:eastAsia="宋体" w:cs="Times New Roman"/>
                <w:i w:val="0"/>
                <w:iCs w:val="0"/>
                <w:color w:val="000000"/>
                <w:kern w:val="0"/>
                <w:sz w:val="20"/>
                <w:szCs w:val="20"/>
                <w:u w:val="none"/>
                <w:lang w:val="en-US" w:eastAsia="zh-CN" w:bidi="ar"/>
              </w:rPr>
              <w:t>1.4</w:t>
            </w:r>
          </w:p>
        </w:tc>
        <w:tc>
          <w:tcPr>
            <w:tcW w:w="1000" w:type="pct"/>
            <w:noWrap w:val="0"/>
            <w:vAlign w:val="center"/>
          </w:tcPr>
          <w:p w14:paraId="0F58D7DA">
            <w:pPr>
              <w:keepNext w:val="0"/>
              <w:keepLines w:val="0"/>
              <w:widowControl/>
              <w:suppressLineNumbers w:val="0"/>
              <w:spacing w:line="240" w:lineRule="auto"/>
              <w:ind w:firstLine="0" w:firstLineChars="0"/>
              <w:jc w:val="center"/>
              <w:textAlignment w:val="center"/>
              <w:rPr>
                <w:rFonts w:hint="eastAsia" w:ascii="Times New Roman" w:hAnsi="Times New Roman" w:eastAsia="宋体" w:cs="Times New Roman"/>
                <w:i w:val="0"/>
                <w:iCs w:val="0"/>
                <w:color w:val="000000"/>
                <w:kern w:val="0"/>
                <w:sz w:val="20"/>
                <w:szCs w:val="20"/>
                <w:u w:val="none"/>
                <w:lang w:val="en-US" w:eastAsia="zh-CN" w:bidi="ar"/>
              </w:rPr>
            </w:pPr>
          </w:p>
        </w:tc>
      </w:tr>
      <w:tr w14:paraId="2E82D9B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525" w:type="pct"/>
            <w:noWrap w:val="0"/>
            <w:vAlign w:val="center"/>
          </w:tcPr>
          <w:p w14:paraId="06F6B3FA">
            <w:pPr>
              <w:keepNext w:val="0"/>
              <w:keepLines w:val="0"/>
              <w:widowControl/>
              <w:suppressLineNumbers w:val="0"/>
              <w:spacing w:line="240" w:lineRule="auto"/>
              <w:ind w:firstLine="0" w:firstLineChars="0"/>
              <w:jc w:val="center"/>
              <w:textAlignment w:val="center"/>
              <w:rPr>
                <w:rFonts w:hint="eastAsia" w:ascii="Times New Roman" w:hAnsi="Times New Roman" w:eastAsia="宋体" w:cs="Times New Roman"/>
                <w:i w:val="0"/>
                <w:iCs w:val="0"/>
                <w:color w:val="000000"/>
                <w:kern w:val="0"/>
                <w:sz w:val="20"/>
                <w:szCs w:val="20"/>
                <w:u w:val="none"/>
                <w:lang w:val="en-US" w:eastAsia="zh-CN" w:bidi="ar"/>
              </w:rPr>
            </w:pPr>
            <w:r>
              <w:rPr>
                <w:rFonts w:hint="eastAsia" w:ascii="Times New Roman" w:hAnsi="Times New Roman" w:eastAsia="宋体" w:cs="Times New Roman"/>
                <w:i w:val="0"/>
                <w:iCs w:val="0"/>
                <w:color w:val="000000"/>
                <w:kern w:val="0"/>
                <w:sz w:val="20"/>
                <w:szCs w:val="20"/>
                <w:u w:val="none"/>
                <w:lang w:val="en-US" w:eastAsia="zh-CN" w:bidi="ar"/>
              </w:rPr>
              <w:t>4</w:t>
            </w:r>
          </w:p>
        </w:tc>
        <w:tc>
          <w:tcPr>
            <w:tcW w:w="1474" w:type="pct"/>
            <w:noWrap w:val="0"/>
            <w:vAlign w:val="center"/>
          </w:tcPr>
          <w:p w14:paraId="34CA7D24">
            <w:pPr>
              <w:keepNext w:val="0"/>
              <w:keepLines w:val="0"/>
              <w:widowControl/>
              <w:suppressLineNumbers w:val="0"/>
              <w:spacing w:line="240" w:lineRule="auto"/>
              <w:ind w:firstLine="0" w:firstLineChars="0"/>
              <w:jc w:val="center"/>
              <w:textAlignment w:val="center"/>
              <w:rPr>
                <w:rFonts w:hint="eastAsia" w:ascii="Times New Roman" w:hAnsi="Times New Roman" w:eastAsia="宋体" w:cs="Times New Roman"/>
                <w:i w:val="0"/>
                <w:iCs w:val="0"/>
                <w:color w:val="000000"/>
                <w:kern w:val="0"/>
                <w:sz w:val="20"/>
                <w:szCs w:val="20"/>
                <w:u w:val="none"/>
                <w:lang w:val="en-US" w:eastAsia="zh-CN" w:bidi="ar"/>
              </w:rPr>
            </w:pPr>
            <w:r>
              <w:rPr>
                <w:rFonts w:hint="eastAsia" w:ascii="Times New Roman" w:hAnsi="Times New Roman" w:eastAsia="宋体" w:cs="Times New Roman"/>
                <w:i w:val="0"/>
                <w:iCs w:val="0"/>
                <w:color w:val="000000"/>
                <w:kern w:val="0"/>
                <w:sz w:val="20"/>
                <w:szCs w:val="20"/>
                <w:u w:val="none"/>
                <w:lang w:val="en-US" w:eastAsia="zh-CN" w:bidi="ar"/>
              </w:rPr>
              <w:t>生活污、废水管</w:t>
            </w:r>
          </w:p>
        </w:tc>
        <w:tc>
          <w:tcPr>
            <w:tcW w:w="1000" w:type="pct"/>
            <w:noWrap w:val="0"/>
            <w:vAlign w:val="center"/>
          </w:tcPr>
          <w:p w14:paraId="3165C330">
            <w:pPr>
              <w:keepNext w:val="0"/>
              <w:keepLines w:val="0"/>
              <w:widowControl/>
              <w:suppressLineNumbers w:val="0"/>
              <w:spacing w:line="240" w:lineRule="auto"/>
              <w:ind w:firstLine="0" w:firstLineChars="0"/>
              <w:jc w:val="center"/>
              <w:textAlignment w:val="center"/>
              <w:rPr>
                <w:rFonts w:hint="eastAsia" w:ascii="Times New Roman" w:hAnsi="Times New Roman" w:eastAsia="宋体" w:cs="Times New Roman"/>
                <w:i w:val="0"/>
                <w:iCs w:val="0"/>
                <w:color w:val="000000"/>
                <w:kern w:val="0"/>
                <w:sz w:val="20"/>
                <w:szCs w:val="20"/>
                <w:u w:val="none"/>
                <w:lang w:val="en-US" w:eastAsia="zh-CN" w:bidi="ar"/>
              </w:rPr>
            </w:pPr>
          </w:p>
        </w:tc>
        <w:tc>
          <w:tcPr>
            <w:tcW w:w="1000" w:type="pct"/>
            <w:noWrap w:val="0"/>
            <w:vAlign w:val="center"/>
          </w:tcPr>
          <w:p w14:paraId="144509F0">
            <w:pPr>
              <w:keepNext w:val="0"/>
              <w:keepLines w:val="0"/>
              <w:widowControl/>
              <w:suppressLineNumbers w:val="0"/>
              <w:spacing w:line="240" w:lineRule="auto"/>
              <w:ind w:firstLine="0" w:firstLineChars="0"/>
              <w:jc w:val="center"/>
              <w:textAlignment w:val="center"/>
              <w:rPr>
                <w:rFonts w:hint="eastAsia" w:ascii="Times New Roman" w:hAnsi="Times New Roman" w:eastAsia="宋体" w:cs="Times New Roman"/>
                <w:i w:val="0"/>
                <w:iCs w:val="0"/>
                <w:color w:val="000000"/>
                <w:kern w:val="0"/>
                <w:sz w:val="20"/>
                <w:szCs w:val="20"/>
                <w:u w:val="none"/>
                <w:lang w:val="en-US" w:eastAsia="zh-CN" w:bidi="ar"/>
              </w:rPr>
            </w:pPr>
            <w:r>
              <w:rPr>
                <w:rFonts w:hint="eastAsia" w:ascii="Times New Roman" w:hAnsi="Times New Roman" w:eastAsia="宋体" w:cs="Times New Roman"/>
                <w:i w:val="0"/>
                <w:iCs w:val="0"/>
                <w:color w:val="000000"/>
                <w:kern w:val="0"/>
                <w:sz w:val="20"/>
                <w:szCs w:val="20"/>
                <w:u w:val="none"/>
                <w:lang w:val="en-US" w:eastAsia="zh-CN" w:bidi="ar"/>
              </w:rPr>
              <w:t>通水试验</w:t>
            </w:r>
          </w:p>
        </w:tc>
        <w:tc>
          <w:tcPr>
            <w:tcW w:w="1000" w:type="pct"/>
            <w:noWrap w:val="0"/>
            <w:vAlign w:val="center"/>
          </w:tcPr>
          <w:p w14:paraId="57569A8F">
            <w:pPr>
              <w:keepNext w:val="0"/>
              <w:keepLines w:val="0"/>
              <w:widowControl/>
              <w:suppressLineNumbers w:val="0"/>
              <w:spacing w:line="240" w:lineRule="auto"/>
              <w:ind w:firstLine="0" w:firstLineChars="0"/>
              <w:jc w:val="center"/>
              <w:textAlignment w:val="center"/>
              <w:rPr>
                <w:rFonts w:hint="eastAsia" w:ascii="Times New Roman" w:hAnsi="Times New Roman" w:eastAsia="宋体" w:cs="Times New Roman"/>
                <w:i w:val="0"/>
                <w:iCs w:val="0"/>
                <w:color w:val="000000"/>
                <w:kern w:val="0"/>
                <w:sz w:val="20"/>
                <w:szCs w:val="20"/>
                <w:u w:val="none"/>
                <w:lang w:val="en-US" w:eastAsia="zh-CN" w:bidi="ar"/>
              </w:rPr>
            </w:pPr>
          </w:p>
        </w:tc>
      </w:tr>
      <w:tr w14:paraId="0587C5C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525" w:type="pct"/>
            <w:noWrap w:val="0"/>
            <w:vAlign w:val="center"/>
          </w:tcPr>
          <w:p w14:paraId="377F66AB">
            <w:pPr>
              <w:keepNext w:val="0"/>
              <w:keepLines w:val="0"/>
              <w:widowControl/>
              <w:suppressLineNumbers w:val="0"/>
              <w:spacing w:line="240" w:lineRule="auto"/>
              <w:ind w:firstLine="0" w:firstLineChars="0"/>
              <w:jc w:val="center"/>
              <w:textAlignment w:val="center"/>
              <w:rPr>
                <w:rFonts w:hint="eastAsia" w:ascii="Times New Roman" w:hAnsi="Times New Roman" w:eastAsia="宋体" w:cs="Times New Roman"/>
                <w:i w:val="0"/>
                <w:iCs w:val="0"/>
                <w:color w:val="000000"/>
                <w:kern w:val="0"/>
                <w:sz w:val="20"/>
                <w:szCs w:val="20"/>
                <w:u w:val="none"/>
                <w:lang w:val="en-US" w:eastAsia="zh-CN" w:bidi="ar"/>
              </w:rPr>
            </w:pPr>
            <w:r>
              <w:rPr>
                <w:rFonts w:hint="eastAsia" w:ascii="Times New Roman" w:hAnsi="Times New Roman" w:eastAsia="宋体" w:cs="Times New Roman"/>
                <w:i w:val="0"/>
                <w:iCs w:val="0"/>
                <w:color w:val="000000"/>
                <w:kern w:val="0"/>
                <w:sz w:val="20"/>
                <w:szCs w:val="20"/>
                <w:u w:val="none"/>
                <w:lang w:val="en-US" w:eastAsia="zh-CN" w:bidi="ar"/>
              </w:rPr>
              <w:t>5</w:t>
            </w:r>
          </w:p>
        </w:tc>
        <w:tc>
          <w:tcPr>
            <w:tcW w:w="1474" w:type="pct"/>
            <w:noWrap w:val="0"/>
            <w:vAlign w:val="center"/>
          </w:tcPr>
          <w:p w14:paraId="6EC5F409">
            <w:pPr>
              <w:keepNext w:val="0"/>
              <w:keepLines w:val="0"/>
              <w:widowControl/>
              <w:suppressLineNumbers w:val="0"/>
              <w:spacing w:line="240" w:lineRule="auto"/>
              <w:ind w:firstLine="0" w:firstLineChars="0"/>
              <w:jc w:val="center"/>
              <w:textAlignment w:val="center"/>
              <w:rPr>
                <w:rFonts w:hint="eastAsia" w:ascii="Times New Roman" w:hAnsi="Times New Roman" w:eastAsia="宋体" w:cs="Times New Roman"/>
                <w:i w:val="0"/>
                <w:iCs w:val="0"/>
                <w:color w:val="000000"/>
                <w:kern w:val="0"/>
                <w:sz w:val="20"/>
                <w:szCs w:val="20"/>
                <w:u w:val="none"/>
                <w:lang w:val="en-US" w:eastAsia="zh-CN" w:bidi="ar"/>
              </w:rPr>
            </w:pPr>
            <w:r>
              <w:rPr>
                <w:rFonts w:hint="eastAsia" w:ascii="Times New Roman" w:hAnsi="Times New Roman" w:eastAsia="宋体" w:cs="Times New Roman"/>
                <w:i w:val="0"/>
                <w:iCs w:val="0"/>
                <w:color w:val="000000"/>
                <w:kern w:val="0"/>
                <w:sz w:val="20"/>
                <w:szCs w:val="20"/>
                <w:u w:val="none"/>
                <w:lang w:val="en-US" w:eastAsia="zh-CN" w:bidi="ar"/>
              </w:rPr>
              <w:t>雨水管</w:t>
            </w:r>
          </w:p>
        </w:tc>
        <w:tc>
          <w:tcPr>
            <w:tcW w:w="1000" w:type="pct"/>
            <w:noWrap w:val="0"/>
            <w:vAlign w:val="center"/>
          </w:tcPr>
          <w:p w14:paraId="11410CBD">
            <w:pPr>
              <w:keepNext w:val="0"/>
              <w:keepLines w:val="0"/>
              <w:widowControl/>
              <w:suppressLineNumbers w:val="0"/>
              <w:spacing w:line="240" w:lineRule="auto"/>
              <w:ind w:firstLine="0" w:firstLineChars="0"/>
              <w:jc w:val="center"/>
              <w:textAlignment w:val="center"/>
              <w:rPr>
                <w:rFonts w:hint="eastAsia" w:ascii="Times New Roman" w:hAnsi="Times New Roman" w:eastAsia="宋体" w:cs="Times New Roman"/>
                <w:i w:val="0"/>
                <w:iCs w:val="0"/>
                <w:color w:val="000000"/>
                <w:kern w:val="0"/>
                <w:sz w:val="20"/>
                <w:szCs w:val="20"/>
                <w:u w:val="none"/>
                <w:lang w:val="en-US" w:eastAsia="zh-CN" w:bidi="ar"/>
              </w:rPr>
            </w:pPr>
          </w:p>
        </w:tc>
        <w:tc>
          <w:tcPr>
            <w:tcW w:w="1000" w:type="pct"/>
            <w:noWrap w:val="0"/>
            <w:vAlign w:val="center"/>
          </w:tcPr>
          <w:p w14:paraId="7C2F40FD">
            <w:pPr>
              <w:keepNext w:val="0"/>
              <w:keepLines w:val="0"/>
              <w:widowControl/>
              <w:suppressLineNumbers w:val="0"/>
              <w:spacing w:line="240" w:lineRule="auto"/>
              <w:ind w:firstLine="0" w:firstLineChars="0"/>
              <w:jc w:val="center"/>
              <w:textAlignment w:val="center"/>
              <w:rPr>
                <w:rFonts w:hint="eastAsia" w:ascii="Times New Roman" w:hAnsi="Times New Roman" w:eastAsia="宋体" w:cs="Times New Roman"/>
                <w:i w:val="0"/>
                <w:iCs w:val="0"/>
                <w:color w:val="000000"/>
                <w:kern w:val="0"/>
                <w:sz w:val="20"/>
                <w:szCs w:val="20"/>
                <w:u w:val="none"/>
                <w:lang w:val="en-US" w:eastAsia="zh-CN" w:bidi="ar"/>
              </w:rPr>
            </w:pPr>
            <w:r>
              <w:rPr>
                <w:rFonts w:hint="eastAsia" w:ascii="Times New Roman" w:hAnsi="Times New Roman" w:eastAsia="宋体" w:cs="Times New Roman"/>
                <w:i w:val="0"/>
                <w:iCs w:val="0"/>
                <w:color w:val="000000"/>
                <w:kern w:val="0"/>
                <w:sz w:val="20"/>
                <w:szCs w:val="20"/>
                <w:u w:val="none"/>
                <w:lang w:val="en-US" w:eastAsia="zh-CN" w:bidi="ar"/>
              </w:rPr>
              <w:t>通水试验</w:t>
            </w:r>
          </w:p>
        </w:tc>
        <w:tc>
          <w:tcPr>
            <w:tcW w:w="1000" w:type="pct"/>
            <w:noWrap w:val="0"/>
            <w:vAlign w:val="center"/>
          </w:tcPr>
          <w:p w14:paraId="7E8D5DDE">
            <w:pPr>
              <w:keepNext w:val="0"/>
              <w:keepLines w:val="0"/>
              <w:widowControl/>
              <w:suppressLineNumbers w:val="0"/>
              <w:spacing w:line="240" w:lineRule="auto"/>
              <w:ind w:firstLine="0" w:firstLineChars="0"/>
              <w:jc w:val="center"/>
              <w:textAlignment w:val="center"/>
              <w:rPr>
                <w:rFonts w:hint="eastAsia" w:ascii="Times New Roman" w:hAnsi="Times New Roman" w:eastAsia="宋体" w:cs="Times New Roman"/>
                <w:i w:val="0"/>
                <w:iCs w:val="0"/>
                <w:color w:val="000000"/>
                <w:kern w:val="0"/>
                <w:sz w:val="20"/>
                <w:szCs w:val="20"/>
                <w:u w:val="none"/>
                <w:lang w:val="en-US" w:eastAsia="zh-CN" w:bidi="ar"/>
              </w:rPr>
            </w:pPr>
          </w:p>
        </w:tc>
      </w:tr>
    </w:tbl>
    <w:p w14:paraId="155E6444">
      <w:pPr>
        <w:pStyle w:val="22"/>
        <w:bidi w:val="0"/>
        <w:rPr>
          <w:rFonts w:hint="default" w:cs="Times New Roman"/>
          <w:b/>
          <w:bCs/>
          <w:lang w:val="en-US" w:eastAsia="zh-CN"/>
        </w:rPr>
      </w:pPr>
      <w:bookmarkStart w:id="215" w:name="_Toc13605"/>
      <w:r>
        <w:rPr>
          <w:rFonts w:hint="eastAsia" w:cs="Times New Roman"/>
          <w:b/>
          <w:bCs/>
          <w:lang w:val="en-US" w:eastAsia="zh-CN"/>
        </w:rPr>
        <w:t>1.3.8消防设计</w:t>
      </w:r>
      <w:bookmarkEnd w:id="215"/>
    </w:p>
    <w:p w14:paraId="40815CCD">
      <w:pPr>
        <w:pStyle w:val="22"/>
        <w:bidi w:val="0"/>
        <w:rPr>
          <w:rFonts w:hint="eastAsia"/>
        </w:rPr>
      </w:pPr>
      <w:r>
        <w:rPr>
          <w:rFonts w:hint="eastAsia"/>
        </w:rPr>
        <w:t>一、设计依据</w:t>
      </w:r>
    </w:p>
    <w:p w14:paraId="170C9201">
      <w:pPr>
        <w:pStyle w:val="22"/>
        <w:bidi w:val="0"/>
        <w:rPr>
          <w:rFonts w:hint="eastAsia"/>
        </w:rPr>
      </w:pPr>
      <w:r>
        <w:rPr>
          <w:rFonts w:hint="eastAsia"/>
        </w:rPr>
        <w:t>《建筑设计防火规范》GB 50016-2014</w:t>
      </w:r>
      <w:r>
        <w:rPr>
          <w:rFonts w:hint="eastAsia"/>
          <w:lang w:eastAsia="zh-CN"/>
        </w:rPr>
        <w:t>（</w:t>
      </w:r>
      <w:r>
        <w:rPr>
          <w:rFonts w:hint="eastAsia"/>
        </w:rPr>
        <w:t>2018版</w:t>
      </w:r>
      <w:r>
        <w:rPr>
          <w:rFonts w:hint="eastAsia"/>
          <w:lang w:eastAsia="zh-CN"/>
        </w:rPr>
        <w:t>）</w:t>
      </w:r>
      <w:r>
        <w:rPr>
          <w:rFonts w:hint="eastAsia"/>
        </w:rPr>
        <w:t>；</w:t>
      </w:r>
    </w:p>
    <w:p w14:paraId="1094EF9D">
      <w:pPr>
        <w:pStyle w:val="22"/>
        <w:bidi w:val="0"/>
        <w:rPr>
          <w:rFonts w:hint="eastAsia"/>
        </w:rPr>
      </w:pPr>
      <w:r>
        <w:rPr>
          <w:rFonts w:hint="eastAsia"/>
        </w:rPr>
        <w:t>《建筑防火通用规范》GB 55037-2022；</w:t>
      </w:r>
    </w:p>
    <w:p w14:paraId="7CB25806">
      <w:pPr>
        <w:pStyle w:val="22"/>
        <w:bidi w:val="0"/>
        <w:rPr>
          <w:rFonts w:hint="eastAsia"/>
        </w:rPr>
      </w:pPr>
      <w:r>
        <w:rPr>
          <w:rFonts w:hint="eastAsia"/>
        </w:rPr>
        <w:t>《建筑内部装修设计防火规范》GB 50222-2017；</w:t>
      </w:r>
    </w:p>
    <w:p w14:paraId="6300D4A4">
      <w:pPr>
        <w:pStyle w:val="22"/>
        <w:bidi w:val="0"/>
        <w:rPr>
          <w:rFonts w:hint="eastAsia"/>
        </w:rPr>
      </w:pPr>
      <w:r>
        <w:rPr>
          <w:rFonts w:hint="eastAsia"/>
        </w:rPr>
        <w:t>《消防设施通用规范》GB55036-2022；</w:t>
      </w:r>
    </w:p>
    <w:p w14:paraId="44043905">
      <w:pPr>
        <w:pStyle w:val="22"/>
        <w:bidi w:val="0"/>
        <w:rPr>
          <w:rFonts w:hint="eastAsia"/>
        </w:rPr>
      </w:pPr>
      <w:r>
        <w:rPr>
          <w:rFonts w:hint="eastAsia"/>
        </w:rPr>
        <w:t>二、建筑物防火</w:t>
      </w:r>
    </w:p>
    <w:p w14:paraId="44B69BC7">
      <w:pPr>
        <w:pStyle w:val="22"/>
        <w:bidi w:val="0"/>
        <w:rPr>
          <w:rFonts w:hint="eastAsia"/>
        </w:rPr>
      </w:pPr>
      <w:r>
        <w:rPr>
          <w:rFonts w:hint="eastAsia"/>
        </w:rPr>
        <w:t>1、建筑设计应符合国家现行有关建筑防火标准的规定。</w:t>
      </w:r>
    </w:p>
    <w:p w14:paraId="6F87DA8F">
      <w:pPr>
        <w:pStyle w:val="22"/>
        <w:bidi w:val="0"/>
        <w:rPr>
          <w:rFonts w:hint="eastAsia"/>
        </w:rPr>
      </w:pPr>
      <w:r>
        <w:rPr>
          <w:rFonts w:hint="eastAsia"/>
        </w:rPr>
        <w:t>2、建筑消防设计</w:t>
      </w:r>
    </w:p>
    <w:p w14:paraId="64AAF420">
      <w:pPr>
        <w:pStyle w:val="22"/>
        <w:bidi w:val="0"/>
        <w:rPr>
          <w:rFonts w:hint="eastAsia"/>
        </w:rPr>
      </w:pPr>
      <w:r>
        <w:rPr>
          <w:rFonts w:hint="eastAsia"/>
        </w:rPr>
        <w:t>各建筑的防火分区结合建筑布局和功能分区划分。</w:t>
      </w:r>
    </w:p>
    <w:p w14:paraId="61401C4E">
      <w:pPr>
        <w:pStyle w:val="22"/>
        <w:bidi w:val="0"/>
        <w:rPr>
          <w:rFonts w:hint="eastAsia"/>
        </w:rPr>
      </w:pPr>
      <w:r>
        <w:rPr>
          <w:rFonts w:hint="eastAsia"/>
        </w:rPr>
        <w:t>处理站房，火灾危险性类别为丙类厂房，建筑耐火等级二级，建筑面积1735平方米，地上二层，一二层均可直通室外，楼梯间仅作为联通作用</w:t>
      </w:r>
    </w:p>
    <w:p w14:paraId="7D27398E">
      <w:pPr>
        <w:pStyle w:val="22"/>
        <w:bidi w:val="0"/>
        <w:rPr>
          <w:rFonts w:hint="eastAsia"/>
        </w:rPr>
      </w:pPr>
      <w:r>
        <w:rPr>
          <w:rFonts w:hint="eastAsia"/>
        </w:rPr>
        <w:t>整栋建筑为一个防火分区；建筑功能均为设备用房及处理车间，室内仅有小于5人的检修工作人员，提供疏散宽度满足人员需求；建筑内任一点距最近安全出口直线距离小于60米。走道、安全出口等宽度满足相关规范要求。</w:t>
      </w:r>
    </w:p>
    <w:p w14:paraId="0B9D0B88">
      <w:pPr>
        <w:pStyle w:val="22"/>
        <w:bidi w:val="0"/>
        <w:rPr>
          <w:rFonts w:hint="eastAsia"/>
        </w:rPr>
      </w:pPr>
      <w:r>
        <w:rPr>
          <w:rFonts w:hint="eastAsia"/>
        </w:rPr>
        <w:t>环卫运营中心，建筑类型为公共建筑，建筑耐火等级地下一级，地上二级，建筑面积</w:t>
      </w:r>
      <w:r>
        <w:rPr>
          <w:rFonts w:hint="eastAsia"/>
          <w:lang w:val="en-US" w:eastAsia="zh-CN"/>
        </w:rPr>
        <w:t>800</w:t>
      </w:r>
      <w:r>
        <w:rPr>
          <w:rFonts w:hint="eastAsia"/>
        </w:rPr>
        <w:t>平方米，地下一层，地上二层，除去消防水池单层计入疏散面积小于200平方米，设有一部疏散楼梯。</w:t>
      </w:r>
    </w:p>
    <w:p w14:paraId="7A298772">
      <w:pPr>
        <w:pStyle w:val="22"/>
        <w:bidi w:val="0"/>
        <w:rPr>
          <w:rFonts w:hint="eastAsia"/>
        </w:rPr>
      </w:pPr>
      <w:r>
        <w:rPr>
          <w:rFonts w:hint="eastAsia"/>
        </w:rPr>
        <w:t>建筑地下为一个防火分区</w:t>
      </w:r>
      <w:r>
        <w:rPr>
          <w:rFonts w:hint="eastAsia"/>
          <w:lang w:eastAsia="zh-CN"/>
        </w:rPr>
        <w:t>。</w:t>
      </w:r>
      <w:r>
        <w:rPr>
          <w:rFonts w:hint="eastAsia"/>
        </w:rPr>
        <w:t>地上为一个防火分区；地下功能均为设备用房及库房，地上提供总疏散宽度满足需要总疏散宽度；楼梯首层的疏散门距直通室外的门距离小于15m，一层二层房间疏散门至最近安全出口的直线距离不大于22m或可直通室外。楼梯、走道、安全出口等宽度满足相关规范要求。</w:t>
      </w:r>
    </w:p>
    <w:p w14:paraId="4E70DAC8">
      <w:pPr>
        <w:pStyle w:val="22"/>
        <w:bidi w:val="0"/>
        <w:rPr>
          <w:rFonts w:hint="eastAsia"/>
        </w:rPr>
      </w:pPr>
      <w:r>
        <w:rPr>
          <w:rFonts w:hint="eastAsia"/>
        </w:rPr>
        <w:t>三、消防给水</w:t>
      </w:r>
    </w:p>
    <w:p w14:paraId="2B6D003E">
      <w:pPr>
        <w:pStyle w:val="22"/>
        <w:bidi w:val="0"/>
        <w:rPr>
          <w:rFonts w:hint="eastAsia"/>
        </w:rPr>
      </w:pPr>
      <w:r>
        <w:rPr>
          <w:rFonts w:hint="eastAsia"/>
        </w:rPr>
        <w:t>1、消防贮水箱</w:t>
      </w:r>
    </w:p>
    <w:p w14:paraId="70C5DE6B">
      <w:pPr>
        <w:pStyle w:val="22"/>
        <w:bidi w:val="0"/>
        <w:rPr>
          <w:rFonts w:hint="eastAsia"/>
        </w:rPr>
      </w:pPr>
      <w:r>
        <w:rPr>
          <w:rFonts w:hint="eastAsia"/>
        </w:rPr>
        <w:t>根据《建筑设计防火规范》GB50016-2014规定，在建筑物的最高部位设消防贮水箱。</w:t>
      </w:r>
    </w:p>
    <w:p w14:paraId="27AACF52">
      <w:pPr>
        <w:pStyle w:val="22"/>
        <w:bidi w:val="0"/>
        <w:rPr>
          <w:rFonts w:hint="eastAsia"/>
        </w:rPr>
      </w:pPr>
      <w:r>
        <w:rPr>
          <w:rFonts w:hint="eastAsia"/>
        </w:rPr>
        <w:t>2、室内消火栓系统</w:t>
      </w:r>
    </w:p>
    <w:p w14:paraId="49028B31">
      <w:pPr>
        <w:pStyle w:val="22"/>
        <w:bidi w:val="0"/>
        <w:rPr>
          <w:rFonts w:hint="eastAsia"/>
        </w:rPr>
      </w:pPr>
      <w:r>
        <w:rPr>
          <w:rFonts w:hint="eastAsia"/>
        </w:rPr>
        <w:t>消防立管管径应≥DN100，室内消火栓布置能保证同层有1支水枪充实水柱同时达到室内任何部位。</w:t>
      </w:r>
    </w:p>
    <w:p w14:paraId="2172BAA3">
      <w:pPr>
        <w:pStyle w:val="22"/>
        <w:bidi w:val="0"/>
        <w:rPr>
          <w:rFonts w:hint="eastAsia"/>
        </w:rPr>
      </w:pPr>
      <w:r>
        <w:rPr>
          <w:rFonts w:hint="eastAsia"/>
        </w:rPr>
        <w:t>3、室外消防给水系统</w:t>
      </w:r>
    </w:p>
    <w:p w14:paraId="4B18FA2A">
      <w:pPr>
        <w:pStyle w:val="22"/>
        <w:bidi w:val="0"/>
        <w:rPr>
          <w:rFonts w:hint="eastAsia"/>
        </w:rPr>
      </w:pPr>
      <w:r>
        <w:rPr>
          <w:rFonts w:hint="eastAsia"/>
        </w:rPr>
        <w:t>室外给水管沿消防车道布置，管径为不小于DN100，其上设室外消火栓，以满足室外消防用水。</w:t>
      </w:r>
    </w:p>
    <w:p w14:paraId="29462942">
      <w:pPr>
        <w:pStyle w:val="22"/>
        <w:bidi w:val="0"/>
        <w:rPr>
          <w:rFonts w:hint="eastAsia"/>
        </w:rPr>
      </w:pPr>
      <w:r>
        <w:rPr>
          <w:rFonts w:hint="eastAsia"/>
        </w:rPr>
        <w:t>4、各建筑内均配置相应的建筑灭火器。</w:t>
      </w:r>
    </w:p>
    <w:p w14:paraId="1A8CEFD1">
      <w:pPr>
        <w:pStyle w:val="22"/>
        <w:bidi w:val="0"/>
        <w:rPr>
          <w:rFonts w:hint="eastAsia"/>
        </w:rPr>
      </w:pPr>
      <w:r>
        <w:rPr>
          <w:rFonts w:hint="eastAsia"/>
        </w:rPr>
        <w:t>5、室内外消火栓系统火灾延续时间为2小时。</w:t>
      </w:r>
    </w:p>
    <w:p w14:paraId="51A85DFC">
      <w:pPr>
        <w:pStyle w:val="22"/>
        <w:bidi w:val="0"/>
        <w:rPr>
          <w:rFonts w:hint="eastAsia"/>
        </w:rPr>
      </w:pPr>
      <w:r>
        <w:rPr>
          <w:rFonts w:hint="eastAsia"/>
        </w:rPr>
        <w:t>四、电气防火</w:t>
      </w:r>
    </w:p>
    <w:p w14:paraId="74E8117C">
      <w:pPr>
        <w:pStyle w:val="22"/>
        <w:bidi w:val="0"/>
        <w:rPr>
          <w:rFonts w:hint="eastAsia"/>
        </w:rPr>
      </w:pPr>
      <w:r>
        <w:rPr>
          <w:rFonts w:hint="eastAsia"/>
        </w:rPr>
        <w:t>建筑主要通道和楼梯部位设疏散照明，选用自带电源的应急照明灯具，应急时间大于90分钟。配电总箱的总进线开关选用带有分离脱扣附件装置，以便火警时由消防中心切断有关电源。消防动力负荷采用阻燃电线穿钢管敷设。</w:t>
      </w:r>
    </w:p>
    <w:p w14:paraId="6ACDC40E">
      <w:pPr>
        <w:pStyle w:val="22"/>
        <w:bidi w:val="0"/>
        <w:rPr>
          <w:rFonts w:hint="eastAsia"/>
        </w:rPr>
      </w:pPr>
      <w:r>
        <w:rPr>
          <w:rFonts w:hint="eastAsia"/>
        </w:rPr>
        <w:t>五、施工阶段消防措施</w:t>
      </w:r>
    </w:p>
    <w:p w14:paraId="278D913E">
      <w:pPr>
        <w:pStyle w:val="22"/>
        <w:bidi w:val="0"/>
        <w:rPr>
          <w:rFonts w:hint="eastAsia"/>
        </w:rPr>
      </w:pPr>
      <w:r>
        <w:rPr>
          <w:rFonts w:hint="eastAsia"/>
        </w:rPr>
        <w:t>项目在建设过程中建立防火安全制度，严格控制火源，加强消防意识。施工现场明确划分用火作业，易燃易爆材料堆积场、仓库、易燃废品集中站和生活区等区域。</w:t>
      </w:r>
    </w:p>
    <w:p w14:paraId="02189B35">
      <w:pPr>
        <w:pStyle w:val="22"/>
        <w:bidi w:val="0"/>
        <w:rPr>
          <w:rFonts w:hint="eastAsia"/>
        </w:rPr>
      </w:pPr>
      <w:r>
        <w:rPr>
          <w:rFonts w:hint="eastAsia"/>
        </w:rPr>
        <w:t>成立相关安全小组，负责工程安全、消防等方面的管理，并</w:t>
      </w:r>
    </w:p>
    <w:p w14:paraId="10D847F8">
      <w:pPr>
        <w:pStyle w:val="22"/>
        <w:bidi w:val="0"/>
        <w:rPr>
          <w:rFonts w:hint="eastAsia"/>
        </w:rPr>
      </w:pPr>
      <w:r>
        <w:rPr>
          <w:rFonts w:hint="eastAsia"/>
        </w:rPr>
        <w:t>定期对工作人员进行消防知识培训、根据实际情况跟组织方案对工作人员及工作周边民众进行消防实战演练，做到“预防为主，防患未然”。</w:t>
      </w:r>
    </w:p>
    <w:p w14:paraId="54CDCDCA">
      <w:pPr>
        <w:pStyle w:val="22"/>
        <w:bidi w:val="0"/>
        <w:rPr>
          <w:rFonts w:hint="eastAsia"/>
        </w:rPr>
      </w:pPr>
      <w:r>
        <w:rPr>
          <w:rFonts w:hint="eastAsia"/>
        </w:rPr>
        <w:t>六、运营阶段消防措施</w:t>
      </w:r>
    </w:p>
    <w:p w14:paraId="59C38000">
      <w:pPr>
        <w:ind w:firstLine="560"/>
      </w:pPr>
      <w:r>
        <w:rPr>
          <w:rFonts w:hint="eastAsia"/>
        </w:rPr>
        <w:t>按照“预防为主、防消结合”的消防工程指导方针，加强消防管理，预防和减少火灾事故的发生，保护生命财产安全，保障项目在运营期的正常进行</w:t>
      </w:r>
      <w:r>
        <w:rPr>
          <w:rFonts w:hint="eastAsia"/>
          <w:lang w:eastAsia="zh-CN"/>
        </w:rPr>
        <w:t>。</w:t>
      </w:r>
    </w:p>
    <w:p w14:paraId="43616870">
      <w:pPr>
        <w:pStyle w:val="3"/>
        <w:rPr>
          <w:rFonts w:hint="eastAsia"/>
        </w:rPr>
      </w:pPr>
      <w:r>
        <w:rPr>
          <w:rFonts w:hint="eastAsia"/>
        </w:rPr>
        <w:t>第二章 社会经济效益分析</w:t>
      </w:r>
    </w:p>
    <w:p w14:paraId="69C39360">
      <w:pPr>
        <w:pStyle w:val="4"/>
      </w:pPr>
      <w:bookmarkStart w:id="216" w:name="_Toc127041692"/>
      <w:r>
        <w:rPr>
          <w:rFonts w:hint="eastAsia"/>
        </w:rPr>
        <w:t>2.</w:t>
      </w:r>
      <w:r>
        <w:t>1</w:t>
      </w:r>
      <w:r>
        <w:rPr>
          <w:rFonts w:hint="eastAsia"/>
        </w:rPr>
        <w:t xml:space="preserve"> 项目经济效益</w:t>
      </w:r>
      <w:bookmarkEnd w:id="216"/>
    </w:p>
    <w:p w14:paraId="710996A0">
      <w:pPr>
        <w:ind w:firstLine="560"/>
        <w:rPr>
          <w:rFonts w:hint="eastAsia"/>
        </w:rPr>
      </w:pPr>
      <w:r>
        <w:rPr>
          <w:rFonts w:hint="eastAsia"/>
        </w:rPr>
        <w:t>项目建设所用的大部分施工材料和原辅材料将由本地区供给，这将给建筑材料业、运输业等相关行业带来发展机遇，对扩大内需发挥积极作用，对提高区域GDP提供一定助力，可直接促进区域经济的发展。同时，在运营过程中，项目将产生联动辐射效益，带动运输业、商超等行业发展，能在一定程度上拉动经济。</w:t>
      </w:r>
    </w:p>
    <w:p w14:paraId="487A12BD">
      <w:pPr>
        <w:ind w:firstLine="560"/>
      </w:pPr>
      <w:r>
        <w:rPr>
          <w:rFonts w:hint="eastAsia"/>
        </w:rPr>
        <w:t>该项目建成后，能推动雁江区整个垃圾处理处理体系的发展，对环境保护和生态安全有了更积极的作用。同时通过科学、有效的垃圾处理，可以减少垃圾对环境的污染，改善环境质量，保护生态安全。这不仅有助于提升雁江区的城市形象和品质，还为其提供了一个更加宜居、宜业的环境，将有效改善雁江区的投资环境，吸引更多投资者和消费者前来驻足，拉动经济发展。因此，本项目的建设，将有利于推动经济的可持续发展。</w:t>
      </w:r>
    </w:p>
    <w:p w14:paraId="4F5E07BB">
      <w:pPr>
        <w:pStyle w:val="4"/>
      </w:pPr>
      <w:bookmarkStart w:id="217" w:name="_Toc127041695"/>
      <w:r>
        <w:rPr>
          <w:rFonts w:hint="eastAsia"/>
        </w:rPr>
        <w:t>2.</w:t>
      </w:r>
      <w:r>
        <w:t>2</w:t>
      </w:r>
      <w:r>
        <w:rPr>
          <w:rFonts w:hint="eastAsia"/>
        </w:rPr>
        <w:t xml:space="preserve"> 项目社会效益</w:t>
      </w:r>
      <w:bookmarkEnd w:id="217"/>
    </w:p>
    <w:p w14:paraId="3A1017E4">
      <w:pPr>
        <w:ind w:firstLine="560"/>
        <w:rPr>
          <w:rFonts w:hint="eastAsia"/>
        </w:rPr>
      </w:pPr>
      <w:r>
        <w:rPr>
          <w:rFonts w:hint="eastAsia"/>
        </w:rPr>
        <w:t>项目实施后，通过建设垃圾中转站，实现垃圾的分类、压缩和转运，减少垃圾处理的时间和成本，提高垃圾处理的效率。将垃圾中转站建设在距离城区较近的位置，可以减少垃圾运输的距离和时间，降低运输成本，提高运输效率。垃圾中转站可以实现垃圾的分类和压缩处理，促进垃圾资源化利用，减少对自然环境的污染，实现可持续发展。</w:t>
      </w:r>
    </w:p>
    <w:p w14:paraId="29AFCC98">
      <w:pPr>
        <w:ind w:firstLine="560"/>
        <w:rPr>
          <w:rFonts w:hint="eastAsia"/>
        </w:rPr>
      </w:pPr>
      <w:r>
        <w:rPr>
          <w:rFonts w:hint="eastAsia"/>
        </w:rPr>
        <w:t>本项目采用统一收运、压缩处理、集中处理的生活垃圾收运处置模式，实现生活垃圾分类、源头减量，全面提升雁江区城乡生活垃圾收集处理能力和水平，推动资阳市“无废城市”建设的先进城市管理理念，以新发展理念为引领，通过推动形成绿色发展方式和生活方式，持续推进固体废物源头减量和资源化利用，最大限度减少填埋量，将固体废物环境影响降至最低，以此提升雁江区人居环境，不断满足人民群众日益增长的优美生态环境需要。</w:t>
      </w:r>
    </w:p>
    <w:p w14:paraId="0C6F917C">
      <w:pPr>
        <w:ind w:firstLine="560"/>
      </w:pPr>
      <w:r>
        <w:rPr>
          <w:rFonts w:hint="eastAsia"/>
        </w:rPr>
        <w:t>本项目涉及面广、社会影响范围大、工程的实施将大大改善该地区的环境质量和投资环境，有利于该地区的经济发展和城乡建设。项目建成运营后，能有效带动就业。该工程也是一项民生工程，工程的实施对促进雁江区的可持续发展有着积极的作用。</w:t>
      </w:r>
    </w:p>
    <w:p w14:paraId="664844CD">
      <w:pPr>
        <w:pStyle w:val="3"/>
      </w:pPr>
      <w:bookmarkStart w:id="218" w:name="_Toc127041697"/>
      <w:r>
        <w:rPr>
          <w:rFonts w:hint="eastAsia"/>
        </w:rPr>
        <w:t>第三章 项目投资估算及资金筹措方案</w:t>
      </w:r>
      <w:bookmarkEnd w:id="218"/>
    </w:p>
    <w:p w14:paraId="7C1E96DA">
      <w:pPr>
        <w:pStyle w:val="4"/>
      </w:pPr>
      <w:bookmarkStart w:id="219" w:name="_Toc127041698"/>
      <w:r>
        <w:rPr>
          <w:rFonts w:hint="eastAsia"/>
        </w:rPr>
        <w:t>3.1 项目总投资</w:t>
      </w:r>
      <w:bookmarkEnd w:id="219"/>
    </w:p>
    <w:p w14:paraId="683CA2E4">
      <w:pPr>
        <w:ind w:firstLine="560"/>
      </w:pPr>
      <w:r>
        <w:rPr>
          <w:rFonts w:hint="eastAsia"/>
        </w:rPr>
        <w:t>本项目总投资估算金额为10,200.00万元，其中工程费用 7,660.23 万元，占项目总投资的75.10%；工程建设其他费用 1,889.62 万元（含建设土地费用 774.00 万元），占项目总投资的18.53%；预备费用 328.15 万元，占项目总投资的3.22%；专项债券建设期利息 315.00 万元，占项目总投资的3.09%；专项债券发行费用 7.00 万元，占项目总投资的0.07%。</w:t>
      </w:r>
    </w:p>
    <w:p w14:paraId="66A9C648">
      <w:pPr>
        <w:ind w:firstLine="560"/>
      </w:pPr>
      <w:r>
        <w:rPr>
          <w:rFonts w:hint="eastAsia"/>
        </w:rPr>
        <w:t>详细估算情况见下表：</w:t>
      </w:r>
    </w:p>
    <w:p w14:paraId="6BFE3633">
      <w:pPr>
        <w:ind w:firstLine="560"/>
        <w:sectPr>
          <w:headerReference r:id="rId7" w:type="first"/>
          <w:footerReference r:id="rId10" w:type="first"/>
          <w:headerReference r:id="rId5" w:type="default"/>
          <w:footerReference r:id="rId8" w:type="default"/>
          <w:headerReference r:id="rId6" w:type="even"/>
          <w:footerReference r:id="rId9" w:type="even"/>
          <w:pgSz w:w="11906" w:h="16838"/>
          <w:pgMar w:top="1247" w:right="1361" w:bottom="1247" w:left="1361" w:header="624" w:footer="624" w:gutter="0"/>
          <w:pgNumType w:start="1"/>
          <w:cols w:space="425" w:num="1"/>
          <w:docGrid w:type="lines" w:linePitch="381" w:charSpace="0"/>
        </w:sectPr>
      </w:pPr>
    </w:p>
    <w:p w14:paraId="7AC8BA70">
      <w:pPr>
        <w:ind w:firstLine="560"/>
      </w:pPr>
    </w:p>
    <w:tbl>
      <w:tblPr>
        <w:tblStyle w:val="11"/>
        <w:tblW w:w="4998" w:type="pct"/>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853"/>
        <w:gridCol w:w="2112"/>
        <w:gridCol w:w="1243"/>
        <w:gridCol w:w="1243"/>
        <w:gridCol w:w="1243"/>
        <w:gridCol w:w="1087"/>
        <w:gridCol w:w="1018"/>
        <w:gridCol w:w="462"/>
        <w:gridCol w:w="659"/>
        <w:gridCol w:w="1493"/>
        <w:gridCol w:w="1029"/>
        <w:gridCol w:w="3166"/>
      </w:tblGrid>
      <w:tr w14:paraId="1DB38ED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9" w:hRule="atLeast"/>
        </w:trPr>
        <w:tc>
          <w:tcPr>
            <w:tcW w:w="273" w:type="pct"/>
            <w:tcBorders>
              <w:top w:val="single" w:color="000000" w:sz="8" w:space="0"/>
              <w:left w:val="single" w:color="000000" w:sz="8" w:space="0"/>
              <w:bottom w:val="single" w:color="000000" w:sz="8" w:space="0"/>
              <w:right w:val="single" w:color="000000" w:sz="8" w:space="0"/>
            </w:tcBorders>
            <w:noWrap w:val="0"/>
            <w:vAlign w:val="center"/>
          </w:tcPr>
          <w:p w14:paraId="2595687C">
            <w:pPr>
              <w:keepNext w:val="0"/>
              <w:keepLines w:val="0"/>
              <w:widowControl/>
              <w:suppressLineNumbers w:val="0"/>
              <w:spacing w:line="240" w:lineRule="auto"/>
              <w:ind w:firstLine="0" w:firstLineChars="0"/>
              <w:jc w:val="center"/>
              <w:textAlignment w:val="center"/>
              <w:rPr>
                <w:rFonts w:hint="eastAsia" w:ascii="宋体" w:hAnsi="宋体" w:eastAsia="宋体" w:cs="宋体"/>
                <w:b/>
                <w:bCs/>
                <w:i w:val="0"/>
                <w:iCs w:val="0"/>
                <w:color w:val="000000"/>
                <w:sz w:val="18"/>
                <w:szCs w:val="18"/>
                <w:u w:val="none"/>
              </w:rPr>
            </w:pPr>
            <w:r>
              <w:rPr>
                <w:rFonts w:hint="eastAsia" w:ascii="宋体" w:hAnsi="宋体" w:eastAsia="宋体" w:cs="宋体"/>
                <w:b/>
                <w:bCs/>
                <w:i w:val="0"/>
                <w:iCs w:val="0"/>
                <w:color w:val="000000"/>
                <w:kern w:val="0"/>
                <w:sz w:val="18"/>
                <w:szCs w:val="18"/>
                <w:u w:val="none"/>
                <w:lang w:val="en-US" w:eastAsia="zh-CN" w:bidi="ar"/>
              </w:rPr>
              <w:t>序号</w:t>
            </w:r>
          </w:p>
        </w:tc>
        <w:tc>
          <w:tcPr>
            <w:tcW w:w="675" w:type="pct"/>
            <w:tcBorders>
              <w:top w:val="single" w:color="000000" w:sz="8" w:space="0"/>
              <w:left w:val="nil"/>
              <w:bottom w:val="single" w:color="000000" w:sz="8" w:space="0"/>
              <w:right w:val="single" w:color="000000" w:sz="8" w:space="0"/>
            </w:tcBorders>
            <w:noWrap w:val="0"/>
            <w:vAlign w:val="center"/>
          </w:tcPr>
          <w:p w14:paraId="16E57D65">
            <w:pPr>
              <w:keepNext w:val="0"/>
              <w:keepLines w:val="0"/>
              <w:widowControl/>
              <w:suppressLineNumbers w:val="0"/>
              <w:spacing w:line="240" w:lineRule="auto"/>
              <w:ind w:firstLine="0" w:firstLineChars="0"/>
              <w:jc w:val="center"/>
              <w:textAlignment w:val="center"/>
              <w:rPr>
                <w:rFonts w:hint="eastAsia" w:ascii="宋体" w:hAnsi="宋体" w:eastAsia="宋体" w:cs="宋体"/>
                <w:b/>
                <w:bCs/>
                <w:i w:val="0"/>
                <w:iCs w:val="0"/>
                <w:color w:val="000000"/>
                <w:sz w:val="18"/>
                <w:szCs w:val="18"/>
                <w:u w:val="none"/>
              </w:rPr>
            </w:pPr>
            <w:r>
              <w:rPr>
                <w:rFonts w:hint="eastAsia" w:ascii="宋体" w:hAnsi="宋体" w:eastAsia="宋体" w:cs="宋体"/>
                <w:b/>
                <w:bCs/>
                <w:i w:val="0"/>
                <w:iCs w:val="0"/>
                <w:color w:val="000000"/>
                <w:kern w:val="0"/>
                <w:sz w:val="18"/>
                <w:szCs w:val="18"/>
                <w:u w:val="none"/>
                <w:lang w:val="en-US" w:eastAsia="zh-CN" w:bidi="ar"/>
              </w:rPr>
              <w:t>项目</w:t>
            </w:r>
            <w:r>
              <w:rPr>
                <w:rFonts w:hint="default" w:ascii="Times New Roman" w:hAnsi="Times New Roman" w:eastAsia="宋体" w:cs="Times New Roman"/>
                <w:b/>
                <w:bCs/>
                <w:i w:val="0"/>
                <w:iCs w:val="0"/>
                <w:color w:val="000000"/>
                <w:kern w:val="0"/>
                <w:sz w:val="18"/>
                <w:szCs w:val="18"/>
                <w:u w:val="none"/>
                <w:lang w:val="en-US" w:eastAsia="zh-CN" w:bidi="ar"/>
              </w:rPr>
              <w:t>/</w:t>
            </w:r>
            <w:r>
              <w:rPr>
                <w:rFonts w:hint="eastAsia" w:ascii="宋体" w:hAnsi="宋体" w:eastAsia="宋体" w:cs="宋体"/>
                <w:b/>
                <w:bCs/>
                <w:i w:val="0"/>
                <w:iCs w:val="0"/>
                <w:color w:val="000000"/>
                <w:kern w:val="0"/>
                <w:sz w:val="18"/>
                <w:szCs w:val="18"/>
                <w:u w:val="none"/>
                <w:lang w:val="en-US" w:eastAsia="zh-CN" w:bidi="ar"/>
              </w:rPr>
              <w:t>费用名称</w:t>
            </w:r>
          </w:p>
        </w:tc>
        <w:tc>
          <w:tcPr>
            <w:tcW w:w="1542" w:type="pct"/>
            <w:gridSpan w:val="4"/>
            <w:tcBorders>
              <w:top w:val="single" w:color="000000" w:sz="8" w:space="0"/>
              <w:left w:val="nil"/>
              <w:bottom w:val="single" w:color="000000" w:sz="8" w:space="0"/>
              <w:right w:val="single" w:color="000000" w:sz="8" w:space="0"/>
            </w:tcBorders>
            <w:noWrap w:val="0"/>
            <w:vAlign w:val="center"/>
          </w:tcPr>
          <w:p w14:paraId="779743D3">
            <w:pPr>
              <w:keepNext w:val="0"/>
              <w:keepLines w:val="0"/>
              <w:widowControl/>
              <w:suppressLineNumbers w:val="0"/>
              <w:spacing w:line="240" w:lineRule="auto"/>
              <w:ind w:firstLine="0" w:firstLineChars="0"/>
              <w:jc w:val="center"/>
              <w:textAlignment w:val="center"/>
              <w:rPr>
                <w:rFonts w:hint="eastAsia" w:ascii="宋体" w:hAnsi="宋体" w:eastAsia="宋体" w:cs="宋体"/>
                <w:b/>
                <w:bCs/>
                <w:i w:val="0"/>
                <w:iCs w:val="0"/>
                <w:color w:val="000000"/>
                <w:sz w:val="18"/>
                <w:szCs w:val="18"/>
                <w:u w:val="none"/>
              </w:rPr>
            </w:pPr>
            <w:r>
              <w:rPr>
                <w:rFonts w:hint="eastAsia" w:ascii="宋体" w:hAnsi="宋体" w:eastAsia="宋体" w:cs="宋体"/>
                <w:b/>
                <w:bCs/>
                <w:i w:val="0"/>
                <w:iCs w:val="0"/>
                <w:color w:val="000000"/>
                <w:kern w:val="0"/>
                <w:sz w:val="18"/>
                <w:szCs w:val="18"/>
                <w:u w:val="none"/>
                <w:lang w:val="en-US" w:eastAsia="zh-CN" w:bidi="ar"/>
              </w:rPr>
              <w:t>项目投资（万元）</w:t>
            </w:r>
          </w:p>
        </w:tc>
        <w:tc>
          <w:tcPr>
            <w:tcW w:w="326" w:type="pct"/>
            <w:tcBorders>
              <w:top w:val="single" w:color="000000" w:sz="8" w:space="0"/>
              <w:left w:val="nil"/>
              <w:bottom w:val="single" w:color="000000" w:sz="8" w:space="0"/>
              <w:right w:val="single" w:color="000000" w:sz="8" w:space="0"/>
            </w:tcBorders>
            <w:noWrap w:val="0"/>
            <w:vAlign w:val="center"/>
          </w:tcPr>
          <w:p w14:paraId="61A97D8E">
            <w:pPr>
              <w:keepNext w:val="0"/>
              <w:keepLines w:val="0"/>
              <w:widowControl/>
              <w:suppressLineNumbers w:val="0"/>
              <w:spacing w:line="240" w:lineRule="auto"/>
              <w:ind w:firstLine="0" w:firstLineChars="0"/>
              <w:jc w:val="center"/>
              <w:textAlignment w:val="center"/>
              <w:rPr>
                <w:rFonts w:hint="eastAsia" w:ascii="宋体" w:hAnsi="宋体" w:eastAsia="宋体" w:cs="宋体"/>
                <w:b/>
                <w:bCs/>
                <w:i w:val="0"/>
                <w:iCs w:val="0"/>
                <w:color w:val="000000"/>
                <w:sz w:val="18"/>
                <w:szCs w:val="18"/>
                <w:u w:val="none"/>
              </w:rPr>
            </w:pPr>
            <w:r>
              <w:rPr>
                <w:rFonts w:hint="eastAsia" w:ascii="宋体" w:hAnsi="宋体" w:eastAsia="宋体" w:cs="宋体"/>
                <w:b/>
                <w:bCs/>
                <w:i w:val="0"/>
                <w:iCs w:val="0"/>
                <w:color w:val="000000"/>
                <w:kern w:val="0"/>
                <w:sz w:val="18"/>
                <w:szCs w:val="18"/>
                <w:u w:val="none"/>
                <w:lang w:val="en-US" w:eastAsia="zh-CN" w:bidi="ar"/>
              </w:rPr>
              <w:t>合计（万元）</w:t>
            </w:r>
          </w:p>
        </w:tc>
        <w:tc>
          <w:tcPr>
            <w:tcW w:w="837" w:type="pct"/>
            <w:gridSpan w:val="3"/>
            <w:tcBorders>
              <w:top w:val="single" w:color="000000" w:sz="8" w:space="0"/>
              <w:left w:val="nil"/>
              <w:bottom w:val="single" w:color="000000" w:sz="8" w:space="0"/>
              <w:right w:val="single" w:color="000000" w:sz="8" w:space="0"/>
            </w:tcBorders>
            <w:noWrap w:val="0"/>
            <w:vAlign w:val="center"/>
          </w:tcPr>
          <w:p w14:paraId="05F1409A">
            <w:pPr>
              <w:keepNext w:val="0"/>
              <w:keepLines w:val="0"/>
              <w:widowControl/>
              <w:suppressLineNumbers w:val="0"/>
              <w:spacing w:line="240" w:lineRule="auto"/>
              <w:ind w:firstLine="0" w:firstLineChars="0"/>
              <w:jc w:val="center"/>
              <w:textAlignment w:val="center"/>
              <w:rPr>
                <w:rFonts w:hint="eastAsia" w:ascii="宋体" w:hAnsi="宋体" w:eastAsia="宋体" w:cs="宋体"/>
                <w:b/>
                <w:bCs/>
                <w:i w:val="0"/>
                <w:iCs w:val="0"/>
                <w:color w:val="000000"/>
                <w:sz w:val="18"/>
                <w:szCs w:val="18"/>
                <w:u w:val="none"/>
              </w:rPr>
            </w:pPr>
            <w:r>
              <w:rPr>
                <w:rFonts w:hint="eastAsia" w:ascii="宋体" w:hAnsi="宋体" w:eastAsia="宋体" w:cs="宋体"/>
                <w:b/>
                <w:bCs/>
                <w:i w:val="0"/>
                <w:iCs w:val="0"/>
                <w:color w:val="000000"/>
                <w:kern w:val="0"/>
                <w:sz w:val="18"/>
                <w:szCs w:val="18"/>
                <w:u w:val="none"/>
                <w:lang w:val="en-US" w:eastAsia="zh-CN" w:bidi="ar"/>
              </w:rPr>
              <w:t>估算基础</w:t>
            </w:r>
          </w:p>
        </w:tc>
        <w:tc>
          <w:tcPr>
            <w:tcW w:w="329" w:type="pct"/>
            <w:tcBorders>
              <w:top w:val="single" w:color="000000" w:sz="8" w:space="0"/>
              <w:left w:val="nil"/>
              <w:bottom w:val="single" w:color="000000" w:sz="8" w:space="0"/>
              <w:right w:val="single" w:color="000000" w:sz="8" w:space="0"/>
            </w:tcBorders>
            <w:noWrap w:val="0"/>
            <w:vAlign w:val="center"/>
          </w:tcPr>
          <w:p w14:paraId="5F173F5D">
            <w:pPr>
              <w:keepNext w:val="0"/>
              <w:keepLines w:val="0"/>
              <w:widowControl/>
              <w:suppressLineNumbers w:val="0"/>
              <w:spacing w:line="240" w:lineRule="auto"/>
              <w:ind w:firstLine="0" w:firstLineChars="0"/>
              <w:jc w:val="center"/>
              <w:textAlignment w:val="center"/>
              <w:rPr>
                <w:rFonts w:hint="eastAsia" w:ascii="宋体" w:hAnsi="宋体" w:eastAsia="宋体" w:cs="宋体"/>
                <w:b/>
                <w:bCs/>
                <w:i w:val="0"/>
                <w:iCs w:val="0"/>
                <w:color w:val="000000"/>
                <w:sz w:val="18"/>
                <w:szCs w:val="18"/>
                <w:u w:val="none"/>
              </w:rPr>
            </w:pPr>
            <w:r>
              <w:rPr>
                <w:rFonts w:hint="eastAsia" w:ascii="宋体" w:hAnsi="宋体" w:eastAsia="宋体" w:cs="宋体"/>
                <w:b/>
                <w:bCs/>
                <w:i w:val="0"/>
                <w:iCs w:val="0"/>
                <w:color w:val="000000"/>
                <w:kern w:val="0"/>
                <w:sz w:val="18"/>
                <w:szCs w:val="18"/>
                <w:u w:val="none"/>
                <w:lang w:val="en-US" w:eastAsia="zh-CN" w:bidi="ar"/>
              </w:rPr>
              <w:t>比例（</w:t>
            </w:r>
            <w:r>
              <w:rPr>
                <w:rFonts w:hint="default" w:ascii="Times New Roman" w:hAnsi="Times New Roman" w:eastAsia="宋体" w:cs="Times New Roman"/>
                <w:b/>
                <w:bCs/>
                <w:i w:val="0"/>
                <w:iCs w:val="0"/>
                <w:color w:val="000000"/>
                <w:kern w:val="0"/>
                <w:sz w:val="18"/>
                <w:szCs w:val="18"/>
                <w:u w:val="none"/>
                <w:lang w:val="en-US" w:eastAsia="zh-CN" w:bidi="ar"/>
              </w:rPr>
              <w:t>%</w:t>
            </w:r>
            <w:r>
              <w:rPr>
                <w:rFonts w:hint="eastAsia" w:ascii="宋体" w:hAnsi="宋体" w:eastAsia="宋体" w:cs="宋体"/>
                <w:b/>
                <w:bCs/>
                <w:i w:val="0"/>
                <w:iCs w:val="0"/>
                <w:color w:val="000000"/>
                <w:kern w:val="0"/>
                <w:sz w:val="18"/>
                <w:szCs w:val="18"/>
                <w:u w:val="none"/>
                <w:lang w:val="en-US" w:eastAsia="zh-CN" w:bidi="ar"/>
              </w:rPr>
              <w:t>）</w:t>
            </w:r>
          </w:p>
        </w:tc>
        <w:tc>
          <w:tcPr>
            <w:tcW w:w="1013" w:type="pct"/>
            <w:tcBorders>
              <w:top w:val="single" w:color="000000" w:sz="8" w:space="0"/>
              <w:left w:val="nil"/>
              <w:bottom w:val="single" w:color="000000" w:sz="8" w:space="0"/>
              <w:right w:val="single" w:color="000000" w:sz="8" w:space="0"/>
            </w:tcBorders>
            <w:noWrap w:val="0"/>
            <w:vAlign w:val="center"/>
          </w:tcPr>
          <w:p w14:paraId="679D5691">
            <w:pPr>
              <w:keepNext w:val="0"/>
              <w:keepLines w:val="0"/>
              <w:widowControl/>
              <w:suppressLineNumbers w:val="0"/>
              <w:spacing w:line="240" w:lineRule="auto"/>
              <w:ind w:firstLine="0" w:firstLineChars="0"/>
              <w:jc w:val="center"/>
              <w:textAlignment w:val="center"/>
              <w:rPr>
                <w:rFonts w:hint="eastAsia" w:ascii="宋体" w:hAnsi="宋体" w:eastAsia="宋体" w:cs="宋体"/>
                <w:b/>
                <w:bCs/>
                <w:i w:val="0"/>
                <w:iCs w:val="0"/>
                <w:color w:val="000000"/>
                <w:sz w:val="18"/>
                <w:szCs w:val="18"/>
                <w:u w:val="none"/>
              </w:rPr>
            </w:pPr>
            <w:r>
              <w:rPr>
                <w:rFonts w:hint="eastAsia" w:ascii="宋体" w:hAnsi="宋体" w:eastAsia="宋体" w:cs="宋体"/>
                <w:b/>
                <w:bCs/>
                <w:i w:val="0"/>
                <w:iCs w:val="0"/>
                <w:color w:val="000000"/>
                <w:kern w:val="0"/>
                <w:sz w:val="18"/>
                <w:szCs w:val="18"/>
                <w:u w:val="none"/>
                <w:lang w:val="en-US" w:eastAsia="zh-CN" w:bidi="ar"/>
              </w:rPr>
              <w:t>备注</w:t>
            </w:r>
          </w:p>
        </w:tc>
      </w:tr>
      <w:tr w14:paraId="1EA2BFF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9" w:hRule="atLeast"/>
        </w:trPr>
        <w:tc>
          <w:tcPr>
            <w:tcW w:w="273" w:type="pct"/>
            <w:tcBorders>
              <w:top w:val="nil"/>
              <w:left w:val="single" w:color="000000" w:sz="8" w:space="0"/>
              <w:bottom w:val="single" w:color="000000" w:sz="8" w:space="0"/>
              <w:right w:val="single" w:color="000000" w:sz="8" w:space="0"/>
            </w:tcBorders>
            <w:noWrap w:val="0"/>
            <w:vAlign w:val="center"/>
          </w:tcPr>
          <w:p w14:paraId="7766BAB7">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b/>
                <w:bCs/>
                <w:i w:val="0"/>
                <w:iCs w:val="0"/>
                <w:color w:val="000000"/>
                <w:sz w:val="18"/>
                <w:szCs w:val="18"/>
                <w:u w:val="none"/>
              </w:rPr>
            </w:pPr>
            <w:r>
              <w:rPr>
                <w:rFonts w:hint="default" w:ascii="Times New Roman" w:hAnsi="Times New Roman" w:eastAsia="宋体" w:cs="Times New Roman"/>
                <w:b/>
                <w:bCs/>
                <w:i w:val="0"/>
                <w:iCs w:val="0"/>
                <w:color w:val="000000"/>
                <w:kern w:val="0"/>
                <w:sz w:val="18"/>
                <w:szCs w:val="18"/>
                <w:u w:val="none"/>
                <w:bdr w:val="single" w:color="000000" w:sz="8" w:space="0"/>
                <w:shd w:val="clear" w:color="auto" w:fill="A4A4A4"/>
                <w:lang w:val="en-US" w:eastAsia="zh-CN" w:bidi="ar"/>
              </w:rPr>
              <w:drawing>
                <wp:anchor distT="0" distB="0" distL="114300" distR="114300" simplePos="0" relativeHeight="251663360" behindDoc="0" locked="0" layoutInCell="1" allowOverlap="1">
                  <wp:simplePos x="0" y="0"/>
                  <wp:positionH relativeFrom="column">
                    <wp:posOffset>0</wp:posOffset>
                  </wp:positionH>
                  <wp:positionV relativeFrom="paragraph">
                    <wp:posOffset>0</wp:posOffset>
                  </wp:positionV>
                  <wp:extent cx="6403975" cy="3810"/>
                  <wp:effectExtent l="0" t="0" r="0" b="0"/>
                  <wp:wrapNone/>
                  <wp:docPr id="82" name="图片_1"/>
                  <wp:cNvGraphicFramePr/>
                  <a:graphic xmlns:a="http://schemas.openxmlformats.org/drawingml/2006/main">
                    <a:graphicData uri="http://schemas.openxmlformats.org/drawingml/2006/picture">
                      <pic:pic xmlns:pic="http://schemas.openxmlformats.org/drawingml/2006/picture">
                        <pic:nvPicPr>
                          <pic:cNvPr id="82" name="图片_1"/>
                          <pic:cNvPicPr/>
                        </pic:nvPicPr>
                        <pic:blipFill>
                          <a:blip r:embed="rId52"/>
                          <a:stretch>
                            <a:fillRect/>
                          </a:stretch>
                        </pic:blipFill>
                        <pic:spPr>
                          <a:xfrm>
                            <a:off x="0" y="0"/>
                            <a:ext cx="6403975" cy="3810"/>
                          </a:xfrm>
                          <a:prstGeom prst="rect">
                            <a:avLst/>
                          </a:prstGeom>
                          <a:noFill/>
                          <a:ln>
                            <a:noFill/>
                          </a:ln>
                        </pic:spPr>
                      </pic:pic>
                    </a:graphicData>
                  </a:graphic>
                </wp:anchor>
              </w:drawing>
            </w:r>
            <w:r>
              <w:rPr>
                <w:rFonts w:hint="default" w:ascii="Times New Roman" w:hAnsi="Times New Roman" w:eastAsia="宋体" w:cs="Times New Roman"/>
                <w:b/>
                <w:bCs/>
                <w:i w:val="0"/>
                <w:iCs w:val="0"/>
                <w:color w:val="000000"/>
                <w:kern w:val="0"/>
                <w:sz w:val="18"/>
                <w:szCs w:val="18"/>
                <w:u w:val="none"/>
                <w:bdr w:val="single" w:color="000000" w:sz="8" w:space="0"/>
                <w:shd w:val="clear" w:color="auto" w:fill="A4A4A4"/>
                <w:lang w:val="en-US" w:eastAsia="zh-CN" w:bidi="ar"/>
              </w:rPr>
              <w:drawing>
                <wp:anchor distT="0" distB="0" distL="114300" distR="114300" simplePos="0" relativeHeight="251664384" behindDoc="0" locked="0" layoutInCell="1" allowOverlap="1">
                  <wp:simplePos x="0" y="0"/>
                  <wp:positionH relativeFrom="column">
                    <wp:posOffset>0</wp:posOffset>
                  </wp:positionH>
                  <wp:positionV relativeFrom="paragraph">
                    <wp:posOffset>0</wp:posOffset>
                  </wp:positionV>
                  <wp:extent cx="6403975" cy="3810"/>
                  <wp:effectExtent l="0" t="0" r="0" b="0"/>
                  <wp:wrapNone/>
                  <wp:docPr id="81" name="图片_2"/>
                  <wp:cNvGraphicFramePr/>
                  <a:graphic xmlns:a="http://schemas.openxmlformats.org/drawingml/2006/main">
                    <a:graphicData uri="http://schemas.openxmlformats.org/drawingml/2006/picture">
                      <pic:pic xmlns:pic="http://schemas.openxmlformats.org/drawingml/2006/picture">
                        <pic:nvPicPr>
                          <pic:cNvPr id="81" name="图片_2"/>
                          <pic:cNvPicPr/>
                        </pic:nvPicPr>
                        <pic:blipFill>
                          <a:blip r:embed="rId52"/>
                          <a:stretch>
                            <a:fillRect/>
                          </a:stretch>
                        </pic:blipFill>
                        <pic:spPr>
                          <a:xfrm>
                            <a:off x="0" y="0"/>
                            <a:ext cx="6403975" cy="3810"/>
                          </a:xfrm>
                          <a:prstGeom prst="rect">
                            <a:avLst/>
                          </a:prstGeom>
                          <a:noFill/>
                          <a:ln>
                            <a:noFill/>
                          </a:ln>
                        </pic:spPr>
                      </pic:pic>
                    </a:graphicData>
                  </a:graphic>
                </wp:anchor>
              </w:drawing>
            </w:r>
          </w:p>
        </w:tc>
        <w:tc>
          <w:tcPr>
            <w:tcW w:w="675" w:type="pct"/>
            <w:tcBorders>
              <w:top w:val="nil"/>
              <w:left w:val="nil"/>
              <w:bottom w:val="single" w:color="000000" w:sz="8" w:space="0"/>
              <w:right w:val="single" w:color="000000" w:sz="8" w:space="0"/>
            </w:tcBorders>
            <w:noWrap w:val="0"/>
            <w:vAlign w:val="center"/>
          </w:tcPr>
          <w:p w14:paraId="688C82BD">
            <w:pPr>
              <w:spacing w:line="240" w:lineRule="auto"/>
              <w:ind w:firstLine="0" w:firstLineChars="0"/>
              <w:jc w:val="center"/>
              <w:rPr>
                <w:rFonts w:hint="default" w:ascii="Times New Roman" w:hAnsi="Times New Roman" w:eastAsia="宋体" w:cs="Times New Roman"/>
                <w:b/>
                <w:bCs/>
                <w:i w:val="0"/>
                <w:iCs w:val="0"/>
                <w:color w:val="000000"/>
                <w:sz w:val="18"/>
                <w:szCs w:val="18"/>
                <w:u w:val="none"/>
              </w:rPr>
            </w:pPr>
          </w:p>
        </w:tc>
        <w:tc>
          <w:tcPr>
            <w:tcW w:w="398" w:type="pct"/>
            <w:tcBorders>
              <w:top w:val="nil"/>
              <w:left w:val="nil"/>
              <w:bottom w:val="single" w:color="000000" w:sz="8" w:space="0"/>
              <w:right w:val="single" w:color="000000" w:sz="8" w:space="0"/>
            </w:tcBorders>
            <w:noWrap w:val="0"/>
            <w:vAlign w:val="center"/>
          </w:tcPr>
          <w:p w14:paraId="6E893B20">
            <w:pPr>
              <w:keepNext w:val="0"/>
              <w:keepLines w:val="0"/>
              <w:widowControl/>
              <w:suppressLineNumbers w:val="0"/>
              <w:spacing w:line="240" w:lineRule="auto"/>
              <w:ind w:firstLine="0" w:firstLineChars="0"/>
              <w:jc w:val="center"/>
              <w:textAlignment w:val="center"/>
              <w:rPr>
                <w:rFonts w:hint="eastAsia" w:ascii="宋体" w:hAnsi="宋体" w:eastAsia="宋体" w:cs="宋体"/>
                <w:b/>
                <w:bCs/>
                <w:i w:val="0"/>
                <w:iCs w:val="0"/>
                <w:color w:val="000000"/>
                <w:sz w:val="18"/>
                <w:szCs w:val="18"/>
                <w:u w:val="none"/>
              </w:rPr>
            </w:pPr>
            <w:r>
              <w:rPr>
                <w:rFonts w:hint="eastAsia" w:ascii="宋体" w:hAnsi="宋体" w:eastAsia="宋体" w:cs="宋体"/>
                <w:b/>
                <w:bCs/>
                <w:i w:val="0"/>
                <w:iCs w:val="0"/>
                <w:color w:val="000000"/>
                <w:kern w:val="0"/>
                <w:sz w:val="18"/>
                <w:szCs w:val="18"/>
                <w:u w:val="none"/>
                <w:lang w:val="en-US" w:eastAsia="zh-CN" w:bidi="ar"/>
              </w:rPr>
              <w:t>建筑工程费用</w:t>
            </w:r>
          </w:p>
        </w:tc>
        <w:tc>
          <w:tcPr>
            <w:tcW w:w="398" w:type="pct"/>
            <w:tcBorders>
              <w:top w:val="nil"/>
              <w:left w:val="nil"/>
              <w:bottom w:val="single" w:color="000000" w:sz="8" w:space="0"/>
              <w:right w:val="single" w:color="000000" w:sz="8" w:space="0"/>
            </w:tcBorders>
            <w:noWrap w:val="0"/>
            <w:vAlign w:val="center"/>
          </w:tcPr>
          <w:p w14:paraId="753D2B04">
            <w:pPr>
              <w:keepNext w:val="0"/>
              <w:keepLines w:val="0"/>
              <w:widowControl/>
              <w:suppressLineNumbers w:val="0"/>
              <w:spacing w:line="240" w:lineRule="auto"/>
              <w:ind w:firstLine="0" w:firstLineChars="0"/>
              <w:jc w:val="center"/>
              <w:textAlignment w:val="center"/>
              <w:rPr>
                <w:rFonts w:hint="eastAsia" w:ascii="宋体" w:hAnsi="宋体" w:eastAsia="宋体" w:cs="宋体"/>
                <w:b/>
                <w:bCs/>
                <w:i w:val="0"/>
                <w:iCs w:val="0"/>
                <w:color w:val="000000"/>
                <w:sz w:val="18"/>
                <w:szCs w:val="18"/>
                <w:u w:val="none"/>
              </w:rPr>
            </w:pPr>
            <w:r>
              <w:rPr>
                <w:rFonts w:hint="eastAsia" w:ascii="宋体" w:hAnsi="宋体" w:eastAsia="宋体" w:cs="宋体"/>
                <w:b/>
                <w:bCs/>
                <w:i w:val="0"/>
                <w:iCs w:val="0"/>
                <w:color w:val="000000"/>
                <w:kern w:val="0"/>
                <w:sz w:val="18"/>
                <w:szCs w:val="18"/>
                <w:u w:val="none"/>
                <w:lang w:val="en-US" w:eastAsia="zh-CN" w:bidi="ar"/>
              </w:rPr>
              <w:t>设备购置费用</w:t>
            </w:r>
          </w:p>
        </w:tc>
        <w:tc>
          <w:tcPr>
            <w:tcW w:w="398" w:type="pct"/>
            <w:tcBorders>
              <w:top w:val="nil"/>
              <w:left w:val="nil"/>
              <w:bottom w:val="single" w:color="000000" w:sz="8" w:space="0"/>
              <w:right w:val="single" w:color="000000" w:sz="8" w:space="0"/>
            </w:tcBorders>
            <w:noWrap w:val="0"/>
            <w:vAlign w:val="center"/>
          </w:tcPr>
          <w:p w14:paraId="3D0035E0">
            <w:pPr>
              <w:keepNext w:val="0"/>
              <w:keepLines w:val="0"/>
              <w:widowControl/>
              <w:suppressLineNumbers w:val="0"/>
              <w:spacing w:line="240" w:lineRule="auto"/>
              <w:ind w:firstLine="0" w:firstLineChars="0"/>
              <w:jc w:val="center"/>
              <w:textAlignment w:val="center"/>
              <w:rPr>
                <w:rFonts w:hint="eastAsia" w:ascii="宋体" w:hAnsi="宋体" w:eastAsia="宋体" w:cs="宋体"/>
                <w:b/>
                <w:bCs/>
                <w:i w:val="0"/>
                <w:iCs w:val="0"/>
                <w:color w:val="000000"/>
                <w:sz w:val="18"/>
                <w:szCs w:val="18"/>
                <w:u w:val="none"/>
              </w:rPr>
            </w:pPr>
            <w:r>
              <w:rPr>
                <w:rFonts w:hint="eastAsia" w:ascii="宋体" w:hAnsi="宋体" w:eastAsia="宋体" w:cs="宋体"/>
                <w:b/>
                <w:bCs/>
                <w:i w:val="0"/>
                <w:iCs w:val="0"/>
                <w:color w:val="000000"/>
                <w:kern w:val="0"/>
                <w:sz w:val="18"/>
                <w:szCs w:val="18"/>
                <w:u w:val="none"/>
                <w:lang w:val="en-US" w:eastAsia="zh-CN" w:bidi="ar"/>
              </w:rPr>
              <w:t>安装工程费用</w:t>
            </w:r>
          </w:p>
        </w:tc>
        <w:tc>
          <w:tcPr>
            <w:tcW w:w="346" w:type="pct"/>
            <w:tcBorders>
              <w:top w:val="nil"/>
              <w:left w:val="nil"/>
              <w:bottom w:val="single" w:color="000000" w:sz="8" w:space="0"/>
              <w:right w:val="single" w:color="000000" w:sz="8" w:space="0"/>
            </w:tcBorders>
            <w:noWrap w:val="0"/>
            <w:vAlign w:val="center"/>
          </w:tcPr>
          <w:p w14:paraId="31E98BB7">
            <w:pPr>
              <w:keepNext w:val="0"/>
              <w:keepLines w:val="0"/>
              <w:widowControl/>
              <w:suppressLineNumbers w:val="0"/>
              <w:spacing w:line="240" w:lineRule="auto"/>
              <w:ind w:firstLine="0" w:firstLineChars="0"/>
              <w:jc w:val="center"/>
              <w:textAlignment w:val="center"/>
              <w:rPr>
                <w:rFonts w:hint="eastAsia" w:ascii="宋体" w:hAnsi="宋体" w:eastAsia="宋体" w:cs="宋体"/>
                <w:b/>
                <w:bCs/>
                <w:i w:val="0"/>
                <w:iCs w:val="0"/>
                <w:color w:val="000000"/>
                <w:sz w:val="18"/>
                <w:szCs w:val="18"/>
                <w:u w:val="none"/>
              </w:rPr>
            </w:pPr>
            <w:r>
              <w:rPr>
                <w:rFonts w:hint="eastAsia" w:ascii="宋体" w:hAnsi="宋体" w:eastAsia="宋体" w:cs="宋体"/>
                <w:b/>
                <w:bCs/>
                <w:i w:val="0"/>
                <w:iCs w:val="0"/>
                <w:color w:val="000000"/>
                <w:kern w:val="0"/>
                <w:sz w:val="18"/>
                <w:szCs w:val="18"/>
                <w:u w:val="none"/>
                <w:lang w:val="en-US" w:eastAsia="zh-CN" w:bidi="ar"/>
              </w:rPr>
              <w:t>其他费用</w:t>
            </w:r>
          </w:p>
        </w:tc>
        <w:tc>
          <w:tcPr>
            <w:tcW w:w="326" w:type="pct"/>
            <w:tcBorders>
              <w:top w:val="nil"/>
              <w:left w:val="nil"/>
              <w:bottom w:val="single" w:color="000000" w:sz="8" w:space="0"/>
              <w:right w:val="single" w:color="000000" w:sz="8" w:space="0"/>
            </w:tcBorders>
            <w:noWrap w:val="0"/>
            <w:vAlign w:val="center"/>
          </w:tcPr>
          <w:p w14:paraId="275E28C3">
            <w:pPr>
              <w:spacing w:line="240" w:lineRule="auto"/>
              <w:ind w:firstLine="0" w:firstLineChars="0"/>
              <w:jc w:val="center"/>
              <w:rPr>
                <w:rFonts w:hint="default" w:ascii="Times New Roman" w:hAnsi="Times New Roman" w:eastAsia="宋体" w:cs="Times New Roman"/>
                <w:b/>
                <w:bCs/>
                <w:i w:val="0"/>
                <w:iCs w:val="0"/>
                <w:color w:val="000000"/>
                <w:sz w:val="18"/>
                <w:szCs w:val="18"/>
                <w:u w:val="none"/>
              </w:rPr>
            </w:pPr>
          </w:p>
        </w:tc>
        <w:tc>
          <w:tcPr>
            <w:tcW w:w="148" w:type="pct"/>
            <w:tcBorders>
              <w:top w:val="single" w:color="000000" w:sz="8" w:space="0"/>
              <w:left w:val="nil"/>
              <w:bottom w:val="single" w:color="000000" w:sz="8" w:space="0"/>
              <w:right w:val="single" w:color="000000" w:sz="8" w:space="0"/>
            </w:tcBorders>
            <w:noWrap w:val="0"/>
            <w:vAlign w:val="center"/>
          </w:tcPr>
          <w:p w14:paraId="5FB5550A">
            <w:pPr>
              <w:keepNext w:val="0"/>
              <w:keepLines w:val="0"/>
              <w:widowControl/>
              <w:suppressLineNumbers w:val="0"/>
              <w:spacing w:line="240" w:lineRule="auto"/>
              <w:ind w:firstLine="0" w:firstLineChars="0"/>
              <w:jc w:val="center"/>
              <w:textAlignment w:val="center"/>
              <w:rPr>
                <w:rFonts w:hint="eastAsia" w:ascii="宋体" w:hAnsi="宋体" w:eastAsia="宋体" w:cs="宋体"/>
                <w:b/>
                <w:bCs/>
                <w:i w:val="0"/>
                <w:iCs w:val="0"/>
                <w:color w:val="000000"/>
                <w:sz w:val="18"/>
                <w:szCs w:val="18"/>
                <w:u w:val="none"/>
              </w:rPr>
            </w:pPr>
            <w:r>
              <w:rPr>
                <w:rFonts w:hint="eastAsia" w:ascii="宋体" w:hAnsi="宋体" w:eastAsia="宋体" w:cs="宋体"/>
                <w:b/>
                <w:bCs/>
                <w:i w:val="0"/>
                <w:iCs w:val="0"/>
                <w:color w:val="000000"/>
                <w:kern w:val="0"/>
                <w:sz w:val="18"/>
                <w:szCs w:val="18"/>
                <w:u w:val="none"/>
                <w:lang w:val="en-US" w:eastAsia="zh-CN" w:bidi="ar"/>
              </w:rPr>
              <w:t>单位</w:t>
            </w:r>
          </w:p>
        </w:tc>
        <w:tc>
          <w:tcPr>
            <w:tcW w:w="211" w:type="pct"/>
            <w:tcBorders>
              <w:top w:val="single" w:color="000000" w:sz="8" w:space="0"/>
              <w:left w:val="nil"/>
              <w:bottom w:val="single" w:color="000000" w:sz="8" w:space="0"/>
              <w:right w:val="single" w:color="000000" w:sz="8" w:space="0"/>
            </w:tcBorders>
            <w:noWrap w:val="0"/>
            <w:vAlign w:val="center"/>
          </w:tcPr>
          <w:p w14:paraId="16B0F0BE">
            <w:pPr>
              <w:keepNext w:val="0"/>
              <w:keepLines w:val="0"/>
              <w:widowControl/>
              <w:suppressLineNumbers w:val="0"/>
              <w:spacing w:line="240" w:lineRule="auto"/>
              <w:ind w:firstLine="0" w:firstLineChars="0"/>
              <w:jc w:val="center"/>
              <w:textAlignment w:val="center"/>
              <w:rPr>
                <w:rFonts w:hint="eastAsia" w:ascii="宋体" w:hAnsi="宋体" w:eastAsia="宋体" w:cs="宋体"/>
                <w:b/>
                <w:bCs/>
                <w:i w:val="0"/>
                <w:iCs w:val="0"/>
                <w:color w:val="000000"/>
                <w:sz w:val="18"/>
                <w:szCs w:val="18"/>
                <w:u w:val="none"/>
              </w:rPr>
            </w:pPr>
            <w:r>
              <w:rPr>
                <w:rFonts w:hint="eastAsia" w:ascii="宋体" w:hAnsi="宋体" w:eastAsia="宋体" w:cs="宋体"/>
                <w:b/>
                <w:bCs/>
                <w:i w:val="0"/>
                <w:iCs w:val="0"/>
                <w:color w:val="000000"/>
                <w:kern w:val="0"/>
                <w:sz w:val="18"/>
                <w:szCs w:val="18"/>
                <w:u w:val="none"/>
                <w:lang w:val="en-US" w:eastAsia="zh-CN" w:bidi="ar"/>
              </w:rPr>
              <w:t>工程量</w:t>
            </w:r>
          </w:p>
        </w:tc>
        <w:tc>
          <w:tcPr>
            <w:tcW w:w="478" w:type="pct"/>
            <w:tcBorders>
              <w:top w:val="single" w:color="000000" w:sz="8" w:space="0"/>
              <w:left w:val="nil"/>
              <w:bottom w:val="single" w:color="000000" w:sz="8" w:space="0"/>
              <w:right w:val="single" w:color="000000" w:sz="8" w:space="0"/>
            </w:tcBorders>
            <w:noWrap w:val="0"/>
            <w:vAlign w:val="center"/>
          </w:tcPr>
          <w:p w14:paraId="00684C5E">
            <w:pPr>
              <w:keepNext w:val="0"/>
              <w:keepLines w:val="0"/>
              <w:widowControl/>
              <w:suppressLineNumbers w:val="0"/>
              <w:spacing w:line="240" w:lineRule="auto"/>
              <w:ind w:firstLine="0" w:firstLineChars="0"/>
              <w:jc w:val="center"/>
              <w:textAlignment w:val="center"/>
              <w:rPr>
                <w:rFonts w:hint="eastAsia" w:ascii="宋体" w:hAnsi="宋体" w:eastAsia="宋体" w:cs="宋体"/>
                <w:b/>
                <w:bCs/>
                <w:i w:val="0"/>
                <w:iCs w:val="0"/>
                <w:color w:val="000000"/>
                <w:sz w:val="18"/>
                <w:szCs w:val="18"/>
                <w:u w:val="none"/>
              </w:rPr>
            </w:pPr>
            <w:r>
              <w:rPr>
                <w:rFonts w:hint="eastAsia" w:ascii="宋体" w:hAnsi="宋体" w:eastAsia="宋体" w:cs="宋体"/>
                <w:b/>
                <w:bCs/>
                <w:i w:val="0"/>
                <w:iCs w:val="0"/>
                <w:color w:val="000000"/>
                <w:kern w:val="0"/>
                <w:sz w:val="18"/>
                <w:szCs w:val="18"/>
                <w:u w:val="none"/>
                <w:lang w:val="en-US" w:eastAsia="zh-CN" w:bidi="ar"/>
              </w:rPr>
              <w:t>单价（元</w:t>
            </w:r>
            <w:r>
              <w:rPr>
                <w:rFonts w:hint="default" w:ascii="Times New Roman" w:hAnsi="Times New Roman" w:eastAsia="宋体" w:cs="Times New Roman"/>
                <w:b/>
                <w:bCs/>
                <w:i w:val="0"/>
                <w:iCs w:val="0"/>
                <w:color w:val="000000"/>
                <w:kern w:val="0"/>
                <w:sz w:val="18"/>
                <w:szCs w:val="18"/>
                <w:u w:val="none"/>
                <w:lang w:val="en-US" w:eastAsia="zh-CN" w:bidi="ar"/>
              </w:rPr>
              <w:t>/</w:t>
            </w:r>
            <w:r>
              <w:rPr>
                <w:rFonts w:hint="eastAsia" w:ascii="宋体" w:hAnsi="宋体" w:eastAsia="宋体" w:cs="宋体"/>
                <w:b/>
                <w:bCs/>
                <w:i w:val="0"/>
                <w:iCs w:val="0"/>
                <w:color w:val="000000"/>
                <w:kern w:val="0"/>
                <w:sz w:val="18"/>
                <w:szCs w:val="18"/>
                <w:u w:val="none"/>
                <w:lang w:val="en-US" w:eastAsia="zh-CN" w:bidi="ar"/>
              </w:rPr>
              <w:t>单位）</w:t>
            </w:r>
          </w:p>
        </w:tc>
        <w:tc>
          <w:tcPr>
            <w:tcW w:w="329" w:type="pct"/>
            <w:tcBorders>
              <w:top w:val="single" w:color="000000" w:sz="8" w:space="0"/>
              <w:left w:val="nil"/>
              <w:bottom w:val="single" w:color="000000" w:sz="8" w:space="0"/>
              <w:right w:val="single" w:color="000000" w:sz="8" w:space="0"/>
            </w:tcBorders>
            <w:noWrap w:val="0"/>
            <w:vAlign w:val="center"/>
          </w:tcPr>
          <w:p w14:paraId="7A48F031">
            <w:pPr>
              <w:spacing w:line="240" w:lineRule="auto"/>
              <w:ind w:firstLine="0" w:firstLineChars="0"/>
              <w:jc w:val="center"/>
              <w:rPr>
                <w:rFonts w:hint="default" w:ascii="Times New Roman" w:hAnsi="Times New Roman" w:eastAsia="宋体" w:cs="Times New Roman"/>
                <w:b/>
                <w:bCs/>
                <w:i w:val="0"/>
                <w:iCs w:val="0"/>
                <w:color w:val="000000"/>
                <w:sz w:val="18"/>
                <w:szCs w:val="18"/>
                <w:u w:val="none"/>
              </w:rPr>
            </w:pPr>
          </w:p>
        </w:tc>
        <w:tc>
          <w:tcPr>
            <w:tcW w:w="1013" w:type="pct"/>
            <w:tcBorders>
              <w:top w:val="single" w:color="000000" w:sz="8" w:space="0"/>
              <w:left w:val="nil"/>
              <w:bottom w:val="single" w:color="000000" w:sz="8" w:space="0"/>
              <w:right w:val="single" w:color="000000" w:sz="8" w:space="0"/>
            </w:tcBorders>
            <w:noWrap w:val="0"/>
            <w:vAlign w:val="center"/>
          </w:tcPr>
          <w:p w14:paraId="6AB36BD7">
            <w:pPr>
              <w:spacing w:line="240" w:lineRule="auto"/>
              <w:ind w:firstLine="0" w:firstLineChars="0"/>
              <w:jc w:val="center"/>
              <w:rPr>
                <w:rFonts w:hint="default" w:ascii="Times New Roman" w:hAnsi="Times New Roman" w:eastAsia="宋体" w:cs="Times New Roman"/>
                <w:b/>
                <w:bCs/>
                <w:i w:val="0"/>
                <w:iCs w:val="0"/>
                <w:color w:val="000000"/>
                <w:sz w:val="18"/>
                <w:szCs w:val="18"/>
                <w:u w:val="none"/>
              </w:rPr>
            </w:pPr>
          </w:p>
        </w:tc>
      </w:tr>
      <w:tr w14:paraId="04AA306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47" w:hRule="atLeast"/>
        </w:trPr>
        <w:tc>
          <w:tcPr>
            <w:tcW w:w="273" w:type="pct"/>
            <w:tcBorders>
              <w:top w:val="nil"/>
              <w:left w:val="single" w:color="000000" w:sz="8" w:space="0"/>
              <w:bottom w:val="single" w:color="000000" w:sz="8" w:space="0"/>
              <w:right w:val="single" w:color="000000" w:sz="8" w:space="0"/>
            </w:tcBorders>
            <w:noWrap w:val="0"/>
            <w:vAlign w:val="center"/>
          </w:tcPr>
          <w:p w14:paraId="268C565D">
            <w:pPr>
              <w:keepNext w:val="0"/>
              <w:keepLines w:val="0"/>
              <w:widowControl/>
              <w:suppressLineNumbers w:val="0"/>
              <w:spacing w:line="240" w:lineRule="auto"/>
              <w:ind w:firstLine="0" w:firstLineChars="0"/>
              <w:jc w:val="center"/>
              <w:textAlignment w:val="center"/>
              <w:rPr>
                <w:rFonts w:hint="eastAsia" w:ascii="宋体" w:hAnsi="宋体" w:eastAsia="宋体" w:cs="宋体"/>
                <w:b/>
                <w:bCs/>
                <w:i w:val="0"/>
                <w:iCs w:val="0"/>
                <w:color w:val="000000"/>
                <w:sz w:val="18"/>
                <w:szCs w:val="18"/>
                <w:u w:val="none"/>
              </w:rPr>
            </w:pPr>
            <w:r>
              <w:rPr>
                <w:rFonts w:hint="eastAsia" w:ascii="宋体" w:hAnsi="宋体" w:eastAsia="宋体" w:cs="宋体"/>
                <w:b/>
                <w:bCs/>
                <w:i w:val="0"/>
                <w:iCs w:val="0"/>
                <w:color w:val="000000"/>
                <w:kern w:val="0"/>
                <w:sz w:val="18"/>
                <w:szCs w:val="18"/>
                <w:u w:val="none"/>
                <w:lang w:val="en-US" w:eastAsia="zh-CN" w:bidi="ar"/>
              </w:rPr>
              <w:t>第一部分</w:t>
            </w:r>
          </w:p>
        </w:tc>
        <w:tc>
          <w:tcPr>
            <w:tcW w:w="675" w:type="pct"/>
            <w:tcBorders>
              <w:top w:val="nil"/>
              <w:left w:val="nil"/>
              <w:bottom w:val="single" w:color="000000" w:sz="8" w:space="0"/>
              <w:right w:val="single" w:color="000000" w:sz="8" w:space="0"/>
            </w:tcBorders>
            <w:noWrap w:val="0"/>
            <w:vAlign w:val="center"/>
          </w:tcPr>
          <w:p w14:paraId="6D1F16C7">
            <w:pPr>
              <w:keepNext w:val="0"/>
              <w:keepLines w:val="0"/>
              <w:widowControl/>
              <w:suppressLineNumbers w:val="0"/>
              <w:spacing w:line="240" w:lineRule="auto"/>
              <w:ind w:firstLine="0" w:firstLineChars="0"/>
              <w:jc w:val="center"/>
              <w:textAlignment w:val="center"/>
              <w:rPr>
                <w:rFonts w:hint="eastAsia" w:ascii="宋体" w:hAnsi="宋体" w:eastAsia="宋体" w:cs="宋体"/>
                <w:b/>
                <w:bCs/>
                <w:i w:val="0"/>
                <w:iCs w:val="0"/>
                <w:color w:val="000000"/>
                <w:sz w:val="18"/>
                <w:szCs w:val="18"/>
                <w:u w:val="none"/>
              </w:rPr>
            </w:pPr>
            <w:r>
              <w:rPr>
                <w:rFonts w:hint="eastAsia" w:ascii="宋体" w:hAnsi="宋体" w:eastAsia="宋体" w:cs="宋体"/>
                <w:b/>
                <w:bCs/>
                <w:i w:val="0"/>
                <w:iCs w:val="0"/>
                <w:color w:val="000000"/>
                <w:kern w:val="0"/>
                <w:sz w:val="18"/>
                <w:szCs w:val="18"/>
                <w:u w:val="none"/>
                <w:lang w:val="en-US" w:eastAsia="zh-CN" w:bidi="ar"/>
              </w:rPr>
              <w:t>建设投资</w:t>
            </w:r>
          </w:p>
        </w:tc>
        <w:tc>
          <w:tcPr>
            <w:tcW w:w="398" w:type="pct"/>
            <w:tcBorders>
              <w:top w:val="nil"/>
              <w:left w:val="nil"/>
              <w:bottom w:val="single" w:color="000000" w:sz="8" w:space="0"/>
              <w:right w:val="single" w:color="000000" w:sz="8" w:space="0"/>
            </w:tcBorders>
            <w:noWrap w:val="0"/>
            <w:vAlign w:val="center"/>
          </w:tcPr>
          <w:p w14:paraId="03398BD4">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b/>
                <w:bCs/>
                <w:i w:val="0"/>
                <w:iCs w:val="0"/>
                <w:color w:val="000000"/>
                <w:sz w:val="18"/>
                <w:szCs w:val="18"/>
                <w:u w:val="none"/>
              </w:rPr>
            </w:pPr>
            <w:r>
              <w:rPr>
                <w:rFonts w:hint="default" w:ascii="Times New Roman" w:hAnsi="Times New Roman" w:eastAsia="宋体" w:cs="Times New Roman"/>
                <w:b/>
                <w:bCs/>
                <w:i w:val="0"/>
                <w:iCs w:val="0"/>
                <w:color w:val="000000"/>
                <w:kern w:val="0"/>
                <w:sz w:val="18"/>
                <w:szCs w:val="18"/>
                <w:u w:val="none"/>
                <w:lang w:val="en-US" w:eastAsia="zh-CN" w:bidi="ar"/>
              </w:rPr>
              <w:t>1160.96</w:t>
            </w:r>
          </w:p>
        </w:tc>
        <w:tc>
          <w:tcPr>
            <w:tcW w:w="398" w:type="pct"/>
            <w:tcBorders>
              <w:top w:val="nil"/>
              <w:left w:val="nil"/>
              <w:bottom w:val="single" w:color="000000" w:sz="8" w:space="0"/>
              <w:right w:val="single" w:color="000000" w:sz="8" w:space="0"/>
            </w:tcBorders>
            <w:noWrap w:val="0"/>
            <w:vAlign w:val="center"/>
          </w:tcPr>
          <w:p w14:paraId="3853AEAA">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b/>
                <w:bCs/>
                <w:i w:val="0"/>
                <w:iCs w:val="0"/>
                <w:color w:val="000000"/>
                <w:sz w:val="18"/>
                <w:szCs w:val="18"/>
                <w:u w:val="none"/>
              </w:rPr>
            </w:pPr>
            <w:r>
              <w:rPr>
                <w:rFonts w:hint="default" w:ascii="Times New Roman" w:hAnsi="Times New Roman" w:eastAsia="宋体" w:cs="Times New Roman"/>
                <w:b/>
                <w:bCs/>
                <w:i w:val="0"/>
                <w:iCs w:val="0"/>
                <w:color w:val="000000"/>
                <w:kern w:val="0"/>
                <w:sz w:val="18"/>
                <w:szCs w:val="18"/>
                <w:u w:val="none"/>
                <w:lang w:val="en-US" w:eastAsia="zh-CN" w:bidi="ar"/>
              </w:rPr>
              <w:t>5586.7</w:t>
            </w:r>
          </w:p>
        </w:tc>
        <w:tc>
          <w:tcPr>
            <w:tcW w:w="398" w:type="pct"/>
            <w:tcBorders>
              <w:top w:val="nil"/>
              <w:left w:val="nil"/>
              <w:bottom w:val="single" w:color="000000" w:sz="8" w:space="0"/>
              <w:right w:val="single" w:color="000000" w:sz="8" w:space="0"/>
            </w:tcBorders>
            <w:noWrap w:val="0"/>
            <w:vAlign w:val="center"/>
          </w:tcPr>
          <w:p w14:paraId="0E5A504F">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b/>
                <w:bCs/>
                <w:i w:val="0"/>
                <w:iCs w:val="0"/>
                <w:color w:val="000000"/>
                <w:sz w:val="18"/>
                <w:szCs w:val="18"/>
                <w:u w:val="none"/>
              </w:rPr>
            </w:pPr>
            <w:r>
              <w:rPr>
                <w:rFonts w:hint="default" w:ascii="Times New Roman" w:hAnsi="Times New Roman" w:eastAsia="宋体" w:cs="Times New Roman"/>
                <w:b/>
                <w:bCs/>
                <w:i w:val="0"/>
                <w:iCs w:val="0"/>
                <w:color w:val="000000"/>
                <w:kern w:val="0"/>
                <w:sz w:val="18"/>
                <w:szCs w:val="18"/>
                <w:u w:val="none"/>
                <w:lang w:val="en-US" w:eastAsia="zh-CN" w:bidi="ar"/>
              </w:rPr>
              <w:t>912.57</w:t>
            </w:r>
          </w:p>
        </w:tc>
        <w:tc>
          <w:tcPr>
            <w:tcW w:w="346" w:type="pct"/>
            <w:tcBorders>
              <w:top w:val="nil"/>
              <w:left w:val="nil"/>
              <w:bottom w:val="single" w:color="000000" w:sz="8" w:space="0"/>
              <w:right w:val="single" w:color="000000" w:sz="8" w:space="0"/>
            </w:tcBorders>
            <w:noWrap w:val="0"/>
            <w:vAlign w:val="center"/>
          </w:tcPr>
          <w:p w14:paraId="23354CB1">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b/>
                <w:bCs/>
                <w:i w:val="0"/>
                <w:iCs w:val="0"/>
                <w:color w:val="000000"/>
                <w:sz w:val="18"/>
                <w:szCs w:val="18"/>
                <w:u w:val="none"/>
              </w:rPr>
            </w:pPr>
            <w:r>
              <w:rPr>
                <w:rFonts w:hint="default" w:ascii="Times New Roman" w:hAnsi="Times New Roman" w:eastAsia="宋体" w:cs="Times New Roman"/>
                <w:b/>
                <w:bCs/>
                <w:i w:val="0"/>
                <w:iCs w:val="0"/>
                <w:color w:val="000000"/>
                <w:kern w:val="0"/>
                <w:sz w:val="18"/>
                <w:szCs w:val="18"/>
                <w:u w:val="none"/>
                <w:lang w:val="en-US" w:eastAsia="zh-CN" w:bidi="ar"/>
              </w:rPr>
              <w:t>2217.77</w:t>
            </w:r>
          </w:p>
        </w:tc>
        <w:tc>
          <w:tcPr>
            <w:tcW w:w="326" w:type="pct"/>
            <w:tcBorders>
              <w:top w:val="nil"/>
              <w:left w:val="nil"/>
              <w:bottom w:val="single" w:color="000000" w:sz="8" w:space="0"/>
              <w:right w:val="single" w:color="000000" w:sz="8" w:space="0"/>
            </w:tcBorders>
            <w:noWrap w:val="0"/>
            <w:vAlign w:val="center"/>
          </w:tcPr>
          <w:p w14:paraId="7896C551">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b/>
                <w:bCs/>
                <w:i w:val="0"/>
                <w:iCs w:val="0"/>
                <w:color w:val="000000"/>
                <w:sz w:val="18"/>
                <w:szCs w:val="18"/>
                <w:u w:val="none"/>
              </w:rPr>
            </w:pPr>
            <w:r>
              <w:rPr>
                <w:rFonts w:hint="default" w:ascii="Times New Roman" w:hAnsi="Times New Roman" w:eastAsia="宋体" w:cs="Times New Roman"/>
                <w:b/>
                <w:bCs/>
                <w:i w:val="0"/>
                <w:iCs w:val="0"/>
                <w:color w:val="000000"/>
                <w:kern w:val="0"/>
                <w:sz w:val="18"/>
                <w:szCs w:val="18"/>
                <w:u w:val="none"/>
                <w:lang w:val="en-US" w:eastAsia="zh-CN" w:bidi="ar"/>
              </w:rPr>
              <w:t>9878</w:t>
            </w:r>
          </w:p>
        </w:tc>
        <w:tc>
          <w:tcPr>
            <w:tcW w:w="148" w:type="pct"/>
            <w:tcBorders>
              <w:top w:val="nil"/>
              <w:left w:val="nil"/>
              <w:bottom w:val="single" w:color="000000" w:sz="8" w:space="0"/>
              <w:right w:val="single" w:color="000000" w:sz="8" w:space="0"/>
            </w:tcBorders>
            <w:noWrap w:val="0"/>
            <w:vAlign w:val="center"/>
          </w:tcPr>
          <w:p w14:paraId="095D9920">
            <w:pPr>
              <w:spacing w:line="240" w:lineRule="auto"/>
              <w:ind w:firstLine="0" w:firstLineChars="0"/>
              <w:jc w:val="center"/>
              <w:rPr>
                <w:rFonts w:hint="default" w:ascii="Times New Roman" w:hAnsi="Times New Roman" w:eastAsia="宋体" w:cs="Times New Roman"/>
                <w:b/>
                <w:bCs/>
                <w:i w:val="0"/>
                <w:iCs w:val="0"/>
                <w:color w:val="000000"/>
                <w:sz w:val="18"/>
                <w:szCs w:val="18"/>
                <w:u w:val="none"/>
              </w:rPr>
            </w:pPr>
          </w:p>
        </w:tc>
        <w:tc>
          <w:tcPr>
            <w:tcW w:w="211" w:type="pct"/>
            <w:tcBorders>
              <w:top w:val="nil"/>
              <w:left w:val="nil"/>
              <w:bottom w:val="single" w:color="000000" w:sz="8" w:space="0"/>
              <w:right w:val="single" w:color="000000" w:sz="8" w:space="0"/>
            </w:tcBorders>
            <w:noWrap w:val="0"/>
            <w:vAlign w:val="center"/>
          </w:tcPr>
          <w:p w14:paraId="462CDBC3">
            <w:pPr>
              <w:spacing w:line="240" w:lineRule="auto"/>
              <w:ind w:firstLine="0" w:firstLineChars="0"/>
              <w:jc w:val="center"/>
              <w:rPr>
                <w:rFonts w:hint="default" w:ascii="Times New Roman" w:hAnsi="Times New Roman" w:eastAsia="宋体" w:cs="Times New Roman"/>
                <w:b/>
                <w:bCs/>
                <w:i w:val="0"/>
                <w:iCs w:val="0"/>
                <w:color w:val="000000"/>
                <w:sz w:val="18"/>
                <w:szCs w:val="18"/>
                <w:u w:val="none"/>
              </w:rPr>
            </w:pPr>
          </w:p>
        </w:tc>
        <w:tc>
          <w:tcPr>
            <w:tcW w:w="478" w:type="pct"/>
            <w:tcBorders>
              <w:top w:val="nil"/>
              <w:left w:val="nil"/>
              <w:bottom w:val="single" w:color="000000" w:sz="8" w:space="0"/>
              <w:right w:val="single" w:color="000000" w:sz="8" w:space="0"/>
            </w:tcBorders>
            <w:noWrap w:val="0"/>
            <w:vAlign w:val="center"/>
          </w:tcPr>
          <w:p w14:paraId="0F6CBC8D">
            <w:pPr>
              <w:spacing w:line="240" w:lineRule="auto"/>
              <w:ind w:firstLine="0" w:firstLineChars="0"/>
              <w:jc w:val="center"/>
              <w:rPr>
                <w:rFonts w:hint="default" w:ascii="Times New Roman" w:hAnsi="Times New Roman" w:eastAsia="宋体" w:cs="Times New Roman"/>
                <w:b/>
                <w:bCs/>
                <w:i w:val="0"/>
                <w:iCs w:val="0"/>
                <w:color w:val="000000"/>
                <w:sz w:val="18"/>
                <w:szCs w:val="18"/>
                <w:u w:val="none"/>
              </w:rPr>
            </w:pPr>
          </w:p>
        </w:tc>
        <w:tc>
          <w:tcPr>
            <w:tcW w:w="329" w:type="pct"/>
            <w:tcBorders>
              <w:top w:val="nil"/>
              <w:left w:val="nil"/>
              <w:bottom w:val="single" w:color="000000" w:sz="8" w:space="0"/>
              <w:right w:val="single" w:color="000000" w:sz="8" w:space="0"/>
            </w:tcBorders>
            <w:noWrap w:val="0"/>
            <w:vAlign w:val="center"/>
          </w:tcPr>
          <w:p w14:paraId="50399B9A">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b/>
                <w:bCs/>
                <w:i w:val="0"/>
                <w:iCs w:val="0"/>
                <w:color w:val="000000"/>
                <w:sz w:val="18"/>
                <w:szCs w:val="18"/>
                <w:u w:val="none"/>
              </w:rPr>
            </w:pPr>
            <w:r>
              <w:rPr>
                <w:rFonts w:hint="default" w:ascii="Times New Roman" w:hAnsi="Times New Roman" w:eastAsia="宋体" w:cs="Times New Roman"/>
                <w:b/>
                <w:bCs/>
                <w:i w:val="0"/>
                <w:iCs w:val="0"/>
                <w:color w:val="000000"/>
                <w:kern w:val="0"/>
                <w:sz w:val="18"/>
                <w:szCs w:val="18"/>
                <w:u w:val="none"/>
                <w:lang w:val="en-US" w:eastAsia="zh-CN" w:bidi="ar"/>
              </w:rPr>
              <w:t>96.84%</w:t>
            </w:r>
          </w:p>
        </w:tc>
        <w:tc>
          <w:tcPr>
            <w:tcW w:w="1013" w:type="pct"/>
            <w:tcBorders>
              <w:top w:val="nil"/>
              <w:left w:val="nil"/>
              <w:bottom w:val="single" w:color="000000" w:sz="8" w:space="0"/>
              <w:right w:val="single" w:color="000000" w:sz="8" w:space="0"/>
            </w:tcBorders>
            <w:noWrap w:val="0"/>
            <w:vAlign w:val="center"/>
          </w:tcPr>
          <w:p w14:paraId="187C675C">
            <w:pPr>
              <w:spacing w:line="240" w:lineRule="auto"/>
              <w:ind w:firstLine="0" w:firstLineChars="0"/>
              <w:jc w:val="center"/>
              <w:rPr>
                <w:rFonts w:hint="default" w:ascii="Times New Roman" w:hAnsi="Times New Roman" w:eastAsia="宋体" w:cs="Times New Roman"/>
                <w:b/>
                <w:bCs/>
                <w:i w:val="0"/>
                <w:iCs w:val="0"/>
                <w:color w:val="000000"/>
                <w:sz w:val="18"/>
                <w:szCs w:val="18"/>
                <w:u w:val="none"/>
              </w:rPr>
            </w:pPr>
          </w:p>
        </w:tc>
      </w:tr>
      <w:tr w14:paraId="52D5288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3" w:hRule="atLeast"/>
        </w:trPr>
        <w:tc>
          <w:tcPr>
            <w:tcW w:w="273" w:type="pct"/>
            <w:tcBorders>
              <w:top w:val="nil"/>
              <w:left w:val="single" w:color="000000" w:sz="8" w:space="0"/>
              <w:bottom w:val="single" w:color="000000" w:sz="8" w:space="0"/>
              <w:right w:val="single" w:color="000000" w:sz="8" w:space="0"/>
            </w:tcBorders>
            <w:noWrap w:val="0"/>
            <w:vAlign w:val="center"/>
          </w:tcPr>
          <w:p w14:paraId="2616C70D">
            <w:pPr>
              <w:keepNext w:val="0"/>
              <w:keepLines w:val="0"/>
              <w:widowControl/>
              <w:suppressLineNumbers w:val="0"/>
              <w:spacing w:line="240" w:lineRule="auto"/>
              <w:ind w:firstLine="0" w:firstLineChars="0"/>
              <w:jc w:val="center"/>
              <w:textAlignment w:val="center"/>
              <w:rPr>
                <w:rFonts w:hint="eastAsia" w:ascii="宋体" w:hAnsi="宋体" w:eastAsia="宋体" w:cs="宋体"/>
                <w:b/>
                <w:bCs/>
                <w:i w:val="0"/>
                <w:iCs w:val="0"/>
                <w:color w:val="000000"/>
                <w:sz w:val="18"/>
                <w:szCs w:val="18"/>
                <w:u w:val="none"/>
              </w:rPr>
            </w:pPr>
            <w:r>
              <w:rPr>
                <w:rFonts w:hint="eastAsia" w:ascii="宋体" w:hAnsi="宋体" w:eastAsia="宋体" w:cs="宋体"/>
                <w:b/>
                <w:bCs/>
                <w:i w:val="0"/>
                <w:iCs w:val="0"/>
                <w:color w:val="000000"/>
                <w:kern w:val="0"/>
                <w:sz w:val="18"/>
                <w:szCs w:val="18"/>
                <w:u w:val="none"/>
                <w:lang w:val="en-US" w:eastAsia="zh-CN" w:bidi="ar"/>
              </w:rPr>
              <w:t>（一）</w:t>
            </w:r>
          </w:p>
        </w:tc>
        <w:tc>
          <w:tcPr>
            <w:tcW w:w="675" w:type="pct"/>
            <w:tcBorders>
              <w:top w:val="nil"/>
              <w:left w:val="nil"/>
              <w:bottom w:val="single" w:color="000000" w:sz="8" w:space="0"/>
              <w:right w:val="single" w:color="000000" w:sz="8" w:space="0"/>
            </w:tcBorders>
            <w:noWrap w:val="0"/>
            <w:vAlign w:val="center"/>
          </w:tcPr>
          <w:p w14:paraId="7CBAE212">
            <w:pPr>
              <w:keepNext w:val="0"/>
              <w:keepLines w:val="0"/>
              <w:widowControl/>
              <w:suppressLineNumbers w:val="0"/>
              <w:spacing w:line="240" w:lineRule="auto"/>
              <w:ind w:firstLine="0" w:firstLineChars="0"/>
              <w:jc w:val="center"/>
              <w:textAlignment w:val="center"/>
              <w:rPr>
                <w:rFonts w:hint="eastAsia" w:ascii="宋体" w:hAnsi="宋体" w:eastAsia="宋体" w:cs="宋体"/>
                <w:b/>
                <w:bCs/>
                <w:i w:val="0"/>
                <w:iCs w:val="0"/>
                <w:color w:val="000000"/>
                <w:sz w:val="18"/>
                <w:szCs w:val="18"/>
                <w:u w:val="none"/>
              </w:rPr>
            </w:pPr>
            <w:r>
              <w:rPr>
                <w:rFonts w:hint="eastAsia" w:ascii="宋体" w:hAnsi="宋体" w:eastAsia="宋体" w:cs="宋体"/>
                <w:b/>
                <w:bCs/>
                <w:i w:val="0"/>
                <w:iCs w:val="0"/>
                <w:color w:val="000000"/>
                <w:kern w:val="0"/>
                <w:sz w:val="18"/>
                <w:szCs w:val="18"/>
                <w:u w:val="none"/>
                <w:lang w:val="en-US" w:eastAsia="zh-CN" w:bidi="ar"/>
              </w:rPr>
              <w:t>工程费用</w:t>
            </w:r>
          </w:p>
        </w:tc>
        <w:tc>
          <w:tcPr>
            <w:tcW w:w="398" w:type="pct"/>
            <w:tcBorders>
              <w:top w:val="nil"/>
              <w:left w:val="nil"/>
              <w:bottom w:val="single" w:color="000000" w:sz="8" w:space="0"/>
              <w:right w:val="single" w:color="000000" w:sz="8" w:space="0"/>
            </w:tcBorders>
            <w:noWrap w:val="0"/>
            <w:vAlign w:val="center"/>
          </w:tcPr>
          <w:p w14:paraId="0D15521E">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b/>
                <w:bCs/>
                <w:i w:val="0"/>
                <w:iCs w:val="0"/>
                <w:color w:val="000000"/>
                <w:sz w:val="18"/>
                <w:szCs w:val="18"/>
                <w:u w:val="none"/>
              </w:rPr>
            </w:pPr>
            <w:r>
              <w:rPr>
                <w:rFonts w:hint="default" w:ascii="Times New Roman" w:hAnsi="Times New Roman" w:eastAsia="宋体" w:cs="Times New Roman"/>
                <w:b/>
                <w:bCs/>
                <w:i w:val="0"/>
                <w:iCs w:val="0"/>
                <w:color w:val="000000"/>
                <w:kern w:val="0"/>
                <w:sz w:val="18"/>
                <w:szCs w:val="18"/>
                <w:u w:val="none"/>
                <w:lang w:val="en-US" w:eastAsia="zh-CN" w:bidi="ar"/>
              </w:rPr>
              <w:t>1160.96</w:t>
            </w:r>
          </w:p>
        </w:tc>
        <w:tc>
          <w:tcPr>
            <w:tcW w:w="398" w:type="pct"/>
            <w:tcBorders>
              <w:top w:val="nil"/>
              <w:left w:val="nil"/>
              <w:bottom w:val="single" w:color="000000" w:sz="8" w:space="0"/>
              <w:right w:val="single" w:color="000000" w:sz="8" w:space="0"/>
            </w:tcBorders>
            <w:noWrap w:val="0"/>
            <w:vAlign w:val="center"/>
          </w:tcPr>
          <w:p w14:paraId="4643C20F">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b/>
                <w:bCs/>
                <w:i w:val="0"/>
                <w:iCs w:val="0"/>
                <w:color w:val="000000"/>
                <w:sz w:val="18"/>
                <w:szCs w:val="18"/>
                <w:u w:val="none"/>
              </w:rPr>
            </w:pPr>
            <w:r>
              <w:rPr>
                <w:rFonts w:hint="default" w:ascii="Times New Roman" w:hAnsi="Times New Roman" w:eastAsia="宋体" w:cs="Times New Roman"/>
                <w:b/>
                <w:bCs/>
                <w:i w:val="0"/>
                <w:iCs w:val="0"/>
                <w:color w:val="000000"/>
                <w:kern w:val="0"/>
                <w:sz w:val="18"/>
                <w:szCs w:val="18"/>
                <w:u w:val="none"/>
                <w:lang w:val="en-US" w:eastAsia="zh-CN" w:bidi="ar"/>
              </w:rPr>
              <w:t>5586.7</w:t>
            </w:r>
          </w:p>
        </w:tc>
        <w:tc>
          <w:tcPr>
            <w:tcW w:w="398" w:type="pct"/>
            <w:tcBorders>
              <w:top w:val="nil"/>
              <w:left w:val="nil"/>
              <w:bottom w:val="single" w:color="000000" w:sz="8" w:space="0"/>
              <w:right w:val="single" w:color="000000" w:sz="8" w:space="0"/>
            </w:tcBorders>
            <w:noWrap w:val="0"/>
            <w:vAlign w:val="center"/>
          </w:tcPr>
          <w:p w14:paraId="1768494C">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b/>
                <w:bCs/>
                <w:i w:val="0"/>
                <w:iCs w:val="0"/>
                <w:color w:val="000000"/>
                <w:sz w:val="18"/>
                <w:szCs w:val="18"/>
                <w:u w:val="none"/>
              </w:rPr>
            </w:pPr>
            <w:r>
              <w:rPr>
                <w:rFonts w:hint="default" w:ascii="Times New Roman" w:hAnsi="Times New Roman" w:eastAsia="宋体" w:cs="Times New Roman"/>
                <w:b/>
                <w:bCs/>
                <w:i w:val="0"/>
                <w:iCs w:val="0"/>
                <w:color w:val="000000"/>
                <w:kern w:val="0"/>
                <w:sz w:val="18"/>
                <w:szCs w:val="18"/>
                <w:u w:val="none"/>
                <w:lang w:val="en-US" w:eastAsia="zh-CN" w:bidi="ar"/>
              </w:rPr>
              <w:t>912.57</w:t>
            </w:r>
          </w:p>
        </w:tc>
        <w:tc>
          <w:tcPr>
            <w:tcW w:w="346" w:type="pct"/>
            <w:tcBorders>
              <w:top w:val="nil"/>
              <w:left w:val="nil"/>
              <w:bottom w:val="single" w:color="000000" w:sz="8" w:space="0"/>
              <w:right w:val="single" w:color="000000" w:sz="8" w:space="0"/>
            </w:tcBorders>
            <w:noWrap w:val="0"/>
            <w:vAlign w:val="center"/>
          </w:tcPr>
          <w:p w14:paraId="44C64AFE">
            <w:pPr>
              <w:spacing w:line="240" w:lineRule="auto"/>
              <w:ind w:firstLine="0" w:firstLineChars="0"/>
              <w:jc w:val="center"/>
              <w:rPr>
                <w:rFonts w:hint="default" w:ascii="Times New Roman" w:hAnsi="Times New Roman" w:eastAsia="宋体" w:cs="Times New Roman"/>
                <w:b/>
                <w:bCs/>
                <w:i w:val="0"/>
                <w:iCs w:val="0"/>
                <w:color w:val="000000"/>
                <w:sz w:val="18"/>
                <w:szCs w:val="18"/>
                <w:u w:val="none"/>
              </w:rPr>
            </w:pPr>
          </w:p>
        </w:tc>
        <w:tc>
          <w:tcPr>
            <w:tcW w:w="326" w:type="pct"/>
            <w:tcBorders>
              <w:top w:val="nil"/>
              <w:left w:val="nil"/>
              <w:bottom w:val="single" w:color="000000" w:sz="8" w:space="0"/>
              <w:right w:val="single" w:color="000000" w:sz="8" w:space="0"/>
            </w:tcBorders>
            <w:noWrap w:val="0"/>
            <w:vAlign w:val="center"/>
          </w:tcPr>
          <w:p w14:paraId="2AB7D8D9">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color w:val="000000"/>
                <w:kern w:val="0"/>
                <w:sz w:val="18"/>
                <w:szCs w:val="18"/>
                <w:u w:val="none"/>
                <w:lang w:val="en-US" w:eastAsia="zh-CN" w:bidi="ar"/>
              </w:rPr>
              <w:t>7660.23</w:t>
            </w:r>
          </w:p>
        </w:tc>
        <w:tc>
          <w:tcPr>
            <w:tcW w:w="148" w:type="pct"/>
            <w:tcBorders>
              <w:top w:val="nil"/>
              <w:left w:val="nil"/>
              <w:bottom w:val="single" w:color="000000" w:sz="8" w:space="0"/>
              <w:right w:val="single" w:color="000000" w:sz="8" w:space="0"/>
            </w:tcBorders>
            <w:noWrap w:val="0"/>
            <w:vAlign w:val="center"/>
          </w:tcPr>
          <w:p w14:paraId="7B283EBC">
            <w:pPr>
              <w:spacing w:line="240" w:lineRule="auto"/>
              <w:ind w:firstLine="0" w:firstLineChars="0"/>
              <w:jc w:val="center"/>
              <w:rPr>
                <w:rFonts w:hint="default" w:ascii="Times New Roman" w:hAnsi="Times New Roman" w:eastAsia="宋体" w:cs="Times New Roman"/>
                <w:b/>
                <w:bCs/>
                <w:i w:val="0"/>
                <w:iCs w:val="0"/>
                <w:color w:val="000000"/>
                <w:sz w:val="18"/>
                <w:szCs w:val="18"/>
                <w:u w:val="none"/>
              </w:rPr>
            </w:pPr>
          </w:p>
        </w:tc>
        <w:tc>
          <w:tcPr>
            <w:tcW w:w="211" w:type="pct"/>
            <w:tcBorders>
              <w:top w:val="nil"/>
              <w:left w:val="nil"/>
              <w:bottom w:val="single" w:color="000000" w:sz="8" w:space="0"/>
              <w:right w:val="single" w:color="000000" w:sz="8" w:space="0"/>
            </w:tcBorders>
            <w:noWrap w:val="0"/>
            <w:vAlign w:val="center"/>
          </w:tcPr>
          <w:p w14:paraId="679F5D06">
            <w:pPr>
              <w:spacing w:line="240" w:lineRule="auto"/>
              <w:ind w:firstLine="0" w:firstLineChars="0"/>
              <w:jc w:val="center"/>
              <w:rPr>
                <w:rFonts w:hint="default" w:ascii="Times New Roman" w:hAnsi="Times New Roman" w:eastAsia="宋体" w:cs="Times New Roman"/>
                <w:b/>
                <w:bCs/>
                <w:i w:val="0"/>
                <w:iCs w:val="0"/>
                <w:color w:val="000000"/>
                <w:sz w:val="18"/>
                <w:szCs w:val="18"/>
                <w:u w:val="none"/>
              </w:rPr>
            </w:pPr>
          </w:p>
        </w:tc>
        <w:tc>
          <w:tcPr>
            <w:tcW w:w="478" w:type="pct"/>
            <w:tcBorders>
              <w:top w:val="nil"/>
              <w:left w:val="nil"/>
              <w:bottom w:val="single" w:color="000000" w:sz="8" w:space="0"/>
              <w:right w:val="single" w:color="000000" w:sz="8" w:space="0"/>
            </w:tcBorders>
            <w:noWrap w:val="0"/>
            <w:vAlign w:val="center"/>
          </w:tcPr>
          <w:p w14:paraId="7D000C48">
            <w:pPr>
              <w:spacing w:line="240" w:lineRule="auto"/>
              <w:ind w:firstLine="0" w:firstLineChars="0"/>
              <w:jc w:val="center"/>
              <w:rPr>
                <w:rFonts w:hint="default" w:ascii="Times New Roman" w:hAnsi="Times New Roman" w:eastAsia="宋体" w:cs="Times New Roman"/>
                <w:b/>
                <w:bCs/>
                <w:i w:val="0"/>
                <w:iCs w:val="0"/>
                <w:color w:val="000000"/>
                <w:sz w:val="18"/>
                <w:szCs w:val="18"/>
                <w:u w:val="none"/>
              </w:rPr>
            </w:pPr>
          </w:p>
        </w:tc>
        <w:tc>
          <w:tcPr>
            <w:tcW w:w="329" w:type="pct"/>
            <w:tcBorders>
              <w:top w:val="nil"/>
              <w:left w:val="nil"/>
              <w:bottom w:val="single" w:color="000000" w:sz="8" w:space="0"/>
              <w:right w:val="single" w:color="000000" w:sz="8" w:space="0"/>
            </w:tcBorders>
            <w:noWrap w:val="0"/>
            <w:vAlign w:val="center"/>
          </w:tcPr>
          <w:p w14:paraId="353F5B95">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b/>
                <w:bCs/>
                <w:i w:val="0"/>
                <w:iCs w:val="0"/>
                <w:color w:val="000000"/>
                <w:sz w:val="18"/>
                <w:szCs w:val="18"/>
                <w:u w:val="none"/>
              </w:rPr>
            </w:pPr>
            <w:r>
              <w:rPr>
                <w:rFonts w:hint="default" w:ascii="Times New Roman" w:hAnsi="Times New Roman" w:eastAsia="宋体" w:cs="Times New Roman"/>
                <w:b/>
                <w:bCs/>
                <w:i w:val="0"/>
                <w:iCs w:val="0"/>
                <w:color w:val="000000"/>
                <w:kern w:val="0"/>
                <w:sz w:val="18"/>
                <w:szCs w:val="18"/>
                <w:u w:val="none"/>
                <w:lang w:val="en-US" w:eastAsia="zh-CN" w:bidi="ar"/>
              </w:rPr>
              <w:t>75.10%</w:t>
            </w:r>
          </w:p>
        </w:tc>
        <w:tc>
          <w:tcPr>
            <w:tcW w:w="1013" w:type="pct"/>
            <w:tcBorders>
              <w:top w:val="nil"/>
              <w:left w:val="nil"/>
              <w:bottom w:val="single" w:color="000000" w:sz="8" w:space="0"/>
              <w:right w:val="single" w:color="000000" w:sz="8" w:space="0"/>
            </w:tcBorders>
            <w:noWrap w:val="0"/>
            <w:vAlign w:val="center"/>
          </w:tcPr>
          <w:p w14:paraId="1C66FB80">
            <w:pPr>
              <w:keepNext w:val="0"/>
              <w:keepLines w:val="0"/>
              <w:widowControl/>
              <w:suppressLineNumbers w:val="0"/>
              <w:spacing w:line="240" w:lineRule="auto"/>
              <w:ind w:firstLine="0" w:firstLineChars="0"/>
              <w:jc w:val="center"/>
              <w:textAlignment w:val="center"/>
              <w:rPr>
                <w:rFonts w:hint="eastAsia" w:ascii="宋体" w:hAnsi="宋体" w:eastAsia="宋体" w:cs="宋体"/>
                <w:b/>
                <w:bCs/>
                <w:i w:val="0"/>
                <w:iCs w:val="0"/>
                <w:color w:val="000000"/>
                <w:sz w:val="18"/>
                <w:szCs w:val="18"/>
                <w:u w:val="none"/>
              </w:rPr>
            </w:pPr>
            <w:r>
              <w:rPr>
                <w:rFonts w:hint="eastAsia" w:ascii="宋体" w:hAnsi="宋体" w:eastAsia="宋体" w:cs="宋体"/>
                <w:b/>
                <w:bCs/>
                <w:i w:val="0"/>
                <w:iCs w:val="0"/>
                <w:color w:val="000000"/>
                <w:kern w:val="0"/>
                <w:sz w:val="18"/>
                <w:szCs w:val="18"/>
                <w:u w:val="none"/>
                <w:lang w:val="en-US" w:eastAsia="zh-CN" w:bidi="ar"/>
              </w:rPr>
              <w:t>建筑安装工程费用</w:t>
            </w:r>
            <w:r>
              <w:rPr>
                <w:rFonts w:hint="default" w:ascii="Times New Roman" w:hAnsi="Times New Roman" w:eastAsia="宋体" w:cs="Times New Roman"/>
                <w:b/>
                <w:bCs/>
                <w:i w:val="0"/>
                <w:iCs w:val="0"/>
                <w:color w:val="000000"/>
                <w:kern w:val="0"/>
                <w:sz w:val="18"/>
                <w:szCs w:val="18"/>
                <w:u w:val="none"/>
                <w:lang w:val="en-US" w:eastAsia="zh-CN" w:bidi="ar"/>
              </w:rPr>
              <w:t>2073.53</w:t>
            </w:r>
            <w:r>
              <w:rPr>
                <w:rFonts w:hint="eastAsia" w:ascii="宋体" w:hAnsi="宋体" w:eastAsia="宋体" w:cs="宋体"/>
                <w:b/>
                <w:bCs/>
                <w:i w:val="0"/>
                <w:iCs w:val="0"/>
                <w:color w:val="000000"/>
                <w:kern w:val="0"/>
                <w:sz w:val="18"/>
                <w:szCs w:val="18"/>
                <w:u w:val="none"/>
                <w:lang w:val="en-US" w:eastAsia="zh-CN" w:bidi="ar"/>
              </w:rPr>
              <w:t>万元</w:t>
            </w:r>
          </w:p>
        </w:tc>
      </w:tr>
      <w:tr w14:paraId="104003E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3" w:hRule="atLeast"/>
        </w:trPr>
        <w:tc>
          <w:tcPr>
            <w:tcW w:w="273" w:type="pct"/>
            <w:tcBorders>
              <w:top w:val="nil"/>
              <w:left w:val="single" w:color="000000" w:sz="8" w:space="0"/>
              <w:bottom w:val="single" w:color="000000" w:sz="8" w:space="0"/>
              <w:right w:val="single" w:color="000000" w:sz="8" w:space="0"/>
            </w:tcBorders>
            <w:noWrap w:val="0"/>
            <w:vAlign w:val="center"/>
          </w:tcPr>
          <w:p w14:paraId="50D4DC42">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b/>
                <w:bCs/>
                <w:i w:val="0"/>
                <w:iCs w:val="0"/>
                <w:color w:val="000000"/>
                <w:sz w:val="18"/>
                <w:szCs w:val="18"/>
                <w:u w:val="none"/>
              </w:rPr>
            </w:pPr>
            <w:r>
              <w:rPr>
                <w:rFonts w:hint="default" w:ascii="Times New Roman" w:hAnsi="Times New Roman" w:eastAsia="宋体" w:cs="Times New Roman"/>
                <w:b/>
                <w:bCs/>
                <w:i w:val="0"/>
                <w:iCs w:val="0"/>
                <w:color w:val="000000"/>
                <w:kern w:val="0"/>
                <w:sz w:val="18"/>
                <w:szCs w:val="18"/>
                <w:u w:val="none"/>
                <w:lang w:val="en-US" w:eastAsia="zh-CN" w:bidi="ar"/>
              </w:rPr>
              <w:t>Ⅰ</w:t>
            </w:r>
          </w:p>
        </w:tc>
        <w:tc>
          <w:tcPr>
            <w:tcW w:w="675" w:type="pct"/>
            <w:tcBorders>
              <w:top w:val="nil"/>
              <w:left w:val="nil"/>
              <w:bottom w:val="single" w:color="000000" w:sz="8" w:space="0"/>
              <w:right w:val="single" w:color="000000" w:sz="8" w:space="0"/>
            </w:tcBorders>
            <w:noWrap w:val="0"/>
            <w:vAlign w:val="center"/>
          </w:tcPr>
          <w:p w14:paraId="4CE24254">
            <w:pPr>
              <w:keepNext w:val="0"/>
              <w:keepLines w:val="0"/>
              <w:widowControl/>
              <w:suppressLineNumbers w:val="0"/>
              <w:spacing w:line="240" w:lineRule="auto"/>
              <w:ind w:firstLine="0" w:firstLineChars="0"/>
              <w:jc w:val="center"/>
              <w:textAlignment w:val="center"/>
              <w:rPr>
                <w:rFonts w:hint="eastAsia" w:ascii="宋体" w:hAnsi="宋体" w:eastAsia="宋体" w:cs="宋体"/>
                <w:b/>
                <w:bCs/>
                <w:i w:val="0"/>
                <w:iCs w:val="0"/>
                <w:color w:val="000000"/>
                <w:sz w:val="18"/>
                <w:szCs w:val="18"/>
                <w:u w:val="none"/>
              </w:rPr>
            </w:pPr>
            <w:r>
              <w:rPr>
                <w:rFonts w:hint="eastAsia" w:ascii="宋体" w:hAnsi="宋体" w:eastAsia="宋体" w:cs="宋体"/>
                <w:b/>
                <w:bCs/>
                <w:i w:val="0"/>
                <w:iCs w:val="0"/>
                <w:color w:val="000000"/>
                <w:kern w:val="0"/>
                <w:sz w:val="18"/>
                <w:szCs w:val="18"/>
                <w:u w:val="none"/>
                <w:lang w:val="en-US" w:eastAsia="zh-CN" w:bidi="ar"/>
              </w:rPr>
              <w:t>土建安装工程</w:t>
            </w:r>
          </w:p>
        </w:tc>
        <w:tc>
          <w:tcPr>
            <w:tcW w:w="398" w:type="pct"/>
            <w:tcBorders>
              <w:top w:val="nil"/>
              <w:left w:val="nil"/>
              <w:bottom w:val="single" w:color="000000" w:sz="8" w:space="0"/>
              <w:right w:val="single" w:color="000000" w:sz="8" w:space="0"/>
            </w:tcBorders>
            <w:noWrap w:val="0"/>
            <w:vAlign w:val="center"/>
          </w:tcPr>
          <w:p w14:paraId="12F869B8">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b/>
                <w:bCs/>
                <w:i w:val="0"/>
                <w:iCs w:val="0"/>
                <w:color w:val="000000"/>
                <w:sz w:val="18"/>
                <w:szCs w:val="18"/>
                <w:u w:val="none"/>
              </w:rPr>
            </w:pPr>
            <w:r>
              <w:rPr>
                <w:rFonts w:hint="default" w:ascii="Times New Roman" w:hAnsi="Times New Roman" w:eastAsia="宋体" w:cs="Times New Roman"/>
                <w:b/>
                <w:bCs/>
                <w:i w:val="0"/>
                <w:iCs w:val="0"/>
                <w:color w:val="000000"/>
                <w:kern w:val="0"/>
                <w:sz w:val="18"/>
                <w:szCs w:val="18"/>
                <w:u w:val="none"/>
                <w:lang w:val="en-US" w:eastAsia="zh-CN" w:bidi="ar"/>
              </w:rPr>
              <w:t>1160.96</w:t>
            </w:r>
          </w:p>
        </w:tc>
        <w:tc>
          <w:tcPr>
            <w:tcW w:w="398" w:type="pct"/>
            <w:tcBorders>
              <w:top w:val="nil"/>
              <w:left w:val="nil"/>
              <w:bottom w:val="single" w:color="000000" w:sz="8" w:space="0"/>
              <w:right w:val="single" w:color="000000" w:sz="8" w:space="0"/>
            </w:tcBorders>
            <w:noWrap w:val="0"/>
            <w:vAlign w:val="center"/>
          </w:tcPr>
          <w:p w14:paraId="4E3A9121">
            <w:pPr>
              <w:spacing w:line="240" w:lineRule="auto"/>
              <w:ind w:firstLine="0" w:firstLineChars="0"/>
              <w:jc w:val="center"/>
              <w:rPr>
                <w:rFonts w:hint="default" w:ascii="Times New Roman" w:hAnsi="Times New Roman" w:eastAsia="宋体" w:cs="Times New Roman"/>
                <w:b/>
                <w:bCs/>
                <w:i w:val="0"/>
                <w:iCs w:val="0"/>
                <w:color w:val="000000"/>
                <w:sz w:val="18"/>
                <w:szCs w:val="18"/>
                <w:u w:val="none"/>
              </w:rPr>
            </w:pPr>
          </w:p>
        </w:tc>
        <w:tc>
          <w:tcPr>
            <w:tcW w:w="398" w:type="pct"/>
            <w:tcBorders>
              <w:top w:val="nil"/>
              <w:left w:val="nil"/>
              <w:bottom w:val="single" w:color="000000" w:sz="8" w:space="0"/>
              <w:right w:val="single" w:color="000000" w:sz="8" w:space="0"/>
            </w:tcBorders>
            <w:noWrap w:val="0"/>
            <w:vAlign w:val="center"/>
          </w:tcPr>
          <w:p w14:paraId="2FA1F8CB">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b/>
                <w:bCs/>
                <w:i w:val="0"/>
                <w:iCs w:val="0"/>
                <w:color w:val="000000"/>
                <w:sz w:val="18"/>
                <w:szCs w:val="18"/>
                <w:u w:val="none"/>
              </w:rPr>
            </w:pPr>
            <w:r>
              <w:rPr>
                <w:rFonts w:hint="default" w:ascii="Times New Roman" w:hAnsi="Times New Roman" w:eastAsia="宋体" w:cs="Times New Roman"/>
                <w:b/>
                <w:bCs/>
                <w:i w:val="0"/>
                <w:iCs w:val="0"/>
                <w:color w:val="000000"/>
                <w:kern w:val="0"/>
                <w:sz w:val="18"/>
                <w:szCs w:val="18"/>
                <w:u w:val="none"/>
                <w:lang w:val="en-US" w:eastAsia="zh-CN" w:bidi="ar"/>
              </w:rPr>
              <w:t>57.24</w:t>
            </w:r>
          </w:p>
        </w:tc>
        <w:tc>
          <w:tcPr>
            <w:tcW w:w="346" w:type="pct"/>
            <w:tcBorders>
              <w:top w:val="nil"/>
              <w:left w:val="nil"/>
              <w:bottom w:val="single" w:color="000000" w:sz="8" w:space="0"/>
              <w:right w:val="single" w:color="000000" w:sz="8" w:space="0"/>
            </w:tcBorders>
            <w:noWrap w:val="0"/>
            <w:vAlign w:val="center"/>
          </w:tcPr>
          <w:p w14:paraId="3986AD07">
            <w:pPr>
              <w:spacing w:line="240" w:lineRule="auto"/>
              <w:ind w:firstLine="0" w:firstLineChars="0"/>
              <w:jc w:val="center"/>
              <w:rPr>
                <w:rFonts w:hint="default" w:ascii="Times New Roman" w:hAnsi="Times New Roman" w:eastAsia="宋体" w:cs="Times New Roman"/>
                <w:b/>
                <w:bCs/>
                <w:i w:val="0"/>
                <w:iCs w:val="0"/>
                <w:color w:val="000000"/>
                <w:sz w:val="18"/>
                <w:szCs w:val="18"/>
                <w:u w:val="none"/>
              </w:rPr>
            </w:pPr>
          </w:p>
        </w:tc>
        <w:tc>
          <w:tcPr>
            <w:tcW w:w="326" w:type="pct"/>
            <w:tcBorders>
              <w:top w:val="nil"/>
              <w:left w:val="nil"/>
              <w:bottom w:val="single" w:color="000000" w:sz="8" w:space="0"/>
              <w:right w:val="single" w:color="000000" w:sz="8" w:space="0"/>
            </w:tcBorders>
            <w:noWrap w:val="0"/>
            <w:vAlign w:val="center"/>
          </w:tcPr>
          <w:p w14:paraId="25AC2BD0">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b/>
                <w:bCs/>
                <w:i w:val="0"/>
                <w:iCs w:val="0"/>
                <w:color w:val="000000"/>
                <w:sz w:val="18"/>
                <w:szCs w:val="18"/>
                <w:u w:val="none"/>
              </w:rPr>
            </w:pPr>
            <w:r>
              <w:rPr>
                <w:rFonts w:hint="default" w:ascii="Times New Roman" w:hAnsi="Times New Roman" w:eastAsia="宋体" w:cs="Times New Roman"/>
                <w:b/>
                <w:bCs/>
                <w:i w:val="0"/>
                <w:iCs w:val="0"/>
                <w:color w:val="000000"/>
                <w:kern w:val="0"/>
                <w:sz w:val="18"/>
                <w:szCs w:val="18"/>
                <w:u w:val="none"/>
                <w:lang w:val="en-US" w:eastAsia="zh-CN" w:bidi="ar"/>
              </w:rPr>
              <w:t>1218.19</w:t>
            </w:r>
          </w:p>
        </w:tc>
        <w:tc>
          <w:tcPr>
            <w:tcW w:w="148" w:type="pct"/>
            <w:tcBorders>
              <w:top w:val="nil"/>
              <w:left w:val="nil"/>
              <w:bottom w:val="single" w:color="000000" w:sz="8" w:space="0"/>
              <w:right w:val="single" w:color="000000" w:sz="8" w:space="0"/>
            </w:tcBorders>
            <w:noWrap w:val="0"/>
            <w:vAlign w:val="center"/>
          </w:tcPr>
          <w:p w14:paraId="470DE036">
            <w:pPr>
              <w:spacing w:line="240" w:lineRule="auto"/>
              <w:ind w:firstLine="0" w:firstLineChars="0"/>
              <w:jc w:val="center"/>
              <w:rPr>
                <w:rFonts w:hint="default" w:ascii="Times New Roman" w:hAnsi="Times New Roman" w:eastAsia="宋体" w:cs="Times New Roman"/>
                <w:b/>
                <w:bCs/>
                <w:i w:val="0"/>
                <w:iCs w:val="0"/>
                <w:color w:val="000000"/>
                <w:sz w:val="18"/>
                <w:szCs w:val="18"/>
                <w:u w:val="none"/>
              </w:rPr>
            </w:pPr>
          </w:p>
        </w:tc>
        <w:tc>
          <w:tcPr>
            <w:tcW w:w="211" w:type="pct"/>
            <w:tcBorders>
              <w:top w:val="nil"/>
              <w:left w:val="nil"/>
              <w:bottom w:val="single" w:color="000000" w:sz="8" w:space="0"/>
              <w:right w:val="single" w:color="000000" w:sz="8" w:space="0"/>
            </w:tcBorders>
            <w:noWrap w:val="0"/>
            <w:vAlign w:val="center"/>
          </w:tcPr>
          <w:p w14:paraId="795E6E43">
            <w:pPr>
              <w:spacing w:line="240" w:lineRule="auto"/>
              <w:ind w:firstLine="0" w:firstLineChars="0"/>
              <w:jc w:val="center"/>
              <w:rPr>
                <w:rFonts w:hint="default" w:ascii="Times New Roman" w:hAnsi="Times New Roman" w:eastAsia="宋体" w:cs="Times New Roman"/>
                <w:b/>
                <w:bCs/>
                <w:i w:val="0"/>
                <w:iCs w:val="0"/>
                <w:color w:val="000000"/>
                <w:sz w:val="18"/>
                <w:szCs w:val="18"/>
                <w:u w:val="none"/>
              </w:rPr>
            </w:pPr>
          </w:p>
        </w:tc>
        <w:tc>
          <w:tcPr>
            <w:tcW w:w="478" w:type="pct"/>
            <w:tcBorders>
              <w:top w:val="nil"/>
              <w:left w:val="nil"/>
              <w:bottom w:val="single" w:color="000000" w:sz="8" w:space="0"/>
              <w:right w:val="single" w:color="000000" w:sz="8" w:space="0"/>
            </w:tcBorders>
            <w:noWrap w:val="0"/>
            <w:vAlign w:val="center"/>
          </w:tcPr>
          <w:p w14:paraId="7D3D9207">
            <w:pPr>
              <w:spacing w:line="240" w:lineRule="auto"/>
              <w:ind w:firstLine="0" w:firstLineChars="0"/>
              <w:jc w:val="center"/>
              <w:rPr>
                <w:rFonts w:hint="default" w:ascii="Times New Roman" w:hAnsi="Times New Roman" w:eastAsia="宋体" w:cs="Times New Roman"/>
                <w:b/>
                <w:bCs/>
                <w:i w:val="0"/>
                <w:iCs w:val="0"/>
                <w:color w:val="000000"/>
                <w:sz w:val="18"/>
                <w:szCs w:val="18"/>
                <w:u w:val="none"/>
              </w:rPr>
            </w:pPr>
          </w:p>
        </w:tc>
        <w:tc>
          <w:tcPr>
            <w:tcW w:w="329" w:type="pct"/>
            <w:tcBorders>
              <w:top w:val="nil"/>
              <w:left w:val="nil"/>
              <w:bottom w:val="single" w:color="000000" w:sz="8" w:space="0"/>
              <w:right w:val="single" w:color="000000" w:sz="8" w:space="0"/>
            </w:tcBorders>
            <w:noWrap w:val="0"/>
            <w:vAlign w:val="center"/>
          </w:tcPr>
          <w:p w14:paraId="2DB7CF7D">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b/>
                <w:bCs/>
                <w:i w:val="0"/>
                <w:iCs w:val="0"/>
                <w:color w:val="000000"/>
                <w:sz w:val="18"/>
                <w:szCs w:val="18"/>
                <w:u w:val="none"/>
              </w:rPr>
            </w:pPr>
            <w:r>
              <w:rPr>
                <w:rFonts w:hint="default" w:ascii="Times New Roman" w:hAnsi="Times New Roman" w:eastAsia="宋体" w:cs="Times New Roman"/>
                <w:b/>
                <w:bCs/>
                <w:i w:val="0"/>
                <w:iCs w:val="0"/>
                <w:color w:val="000000"/>
                <w:kern w:val="0"/>
                <w:sz w:val="18"/>
                <w:szCs w:val="18"/>
                <w:u w:val="none"/>
                <w:lang w:val="en-US" w:eastAsia="zh-CN" w:bidi="ar"/>
              </w:rPr>
              <w:t>11.94%</w:t>
            </w:r>
          </w:p>
        </w:tc>
        <w:tc>
          <w:tcPr>
            <w:tcW w:w="1013" w:type="pct"/>
            <w:tcBorders>
              <w:top w:val="nil"/>
              <w:left w:val="nil"/>
              <w:bottom w:val="single" w:color="000000" w:sz="8" w:space="0"/>
              <w:right w:val="single" w:color="000000" w:sz="8" w:space="0"/>
            </w:tcBorders>
            <w:noWrap w:val="0"/>
            <w:vAlign w:val="center"/>
          </w:tcPr>
          <w:p w14:paraId="00B6A67F">
            <w:pPr>
              <w:spacing w:line="240" w:lineRule="auto"/>
              <w:ind w:firstLine="0" w:firstLineChars="0"/>
              <w:jc w:val="center"/>
              <w:rPr>
                <w:rFonts w:hint="default" w:ascii="Times New Roman" w:hAnsi="Times New Roman" w:eastAsia="宋体" w:cs="Times New Roman"/>
                <w:b/>
                <w:bCs/>
                <w:i w:val="0"/>
                <w:iCs w:val="0"/>
                <w:color w:val="000000"/>
                <w:sz w:val="18"/>
                <w:szCs w:val="18"/>
                <w:u w:val="none"/>
              </w:rPr>
            </w:pPr>
          </w:p>
        </w:tc>
      </w:tr>
      <w:tr w14:paraId="4AE2390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3" w:hRule="atLeast"/>
        </w:trPr>
        <w:tc>
          <w:tcPr>
            <w:tcW w:w="273" w:type="pct"/>
            <w:tcBorders>
              <w:top w:val="nil"/>
              <w:left w:val="single" w:color="000000" w:sz="8" w:space="0"/>
              <w:bottom w:val="single" w:color="000000" w:sz="8" w:space="0"/>
              <w:right w:val="single" w:color="000000" w:sz="8" w:space="0"/>
            </w:tcBorders>
            <w:noWrap w:val="0"/>
            <w:vAlign w:val="center"/>
          </w:tcPr>
          <w:p w14:paraId="31310459">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一</w:t>
            </w:r>
          </w:p>
        </w:tc>
        <w:tc>
          <w:tcPr>
            <w:tcW w:w="675" w:type="pct"/>
            <w:tcBorders>
              <w:top w:val="nil"/>
              <w:left w:val="nil"/>
              <w:bottom w:val="single" w:color="000000" w:sz="8" w:space="0"/>
              <w:right w:val="single" w:color="000000" w:sz="8" w:space="0"/>
            </w:tcBorders>
            <w:noWrap w:val="0"/>
            <w:vAlign w:val="center"/>
          </w:tcPr>
          <w:p w14:paraId="1A44D72D">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城东新区环卫运营中心</w:t>
            </w:r>
          </w:p>
        </w:tc>
        <w:tc>
          <w:tcPr>
            <w:tcW w:w="398" w:type="pct"/>
            <w:tcBorders>
              <w:top w:val="nil"/>
              <w:left w:val="nil"/>
              <w:bottom w:val="single" w:color="000000" w:sz="8" w:space="0"/>
              <w:right w:val="single" w:color="000000" w:sz="8" w:space="0"/>
            </w:tcBorders>
            <w:noWrap w:val="0"/>
            <w:vAlign w:val="center"/>
          </w:tcPr>
          <w:p w14:paraId="7BDD2E47">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color w:val="000000"/>
                <w:kern w:val="0"/>
                <w:sz w:val="18"/>
                <w:szCs w:val="18"/>
                <w:u w:val="none"/>
                <w:lang w:val="en-US" w:eastAsia="zh-CN" w:bidi="ar"/>
              </w:rPr>
              <w:t>254.56</w:t>
            </w:r>
          </w:p>
        </w:tc>
        <w:tc>
          <w:tcPr>
            <w:tcW w:w="398" w:type="pct"/>
            <w:tcBorders>
              <w:top w:val="nil"/>
              <w:left w:val="nil"/>
              <w:bottom w:val="single" w:color="000000" w:sz="8" w:space="0"/>
              <w:right w:val="single" w:color="000000" w:sz="8" w:space="0"/>
            </w:tcBorders>
            <w:noWrap w:val="0"/>
            <w:vAlign w:val="center"/>
          </w:tcPr>
          <w:p w14:paraId="7427672F">
            <w:pPr>
              <w:spacing w:line="240" w:lineRule="auto"/>
              <w:ind w:firstLine="0" w:firstLineChars="0"/>
              <w:jc w:val="center"/>
              <w:rPr>
                <w:rFonts w:hint="default" w:ascii="Times New Roman" w:hAnsi="Times New Roman" w:eastAsia="宋体" w:cs="Times New Roman"/>
                <w:i w:val="0"/>
                <w:iCs w:val="0"/>
                <w:color w:val="000000"/>
                <w:sz w:val="18"/>
                <w:szCs w:val="18"/>
                <w:u w:val="none"/>
              </w:rPr>
            </w:pPr>
          </w:p>
        </w:tc>
        <w:tc>
          <w:tcPr>
            <w:tcW w:w="398" w:type="pct"/>
            <w:tcBorders>
              <w:top w:val="nil"/>
              <w:left w:val="nil"/>
              <w:bottom w:val="single" w:color="000000" w:sz="8" w:space="0"/>
              <w:right w:val="single" w:color="000000" w:sz="8" w:space="0"/>
            </w:tcBorders>
            <w:noWrap w:val="0"/>
            <w:vAlign w:val="center"/>
          </w:tcPr>
          <w:p w14:paraId="7DC62B07">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color w:val="000000"/>
                <w:kern w:val="0"/>
                <w:sz w:val="18"/>
                <w:szCs w:val="18"/>
                <w:u w:val="none"/>
                <w:lang w:val="en-US" w:eastAsia="zh-CN" w:bidi="ar"/>
              </w:rPr>
              <w:t>20.8</w:t>
            </w:r>
          </w:p>
        </w:tc>
        <w:tc>
          <w:tcPr>
            <w:tcW w:w="346" w:type="pct"/>
            <w:tcBorders>
              <w:top w:val="nil"/>
              <w:left w:val="nil"/>
              <w:bottom w:val="single" w:color="000000" w:sz="8" w:space="0"/>
              <w:right w:val="single" w:color="000000" w:sz="8" w:space="0"/>
            </w:tcBorders>
            <w:noWrap w:val="0"/>
            <w:vAlign w:val="center"/>
          </w:tcPr>
          <w:p w14:paraId="774BB39E">
            <w:pPr>
              <w:spacing w:line="240" w:lineRule="auto"/>
              <w:ind w:firstLine="0" w:firstLineChars="0"/>
              <w:jc w:val="center"/>
              <w:rPr>
                <w:rFonts w:hint="default" w:ascii="Times New Roman" w:hAnsi="Times New Roman" w:eastAsia="宋体" w:cs="Times New Roman"/>
                <w:i w:val="0"/>
                <w:iCs w:val="0"/>
                <w:color w:val="000000"/>
                <w:sz w:val="18"/>
                <w:szCs w:val="18"/>
                <w:u w:val="none"/>
              </w:rPr>
            </w:pPr>
          </w:p>
        </w:tc>
        <w:tc>
          <w:tcPr>
            <w:tcW w:w="326" w:type="pct"/>
            <w:tcBorders>
              <w:top w:val="nil"/>
              <w:left w:val="nil"/>
              <w:bottom w:val="single" w:color="000000" w:sz="8" w:space="0"/>
              <w:right w:val="single" w:color="000000" w:sz="8" w:space="0"/>
            </w:tcBorders>
            <w:noWrap w:val="0"/>
            <w:vAlign w:val="center"/>
          </w:tcPr>
          <w:p w14:paraId="74CB1C92">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color w:val="000000"/>
                <w:kern w:val="0"/>
                <w:sz w:val="18"/>
                <w:szCs w:val="18"/>
                <w:u w:val="none"/>
                <w:lang w:val="en-US" w:eastAsia="zh-CN" w:bidi="ar"/>
              </w:rPr>
              <w:t>275.36</w:t>
            </w:r>
          </w:p>
        </w:tc>
        <w:tc>
          <w:tcPr>
            <w:tcW w:w="148" w:type="pct"/>
            <w:tcBorders>
              <w:top w:val="nil"/>
              <w:left w:val="nil"/>
              <w:bottom w:val="single" w:color="000000" w:sz="8" w:space="0"/>
              <w:right w:val="single" w:color="000000" w:sz="8" w:space="0"/>
            </w:tcBorders>
            <w:noWrap w:val="0"/>
            <w:vAlign w:val="center"/>
          </w:tcPr>
          <w:p w14:paraId="0D815F3B">
            <w:pPr>
              <w:spacing w:line="240" w:lineRule="auto"/>
              <w:ind w:firstLine="0" w:firstLineChars="0"/>
              <w:jc w:val="center"/>
              <w:rPr>
                <w:rFonts w:hint="default" w:ascii="Times New Roman" w:hAnsi="Times New Roman" w:eastAsia="宋体" w:cs="Times New Roman"/>
                <w:i w:val="0"/>
                <w:iCs w:val="0"/>
                <w:color w:val="000000"/>
                <w:sz w:val="18"/>
                <w:szCs w:val="18"/>
                <w:u w:val="none"/>
              </w:rPr>
            </w:pPr>
          </w:p>
        </w:tc>
        <w:tc>
          <w:tcPr>
            <w:tcW w:w="211" w:type="pct"/>
            <w:tcBorders>
              <w:top w:val="nil"/>
              <w:left w:val="nil"/>
              <w:bottom w:val="single" w:color="000000" w:sz="8" w:space="0"/>
              <w:right w:val="single" w:color="000000" w:sz="8" w:space="0"/>
            </w:tcBorders>
            <w:noWrap w:val="0"/>
            <w:vAlign w:val="center"/>
          </w:tcPr>
          <w:p w14:paraId="64FF6AD4">
            <w:pPr>
              <w:spacing w:line="240" w:lineRule="auto"/>
              <w:ind w:firstLine="0" w:firstLineChars="0"/>
              <w:jc w:val="center"/>
              <w:rPr>
                <w:rFonts w:hint="default" w:ascii="Times New Roman" w:hAnsi="Times New Roman" w:eastAsia="宋体" w:cs="Times New Roman"/>
                <w:i w:val="0"/>
                <w:iCs w:val="0"/>
                <w:color w:val="000000"/>
                <w:sz w:val="18"/>
                <w:szCs w:val="18"/>
                <w:u w:val="none"/>
              </w:rPr>
            </w:pPr>
          </w:p>
        </w:tc>
        <w:tc>
          <w:tcPr>
            <w:tcW w:w="478" w:type="pct"/>
            <w:tcBorders>
              <w:top w:val="nil"/>
              <w:left w:val="nil"/>
              <w:bottom w:val="single" w:color="000000" w:sz="8" w:space="0"/>
              <w:right w:val="single" w:color="000000" w:sz="8" w:space="0"/>
            </w:tcBorders>
            <w:noWrap w:val="0"/>
            <w:vAlign w:val="center"/>
          </w:tcPr>
          <w:p w14:paraId="7F1583ED">
            <w:pPr>
              <w:spacing w:line="240" w:lineRule="auto"/>
              <w:ind w:firstLine="0" w:firstLineChars="0"/>
              <w:jc w:val="center"/>
              <w:rPr>
                <w:rFonts w:hint="default" w:ascii="Times New Roman" w:hAnsi="Times New Roman" w:eastAsia="宋体" w:cs="Times New Roman"/>
                <w:i w:val="0"/>
                <w:iCs w:val="0"/>
                <w:color w:val="000000"/>
                <w:sz w:val="18"/>
                <w:szCs w:val="18"/>
                <w:u w:val="none"/>
              </w:rPr>
            </w:pPr>
          </w:p>
        </w:tc>
        <w:tc>
          <w:tcPr>
            <w:tcW w:w="329" w:type="pct"/>
            <w:tcBorders>
              <w:top w:val="nil"/>
              <w:left w:val="nil"/>
              <w:bottom w:val="single" w:color="000000" w:sz="8" w:space="0"/>
              <w:right w:val="single" w:color="000000" w:sz="8" w:space="0"/>
            </w:tcBorders>
            <w:noWrap w:val="0"/>
            <w:vAlign w:val="center"/>
          </w:tcPr>
          <w:p w14:paraId="39DCD1D3">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b/>
                <w:bCs/>
                <w:i w:val="0"/>
                <w:iCs w:val="0"/>
                <w:color w:val="000000"/>
                <w:sz w:val="18"/>
                <w:szCs w:val="18"/>
                <w:u w:val="none"/>
              </w:rPr>
            </w:pPr>
            <w:r>
              <w:rPr>
                <w:rFonts w:hint="default" w:ascii="Times New Roman" w:hAnsi="Times New Roman" w:eastAsia="宋体" w:cs="Times New Roman"/>
                <w:b/>
                <w:bCs/>
                <w:i w:val="0"/>
                <w:iCs w:val="0"/>
                <w:color w:val="000000"/>
                <w:kern w:val="0"/>
                <w:sz w:val="18"/>
                <w:szCs w:val="18"/>
                <w:u w:val="none"/>
                <w:lang w:val="en-US" w:eastAsia="zh-CN" w:bidi="ar"/>
              </w:rPr>
              <w:t>2.70%</w:t>
            </w:r>
          </w:p>
        </w:tc>
        <w:tc>
          <w:tcPr>
            <w:tcW w:w="1013" w:type="pct"/>
            <w:tcBorders>
              <w:top w:val="nil"/>
              <w:left w:val="nil"/>
              <w:bottom w:val="single" w:color="000000" w:sz="8" w:space="0"/>
              <w:right w:val="single" w:color="000000" w:sz="8" w:space="0"/>
            </w:tcBorders>
            <w:noWrap w:val="0"/>
            <w:vAlign w:val="center"/>
          </w:tcPr>
          <w:p w14:paraId="73011DEB">
            <w:pPr>
              <w:spacing w:line="240" w:lineRule="auto"/>
              <w:ind w:firstLine="0" w:firstLineChars="0"/>
              <w:jc w:val="center"/>
              <w:rPr>
                <w:rFonts w:hint="default" w:ascii="Times New Roman" w:hAnsi="Times New Roman" w:eastAsia="宋体" w:cs="Times New Roman"/>
                <w:i w:val="0"/>
                <w:iCs w:val="0"/>
                <w:color w:val="000000"/>
                <w:sz w:val="18"/>
                <w:szCs w:val="18"/>
                <w:u w:val="none"/>
              </w:rPr>
            </w:pPr>
          </w:p>
        </w:tc>
      </w:tr>
      <w:tr w14:paraId="7080218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3" w:hRule="atLeast"/>
        </w:trPr>
        <w:tc>
          <w:tcPr>
            <w:tcW w:w="273" w:type="pct"/>
            <w:tcBorders>
              <w:top w:val="nil"/>
              <w:left w:val="single" w:color="000000" w:sz="8" w:space="0"/>
              <w:bottom w:val="single" w:color="000000" w:sz="8" w:space="0"/>
              <w:right w:val="single" w:color="000000" w:sz="8" w:space="0"/>
            </w:tcBorders>
            <w:noWrap w:val="0"/>
            <w:vAlign w:val="center"/>
          </w:tcPr>
          <w:p w14:paraId="01C4268A">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color w:val="000000"/>
                <w:kern w:val="0"/>
                <w:sz w:val="18"/>
                <w:szCs w:val="18"/>
                <w:u w:val="none"/>
                <w:lang w:val="en-US" w:eastAsia="zh-CN" w:bidi="ar"/>
              </w:rPr>
              <w:t>1</w:t>
            </w:r>
          </w:p>
        </w:tc>
        <w:tc>
          <w:tcPr>
            <w:tcW w:w="675" w:type="pct"/>
            <w:tcBorders>
              <w:top w:val="nil"/>
              <w:left w:val="nil"/>
              <w:bottom w:val="single" w:color="000000" w:sz="8" w:space="0"/>
              <w:right w:val="single" w:color="000000" w:sz="8" w:space="0"/>
            </w:tcBorders>
            <w:noWrap w:val="0"/>
            <w:vAlign w:val="center"/>
          </w:tcPr>
          <w:p w14:paraId="56329414">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建筑及装饰</w:t>
            </w:r>
          </w:p>
        </w:tc>
        <w:tc>
          <w:tcPr>
            <w:tcW w:w="398" w:type="pct"/>
            <w:tcBorders>
              <w:top w:val="nil"/>
              <w:left w:val="nil"/>
              <w:bottom w:val="single" w:color="000000" w:sz="8" w:space="0"/>
              <w:right w:val="single" w:color="000000" w:sz="8" w:space="0"/>
            </w:tcBorders>
            <w:noWrap w:val="0"/>
            <w:vAlign w:val="center"/>
          </w:tcPr>
          <w:p w14:paraId="3BDFFE9B">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color w:val="000000"/>
                <w:kern w:val="0"/>
                <w:sz w:val="18"/>
                <w:szCs w:val="18"/>
                <w:u w:val="none"/>
                <w:lang w:val="en-US" w:eastAsia="zh-CN" w:bidi="ar"/>
              </w:rPr>
              <w:t>254.56</w:t>
            </w:r>
          </w:p>
        </w:tc>
        <w:tc>
          <w:tcPr>
            <w:tcW w:w="398" w:type="pct"/>
            <w:tcBorders>
              <w:top w:val="nil"/>
              <w:left w:val="nil"/>
              <w:bottom w:val="single" w:color="000000" w:sz="8" w:space="0"/>
              <w:right w:val="single" w:color="000000" w:sz="8" w:space="0"/>
            </w:tcBorders>
            <w:noWrap w:val="0"/>
            <w:vAlign w:val="center"/>
          </w:tcPr>
          <w:p w14:paraId="590304A7">
            <w:pPr>
              <w:spacing w:line="240" w:lineRule="auto"/>
              <w:ind w:firstLine="0" w:firstLineChars="0"/>
              <w:jc w:val="center"/>
              <w:rPr>
                <w:rFonts w:hint="default" w:ascii="Times New Roman" w:hAnsi="Times New Roman" w:eastAsia="宋体" w:cs="Times New Roman"/>
                <w:i w:val="0"/>
                <w:iCs w:val="0"/>
                <w:color w:val="000000"/>
                <w:sz w:val="18"/>
                <w:szCs w:val="18"/>
                <w:u w:val="none"/>
              </w:rPr>
            </w:pPr>
          </w:p>
        </w:tc>
        <w:tc>
          <w:tcPr>
            <w:tcW w:w="398" w:type="pct"/>
            <w:tcBorders>
              <w:top w:val="nil"/>
              <w:left w:val="nil"/>
              <w:bottom w:val="single" w:color="000000" w:sz="8" w:space="0"/>
              <w:right w:val="single" w:color="000000" w:sz="8" w:space="0"/>
            </w:tcBorders>
            <w:noWrap w:val="0"/>
            <w:vAlign w:val="center"/>
          </w:tcPr>
          <w:p w14:paraId="50B35EFB">
            <w:pPr>
              <w:spacing w:line="240" w:lineRule="auto"/>
              <w:ind w:firstLine="0" w:firstLineChars="0"/>
              <w:jc w:val="center"/>
              <w:rPr>
                <w:rFonts w:hint="default" w:ascii="Times New Roman" w:hAnsi="Times New Roman" w:eastAsia="宋体" w:cs="Times New Roman"/>
                <w:i w:val="0"/>
                <w:iCs w:val="0"/>
                <w:color w:val="000000"/>
                <w:sz w:val="18"/>
                <w:szCs w:val="18"/>
                <w:u w:val="none"/>
              </w:rPr>
            </w:pPr>
          </w:p>
        </w:tc>
        <w:tc>
          <w:tcPr>
            <w:tcW w:w="346" w:type="pct"/>
            <w:tcBorders>
              <w:top w:val="nil"/>
              <w:left w:val="nil"/>
              <w:bottom w:val="single" w:color="000000" w:sz="8" w:space="0"/>
              <w:right w:val="single" w:color="000000" w:sz="8" w:space="0"/>
            </w:tcBorders>
            <w:noWrap w:val="0"/>
            <w:vAlign w:val="center"/>
          </w:tcPr>
          <w:p w14:paraId="5C90F0F4">
            <w:pPr>
              <w:spacing w:line="240" w:lineRule="auto"/>
              <w:ind w:firstLine="0" w:firstLineChars="0"/>
              <w:jc w:val="center"/>
              <w:rPr>
                <w:rFonts w:hint="default" w:ascii="Times New Roman" w:hAnsi="Times New Roman" w:eastAsia="宋体" w:cs="Times New Roman"/>
                <w:i w:val="0"/>
                <w:iCs w:val="0"/>
                <w:color w:val="000000"/>
                <w:sz w:val="18"/>
                <w:szCs w:val="18"/>
                <w:u w:val="none"/>
              </w:rPr>
            </w:pPr>
          </w:p>
        </w:tc>
        <w:tc>
          <w:tcPr>
            <w:tcW w:w="326" w:type="pct"/>
            <w:tcBorders>
              <w:top w:val="nil"/>
              <w:left w:val="nil"/>
              <w:bottom w:val="single" w:color="000000" w:sz="8" w:space="0"/>
              <w:right w:val="single" w:color="000000" w:sz="8" w:space="0"/>
            </w:tcBorders>
            <w:noWrap w:val="0"/>
            <w:vAlign w:val="center"/>
          </w:tcPr>
          <w:p w14:paraId="66693123">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color w:val="000000"/>
                <w:kern w:val="0"/>
                <w:sz w:val="18"/>
                <w:szCs w:val="18"/>
                <w:u w:val="none"/>
                <w:lang w:val="en-US" w:eastAsia="zh-CN" w:bidi="ar"/>
              </w:rPr>
              <w:t>254.56</w:t>
            </w:r>
          </w:p>
        </w:tc>
        <w:tc>
          <w:tcPr>
            <w:tcW w:w="148" w:type="pct"/>
            <w:tcBorders>
              <w:top w:val="nil"/>
              <w:left w:val="nil"/>
              <w:bottom w:val="single" w:color="000000" w:sz="8" w:space="0"/>
              <w:right w:val="single" w:color="000000" w:sz="8" w:space="0"/>
            </w:tcBorders>
            <w:noWrap w:val="0"/>
            <w:vAlign w:val="center"/>
          </w:tcPr>
          <w:p w14:paraId="00735A9A">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w:t>
            </w:r>
          </w:p>
        </w:tc>
        <w:tc>
          <w:tcPr>
            <w:tcW w:w="211" w:type="pct"/>
            <w:tcBorders>
              <w:top w:val="nil"/>
              <w:left w:val="nil"/>
              <w:bottom w:val="single" w:color="000000" w:sz="8" w:space="0"/>
              <w:right w:val="single" w:color="000000" w:sz="8" w:space="0"/>
            </w:tcBorders>
            <w:noWrap w:val="0"/>
            <w:vAlign w:val="center"/>
          </w:tcPr>
          <w:p w14:paraId="3AA92A58">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color w:val="000000"/>
                <w:kern w:val="0"/>
                <w:sz w:val="18"/>
                <w:szCs w:val="18"/>
                <w:u w:val="none"/>
                <w:lang w:val="en-US" w:eastAsia="zh-CN" w:bidi="ar"/>
              </w:rPr>
              <w:t>800</w:t>
            </w:r>
          </w:p>
        </w:tc>
        <w:tc>
          <w:tcPr>
            <w:tcW w:w="478" w:type="pct"/>
            <w:tcBorders>
              <w:top w:val="nil"/>
              <w:left w:val="nil"/>
              <w:bottom w:val="single" w:color="000000" w:sz="8" w:space="0"/>
              <w:right w:val="single" w:color="000000" w:sz="8" w:space="0"/>
            </w:tcBorders>
            <w:noWrap w:val="0"/>
            <w:vAlign w:val="center"/>
          </w:tcPr>
          <w:p w14:paraId="20B32DCA">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color w:val="000000"/>
                <w:kern w:val="0"/>
                <w:sz w:val="18"/>
                <w:szCs w:val="18"/>
                <w:u w:val="none"/>
                <w:lang w:val="en-US" w:eastAsia="zh-CN" w:bidi="ar"/>
              </w:rPr>
              <w:t>3182</w:t>
            </w:r>
          </w:p>
        </w:tc>
        <w:tc>
          <w:tcPr>
            <w:tcW w:w="329" w:type="pct"/>
            <w:tcBorders>
              <w:top w:val="nil"/>
              <w:left w:val="nil"/>
              <w:bottom w:val="single" w:color="000000" w:sz="8" w:space="0"/>
              <w:right w:val="single" w:color="000000" w:sz="8" w:space="0"/>
            </w:tcBorders>
            <w:noWrap w:val="0"/>
            <w:vAlign w:val="center"/>
          </w:tcPr>
          <w:p w14:paraId="373E79EF">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b/>
                <w:bCs/>
                <w:i w:val="0"/>
                <w:iCs w:val="0"/>
                <w:color w:val="000000"/>
                <w:sz w:val="18"/>
                <w:szCs w:val="18"/>
                <w:u w:val="none"/>
              </w:rPr>
            </w:pPr>
            <w:r>
              <w:rPr>
                <w:rFonts w:hint="default" w:ascii="Times New Roman" w:hAnsi="Times New Roman" w:eastAsia="宋体" w:cs="Times New Roman"/>
                <w:b/>
                <w:bCs/>
                <w:i w:val="0"/>
                <w:iCs w:val="0"/>
                <w:color w:val="000000"/>
                <w:kern w:val="0"/>
                <w:sz w:val="18"/>
                <w:szCs w:val="18"/>
                <w:u w:val="none"/>
                <w:lang w:val="en-US" w:eastAsia="zh-CN" w:bidi="ar"/>
              </w:rPr>
              <w:t>2.50%</w:t>
            </w:r>
          </w:p>
        </w:tc>
        <w:tc>
          <w:tcPr>
            <w:tcW w:w="1013" w:type="pct"/>
            <w:tcBorders>
              <w:top w:val="nil"/>
              <w:left w:val="nil"/>
              <w:bottom w:val="single" w:color="000000" w:sz="8" w:space="0"/>
              <w:right w:val="single" w:color="000000" w:sz="8" w:space="0"/>
            </w:tcBorders>
            <w:noWrap w:val="0"/>
            <w:vAlign w:val="center"/>
          </w:tcPr>
          <w:p w14:paraId="694EA371">
            <w:pPr>
              <w:spacing w:line="240" w:lineRule="auto"/>
              <w:ind w:firstLine="0" w:firstLineChars="0"/>
              <w:jc w:val="center"/>
              <w:rPr>
                <w:rFonts w:hint="default" w:ascii="Times New Roman" w:hAnsi="Times New Roman" w:eastAsia="宋体" w:cs="Times New Roman"/>
                <w:i w:val="0"/>
                <w:iCs w:val="0"/>
                <w:color w:val="000000"/>
                <w:sz w:val="18"/>
                <w:szCs w:val="18"/>
                <w:u w:val="none"/>
              </w:rPr>
            </w:pPr>
          </w:p>
        </w:tc>
      </w:tr>
      <w:tr w14:paraId="6FEDBAB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3" w:hRule="atLeast"/>
        </w:trPr>
        <w:tc>
          <w:tcPr>
            <w:tcW w:w="273" w:type="pct"/>
            <w:tcBorders>
              <w:top w:val="nil"/>
              <w:left w:val="single" w:color="000000" w:sz="8" w:space="0"/>
              <w:bottom w:val="single" w:color="000000" w:sz="8" w:space="0"/>
              <w:right w:val="single" w:color="000000" w:sz="8" w:space="0"/>
            </w:tcBorders>
            <w:noWrap w:val="0"/>
            <w:vAlign w:val="center"/>
          </w:tcPr>
          <w:p w14:paraId="71D658B0">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color w:val="000000"/>
                <w:kern w:val="0"/>
                <w:sz w:val="18"/>
                <w:szCs w:val="18"/>
                <w:u w:val="none"/>
                <w:lang w:val="en-US" w:eastAsia="zh-CN" w:bidi="ar"/>
              </w:rPr>
              <w:t>2</w:t>
            </w:r>
          </w:p>
        </w:tc>
        <w:tc>
          <w:tcPr>
            <w:tcW w:w="675" w:type="pct"/>
            <w:tcBorders>
              <w:top w:val="nil"/>
              <w:left w:val="nil"/>
              <w:bottom w:val="single" w:color="000000" w:sz="8" w:space="0"/>
              <w:right w:val="single" w:color="000000" w:sz="8" w:space="0"/>
            </w:tcBorders>
            <w:noWrap w:val="0"/>
            <w:vAlign w:val="center"/>
          </w:tcPr>
          <w:p w14:paraId="053DD2A3">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安装工程</w:t>
            </w:r>
          </w:p>
        </w:tc>
        <w:tc>
          <w:tcPr>
            <w:tcW w:w="398" w:type="pct"/>
            <w:tcBorders>
              <w:top w:val="nil"/>
              <w:left w:val="nil"/>
              <w:bottom w:val="single" w:color="000000" w:sz="8" w:space="0"/>
              <w:right w:val="single" w:color="000000" w:sz="8" w:space="0"/>
            </w:tcBorders>
            <w:noWrap w:val="0"/>
            <w:vAlign w:val="center"/>
          </w:tcPr>
          <w:p w14:paraId="477436FC">
            <w:pPr>
              <w:spacing w:line="240" w:lineRule="auto"/>
              <w:ind w:firstLine="0" w:firstLineChars="0"/>
              <w:jc w:val="center"/>
              <w:rPr>
                <w:rFonts w:hint="default" w:ascii="Times New Roman" w:hAnsi="Times New Roman" w:eastAsia="宋体" w:cs="Times New Roman"/>
                <w:i w:val="0"/>
                <w:iCs w:val="0"/>
                <w:color w:val="000000"/>
                <w:sz w:val="18"/>
                <w:szCs w:val="18"/>
                <w:u w:val="none"/>
              </w:rPr>
            </w:pPr>
          </w:p>
        </w:tc>
        <w:tc>
          <w:tcPr>
            <w:tcW w:w="398" w:type="pct"/>
            <w:tcBorders>
              <w:top w:val="nil"/>
              <w:left w:val="nil"/>
              <w:bottom w:val="single" w:color="000000" w:sz="8" w:space="0"/>
              <w:right w:val="single" w:color="000000" w:sz="8" w:space="0"/>
            </w:tcBorders>
            <w:noWrap w:val="0"/>
            <w:vAlign w:val="center"/>
          </w:tcPr>
          <w:p w14:paraId="031107A4">
            <w:pPr>
              <w:spacing w:line="240" w:lineRule="auto"/>
              <w:ind w:firstLine="0" w:firstLineChars="0"/>
              <w:jc w:val="center"/>
              <w:rPr>
                <w:rFonts w:hint="default" w:ascii="Times New Roman" w:hAnsi="Times New Roman" w:eastAsia="宋体" w:cs="Times New Roman"/>
                <w:i w:val="0"/>
                <w:iCs w:val="0"/>
                <w:color w:val="000000"/>
                <w:sz w:val="18"/>
                <w:szCs w:val="18"/>
                <w:u w:val="none"/>
              </w:rPr>
            </w:pPr>
          </w:p>
        </w:tc>
        <w:tc>
          <w:tcPr>
            <w:tcW w:w="398" w:type="pct"/>
            <w:tcBorders>
              <w:top w:val="nil"/>
              <w:left w:val="nil"/>
              <w:bottom w:val="single" w:color="000000" w:sz="8" w:space="0"/>
              <w:right w:val="single" w:color="000000" w:sz="8" w:space="0"/>
            </w:tcBorders>
            <w:noWrap w:val="0"/>
            <w:vAlign w:val="center"/>
          </w:tcPr>
          <w:p w14:paraId="0B34F839">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color w:val="000000"/>
                <w:kern w:val="0"/>
                <w:sz w:val="18"/>
                <w:szCs w:val="18"/>
                <w:u w:val="none"/>
                <w:lang w:val="en-US" w:eastAsia="zh-CN" w:bidi="ar"/>
              </w:rPr>
              <w:t>20.8</w:t>
            </w:r>
          </w:p>
        </w:tc>
        <w:tc>
          <w:tcPr>
            <w:tcW w:w="346" w:type="pct"/>
            <w:tcBorders>
              <w:top w:val="nil"/>
              <w:left w:val="nil"/>
              <w:bottom w:val="single" w:color="000000" w:sz="8" w:space="0"/>
              <w:right w:val="single" w:color="000000" w:sz="8" w:space="0"/>
            </w:tcBorders>
            <w:noWrap w:val="0"/>
            <w:vAlign w:val="center"/>
          </w:tcPr>
          <w:p w14:paraId="3C64ECCA">
            <w:pPr>
              <w:spacing w:line="240" w:lineRule="auto"/>
              <w:ind w:firstLine="0" w:firstLineChars="0"/>
              <w:jc w:val="center"/>
              <w:rPr>
                <w:rFonts w:hint="default" w:ascii="Times New Roman" w:hAnsi="Times New Roman" w:eastAsia="宋体" w:cs="Times New Roman"/>
                <w:i w:val="0"/>
                <w:iCs w:val="0"/>
                <w:color w:val="000000"/>
                <w:sz w:val="18"/>
                <w:szCs w:val="18"/>
                <w:u w:val="none"/>
              </w:rPr>
            </w:pPr>
          </w:p>
        </w:tc>
        <w:tc>
          <w:tcPr>
            <w:tcW w:w="326" w:type="pct"/>
            <w:tcBorders>
              <w:top w:val="nil"/>
              <w:left w:val="nil"/>
              <w:bottom w:val="single" w:color="000000" w:sz="8" w:space="0"/>
              <w:right w:val="single" w:color="000000" w:sz="8" w:space="0"/>
            </w:tcBorders>
            <w:noWrap w:val="0"/>
            <w:vAlign w:val="center"/>
          </w:tcPr>
          <w:p w14:paraId="798E17BA">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color w:val="000000"/>
                <w:kern w:val="0"/>
                <w:sz w:val="18"/>
                <w:szCs w:val="18"/>
                <w:u w:val="none"/>
                <w:lang w:val="en-US" w:eastAsia="zh-CN" w:bidi="ar"/>
              </w:rPr>
              <w:t>20.8</w:t>
            </w:r>
          </w:p>
        </w:tc>
        <w:tc>
          <w:tcPr>
            <w:tcW w:w="148" w:type="pct"/>
            <w:tcBorders>
              <w:top w:val="nil"/>
              <w:left w:val="nil"/>
              <w:bottom w:val="single" w:color="000000" w:sz="8" w:space="0"/>
              <w:right w:val="single" w:color="000000" w:sz="8" w:space="0"/>
            </w:tcBorders>
            <w:noWrap w:val="0"/>
            <w:vAlign w:val="center"/>
          </w:tcPr>
          <w:p w14:paraId="38EF9F20">
            <w:pPr>
              <w:spacing w:line="240" w:lineRule="auto"/>
              <w:ind w:firstLine="0" w:firstLineChars="0"/>
              <w:jc w:val="center"/>
              <w:rPr>
                <w:rFonts w:hint="default" w:ascii="Times New Roman" w:hAnsi="Times New Roman" w:eastAsia="宋体" w:cs="Times New Roman"/>
                <w:i w:val="0"/>
                <w:iCs w:val="0"/>
                <w:color w:val="000000"/>
                <w:sz w:val="18"/>
                <w:szCs w:val="18"/>
                <w:u w:val="none"/>
              </w:rPr>
            </w:pPr>
          </w:p>
        </w:tc>
        <w:tc>
          <w:tcPr>
            <w:tcW w:w="211" w:type="pct"/>
            <w:tcBorders>
              <w:top w:val="nil"/>
              <w:left w:val="nil"/>
              <w:bottom w:val="single" w:color="000000" w:sz="8" w:space="0"/>
              <w:right w:val="single" w:color="000000" w:sz="8" w:space="0"/>
            </w:tcBorders>
            <w:noWrap w:val="0"/>
            <w:vAlign w:val="center"/>
          </w:tcPr>
          <w:p w14:paraId="041EF8E6">
            <w:pPr>
              <w:spacing w:line="240" w:lineRule="auto"/>
              <w:ind w:firstLine="0" w:firstLineChars="0"/>
              <w:jc w:val="center"/>
              <w:rPr>
                <w:rFonts w:hint="default" w:ascii="Times New Roman" w:hAnsi="Times New Roman" w:eastAsia="宋体" w:cs="Times New Roman"/>
                <w:i w:val="0"/>
                <w:iCs w:val="0"/>
                <w:color w:val="000000"/>
                <w:sz w:val="18"/>
                <w:szCs w:val="18"/>
                <w:u w:val="none"/>
              </w:rPr>
            </w:pPr>
          </w:p>
        </w:tc>
        <w:tc>
          <w:tcPr>
            <w:tcW w:w="478" w:type="pct"/>
            <w:tcBorders>
              <w:top w:val="nil"/>
              <w:left w:val="nil"/>
              <w:bottom w:val="single" w:color="000000" w:sz="8" w:space="0"/>
              <w:right w:val="single" w:color="000000" w:sz="8" w:space="0"/>
            </w:tcBorders>
            <w:noWrap w:val="0"/>
            <w:vAlign w:val="center"/>
          </w:tcPr>
          <w:p w14:paraId="38FF25CA">
            <w:pPr>
              <w:spacing w:line="240" w:lineRule="auto"/>
              <w:ind w:firstLine="0" w:firstLineChars="0"/>
              <w:jc w:val="center"/>
              <w:rPr>
                <w:rFonts w:hint="default" w:ascii="Times New Roman" w:hAnsi="Times New Roman" w:eastAsia="宋体" w:cs="Times New Roman"/>
                <w:i w:val="0"/>
                <w:iCs w:val="0"/>
                <w:color w:val="000000"/>
                <w:sz w:val="18"/>
                <w:szCs w:val="18"/>
                <w:u w:val="none"/>
              </w:rPr>
            </w:pPr>
          </w:p>
        </w:tc>
        <w:tc>
          <w:tcPr>
            <w:tcW w:w="329" w:type="pct"/>
            <w:tcBorders>
              <w:top w:val="nil"/>
              <w:left w:val="nil"/>
              <w:bottom w:val="single" w:color="000000" w:sz="8" w:space="0"/>
              <w:right w:val="single" w:color="000000" w:sz="8" w:space="0"/>
            </w:tcBorders>
            <w:noWrap w:val="0"/>
            <w:vAlign w:val="center"/>
          </w:tcPr>
          <w:p w14:paraId="5A431532">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b/>
                <w:bCs/>
                <w:i w:val="0"/>
                <w:iCs w:val="0"/>
                <w:color w:val="000000"/>
                <w:sz w:val="18"/>
                <w:szCs w:val="18"/>
                <w:u w:val="none"/>
              </w:rPr>
            </w:pPr>
            <w:r>
              <w:rPr>
                <w:rFonts w:hint="default" w:ascii="Times New Roman" w:hAnsi="Times New Roman" w:eastAsia="宋体" w:cs="Times New Roman"/>
                <w:b/>
                <w:bCs/>
                <w:i w:val="0"/>
                <w:iCs w:val="0"/>
                <w:color w:val="000000"/>
                <w:kern w:val="0"/>
                <w:sz w:val="18"/>
                <w:szCs w:val="18"/>
                <w:u w:val="none"/>
                <w:lang w:val="en-US" w:eastAsia="zh-CN" w:bidi="ar"/>
              </w:rPr>
              <w:t>0.20%</w:t>
            </w:r>
          </w:p>
        </w:tc>
        <w:tc>
          <w:tcPr>
            <w:tcW w:w="1013" w:type="pct"/>
            <w:tcBorders>
              <w:top w:val="nil"/>
              <w:left w:val="nil"/>
              <w:bottom w:val="single" w:color="000000" w:sz="8" w:space="0"/>
              <w:right w:val="single" w:color="000000" w:sz="8" w:space="0"/>
            </w:tcBorders>
            <w:noWrap w:val="0"/>
            <w:vAlign w:val="center"/>
          </w:tcPr>
          <w:p w14:paraId="67B82382">
            <w:pPr>
              <w:spacing w:line="240" w:lineRule="auto"/>
              <w:ind w:firstLine="0" w:firstLineChars="0"/>
              <w:jc w:val="center"/>
              <w:rPr>
                <w:rFonts w:hint="default" w:ascii="Times New Roman" w:hAnsi="Times New Roman" w:eastAsia="宋体" w:cs="Times New Roman"/>
                <w:i w:val="0"/>
                <w:iCs w:val="0"/>
                <w:color w:val="000000"/>
                <w:sz w:val="18"/>
                <w:szCs w:val="18"/>
                <w:u w:val="none"/>
              </w:rPr>
            </w:pPr>
          </w:p>
        </w:tc>
      </w:tr>
      <w:tr w14:paraId="2A1DC01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3" w:hRule="atLeast"/>
        </w:trPr>
        <w:tc>
          <w:tcPr>
            <w:tcW w:w="273" w:type="pct"/>
            <w:tcBorders>
              <w:top w:val="nil"/>
              <w:left w:val="single" w:color="000000" w:sz="8" w:space="0"/>
              <w:bottom w:val="single" w:color="000000" w:sz="8" w:space="0"/>
              <w:right w:val="single" w:color="000000" w:sz="8" w:space="0"/>
            </w:tcBorders>
            <w:noWrap w:val="0"/>
            <w:vAlign w:val="center"/>
          </w:tcPr>
          <w:p w14:paraId="302A7E0C">
            <w:pPr>
              <w:spacing w:line="240" w:lineRule="auto"/>
              <w:ind w:firstLine="0" w:firstLineChars="0"/>
              <w:jc w:val="center"/>
              <w:rPr>
                <w:rFonts w:hint="default" w:ascii="Times New Roman" w:hAnsi="Times New Roman" w:eastAsia="宋体" w:cs="Times New Roman"/>
                <w:i w:val="0"/>
                <w:iCs w:val="0"/>
                <w:color w:val="000000"/>
                <w:sz w:val="18"/>
                <w:szCs w:val="18"/>
                <w:u w:val="none"/>
              </w:rPr>
            </w:pPr>
          </w:p>
        </w:tc>
        <w:tc>
          <w:tcPr>
            <w:tcW w:w="675" w:type="pct"/>
            <w:tcBorders>
              <w:top w:val="nil"/>
              <w:left w:val="nil"/>
              <w:bottom w:val="single" w:color="000000" w:sz="8" w:space="0"/>
              <w:right w:val="single" w:color="000000" w:sz="8" w:space="0"/>
            </w:tcBorders>
            <w:noWrap w:val="0"/>
            <w:vAlign w:val="center"/>
          </w:tcPr>
          <w:p w14:paraId="65057E63">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给排水工程</w:t>
            </w:r>
          </w:p>
        </w:tc>
        <w:tc>
          <w:tcPr>
            <w:tcW w:w="398" w:type="pct"/>
            <w:tcBorders>
              <w:top w:val="nil"/>
              <w:left w:val="nil"/>
              <w:bottom w:val="single" w:color="000000" w:sz="8" w:space="0"/>
              <w:right w:val="single" w:color="000000" w:sz="8" w:space="0"/>
            </w:tcBorders>
            <w:noWrap w:val="0"/>
            <w:vAlign w:val="center"/>
          </w:tcPr>
          <w:p w14:paraId="714071A3">
            <w:pPr>
              <w:spacing w:line="240" w:lineRule="auto"/>
              <w:ind w:firstLine="0" w:firstLineChars="0"/>
              <w:jc w:val="center"/>
              <w:rPr>
                <w:rFonts w:hint="default" w:ascii="Times New Roman" w:hAnsi="Times New Roman" w:eastAsia="宋体" w:cs="Times New Roman"/>
                <w:i w:val="0"/>
                <w:iCs w:val="0"/>
                <w:color w:val="000000"/>
                <w:sz w:val="18"/>
                <w:szCs w:val="18"/>
                <w:u w:val="none"/>
              </w:rPr>
            </w:pPr>
          </w:p>
        </w:tc>
        <w:tc>
          <w:tcPr>
            <w:tcW w:w="398" w:type="pct"/>
            <w:tcBorders>
              <w:top w:val="nil"/>
              <w:left w:val="nil"/>
              <w:bottom w:val="single" w:color="000000" w:sz="8" w:space="0"/>
              <w:right w:val="single" w:color="000000" w:sz="8" w:space="0"/>
            </w:tcBorders>
            <w:noWrap w:val="0"/>
            <w:vAlign w:val="center"/>
          </w:tcPr>
          <w:p w14:paraId="4164B378">
            <w:pPr>
              <w:spacing w:line="240" w:lineRule="auto"/>
              <w:ind w:firstLine="0" w:firstLineChars="0"/>
              <w:jc w:val="center"/>
              <w:rPr>
                <w:rFonts w:hint="default" w:ascii="Times New Roman" w:hAnsi="Times New Roman" w:eastAsia="宋体" w:cs="Times New Roman"/>
                <w:i w:val="0"/>
                <w:iCs w:val="0"/>
                <w:color w:val="000000"/>
                <w:sz w:val="18"/>
                <w:szCs w:val="18"/>
                <w:u w:val="none"/>
              </w:rPr>
            </w:pPr>
          </w:p>
        </w:tc>
        <w:tc>
          <w:tcPr>
            <w:tcW w:w="398" w:type="pct"/>
            <w:tcBorders>
              <w:top w:val="nil"/>
              <w:left w:val="nil"/>
              <w:bottom w:val="single" w:color="000000" w:sz="8" w:space="0"/>
              <w:right w:val="single" w:color="000000" w:sz="8" w:space="0"/>
            </w:tcBorders>
            <w:noWrap w:val="0"/>
            <w:vAlign w:val="center"/>
          </w:tcPr>
          <w:p w14:paraId="4A55E9E1">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color w:val="000000"/>
                <w:kern w:val="0"/>
                <w:sz w:val="18"/>
                <w:szCs w:val="18"/>
                <w:u w:val="none"/>
                <w:lang w:val="en-US" w:eastAsia="zh-CN" w:bidi="ar"/>
              </w:rPr>
              <w:t>16</w:t>
            </w:r>
          </w:p>
        </w:tc>
        <w:tc>
          <w:tcPr>
            <w:tcW w:w="346" w:type="pct"/>
            <w:tcBorders>
              <w:top w:val="nil"/>
              <w:left w:val="nil"/>
              <w:bottom w:val="single" w:color="000000" w:sz="8" w:space="0"/>
              <w:right w:val="single" w:color="000000" w:sz="8" w:space="0"/>
            </w:tcBorders>
            <w:noWrap w:val="0"/>
            <w:vAlign w:val="center"/>
          </w:tcPr>
          <w:p w14:paraId="666E81DE">
            <w:pPr>
              <w:spacing w:line="240" w:lineRule="auto"/>
              <w:ind w:firstLine="0" w:firstLineChars="0"/>
              <w:jc w:val="center"/>
              <w:rPr>
                <w:rFonts w:hint="default" w:ascii="Times New Roman" w:hAnsi="Times New Roman" w:eastAsia="宋体" w:cs="Times New Roman"/>
                <w:i w:val="0"/>
                <w:iCs w:val="0"/>
                <w:color w:val="000000"/>
                <w:sz w:val="18"/>
                <w:szCs w:val="18"/>
                <w:u w:val="none"/>
              </w:rPr>
            </w:pPr>
          </w:p>
        </w:tc>
        <w:tc>
          <w:tcPr>
            <w:tcW w:w="326" w:type="pct"/>
            <w:tcBorders>
              <w:top w:val="nil"/>
              <w:left w:val="nil"/>
              <w:bottom w:val="single" w:color="000000" w:sz="8" w:space="0"/>
              <w:right w:val="single" w:color="000000" w:sz="8" w:space="0"/>
            </w:tcBorders>
            <w:noWrap w:val="0"/>
            <w:vAlign w:val="center"/>
          </w:tcPr>
          <w:p w14:paraId="6845CE05">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color w:val="000000"/>
                <w:kern w:val="0"/>
                <w:sz w:val="18"/>
                <w:szCs w:val="18"/>
                <w:u w:val="none"/>
                <w:lang w:val="en-US" w:eastAsia="zh-CN" w:bidi="ar"/>
              </w:rPr>
              <w:t>16</w:t>
            </w:r>
          </w:p>
        </w:tc>
        <w:tc>
          <w:tcPr>
            <w:tcW w:w="148" w:type="pct"/>
            <w:tcBorders>
              <w:top w:val="nil"/>
              <w:left w:val="nil"/>
              <w:bottom w:val="single" w:color="000000" w:sz="8" w:space="0"/>
              <w:right w:val="single" w:color="000000" w:sz="8" w:space="0"/>
            </w:tcBorders>
            <w:noWrap w:val="0"/>
            <w:vAlign w:val="center"/>
          </w:tcPr>
          <w:p w14:paraId="6DB3CA01">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w:t>
            </w:r>
          </w:p>
        </w:tc>
        <w:tc>
          <w:tcPr>
            <w:tcW w:w="211" w:type="pct"/>
            <w:tcBorders>
              <w:top w:val="nil"/>
              <w:left w:val="nil"/>
              <w:bottom w:val="single" w:color="000000" w:sz="8" w:space="0"/>
              <w:right w:val="single" w:color="000000" w:sz="8" w:space="0"/>
            </w:tcBorders>
            <w:noWrap w:val="0"/>
            <w:vAlign w:val="center"/>
          </w:tcPr>
          <w:p w14:paraId="0C140398">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color w:val="000000"/>
                <w:kern w:val="0"/>
                <w:sz w:val="18"/>
                <w:szCs w:val="18"/>
                <w:u w:val="none"/>
                <w:lang w:val="en-US" w:eastAsia="zh-CN" w:bidi="ar"/>
              </w:rPr>
              <w:t>800</w:t>
            </w:r>
          </w:p>
        </w:tc>
        <w:tc>
          <w:tcPr>
            <w:tcW w:w="478" w:type="pct"/>
            <w:tcBorders>
              <w:top w:val="nil"/>
              <w:left w:val="nil"/>
              <w:bottom w:val="single" w:color="000000" w:sz="8" w:space="0"/>
              <w:right w:val="single" w:color="000000" w:sz="8" w:space="0"/>
            </w:tcBorders>
            <w:noWrap w:val="0"/>
            <w:vAlign w:val="center"/>
          </w:tcPr>
          <w:p w14:paraId="66F552B1">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color w:val="000000"/>
                <w:kern w:val="0"/>
                <w:sz w:val="18"/>
                <w:szCs w:val="18"/>
                <w:u w:val="none"/>
                <w:lang w:val="en-US" w:eastAsia="zh-CN" w:bidi="ar"/>
              </w:rPr>
              <w:t>200</w:t>
            </w:r>
          </w:p>
        </w:tc>
        <w:tc>
          <w:tcPr>
            <w:tcW w:w="329" w:type="pct"/>
            <w:tcBorders>
              <w:top w:val="nil"/>
              <w:left w:val="nil"/>
              <w:bottom w:val="single" w:color="000000" w:sz="8" w:space="0"/>
              <w:right w:val="single" w:color="000000" w:sz="8" w:space="0"/>
            </w:tcBorders>
            <w:noWrap w:val="0"/>
            <w:vAlign w:val="center"/>
          </w:tcPr>
          <w:p w14:paraId="7D14D46E">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b/>
                <w:bCs/>
                <w:i w:val="0"/>
                <w:iCs w:val="0"/>
                <w:color w:val="000000"/>
                <w:sz w:val="18"/>
                <w:szCs w:val="18"/>
                <w:u w:val="none"/>
              </w:rPr>
            </w:pPr>
            <w:r>
              <w:rPr>
                <w:rFonts w:hint="default" w:ascii="Times New Roman" w:hAnsi="Times New Roman" w:eastAsia="宋体" w:cs="Times New Roman"/>
                <w:b/>
                <w:bCs/>
                <w:i w:val="0"/>
                <w:iCs w:val="0"/>
                <w:color w:val="000000"/>
                <w:kern w:val="0"/>
                <w:sz w:val="18"/>
                <w:szCs w:val="18"/>
                <w:u w:val="none"/>
                <w:lang w:val="en-US" w:eastAsia="zh-CN" w:bidi="ar"/>
              </w:rPr>
              <w:t>0.16%</w:t>
            </w:r>
          </w:p>
        </w:tc>
        <w:tc>
          <w:tcPr>
            <w:tcW w:w="1013" w:type="pct"/>
            <w:tcBorders>
              <w:top w:val="nil"/>
              <w:left w:val="nil"/>
              <w:bottom w:val="single" w:color="000000" w:sz="8" w:space="0"/>
              <w:right w:val="single" w:color="000000" w:sz="8" w:space="0"/>
            </w:tcBorders>
            <w:noWrap w:val="0"/>
            <w:vAlign w:val="center"/>
          </w:tcPr>
          <w:p w14:paraId="3C03B18D">
            <w:pPr>
              <w:spacing w:line="240" w:lineRule="auto"/>
              <w:ind w:firstLine="0" w:firstLineChars="0"/>
              <w:jc w:val="center"/>
              <w:rPr>
                <w:rFonts w:hint="default" w:ascii="Times New Roman" w:hAnsi="Times New Roman" w:eastAsia="宋体" w:cs="Times New Roman"/>
                <w:i w:val="0"/>
                <w:iCs w:val="0"/>
                <w:color w:val="000000"/>
                <w:sz w:val="18"/>
                <w:szCs w:val="18"/>
                <w:u w:val="none"/>
              </w:rPr>
            </w:pPr>
          </w:p>
        </w:tc>
      </w:tr>
      <w:tr w14:paraId="6E9BEC2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3" w:hRule="atLeast"/>
        </w:trPr>
        <w:tc>
          <w:tcPr>
            <w:tcW w:w="273" w:type="pct"/>
            <w:tcBorders>
              <w:top w:val="nil"/>
              <w:left w:val="single" w:color="000000" w:sz="8" w:space="0"/>
              <w:bottom w:val="single" w:color="000000" w:sz="8" w:space="0"/>
              <w:right w:val="single" w:color="000000" w:sz="8" w:space="0"/>
            </w:tcBorders>
            <w:noWrap w:val="0"/>
            <w:vAlign w:val="center"/>
          </w:tcPr>
          <w:p w14:paraId="26303C23">
            <w:pPr>
              <w:spacing w:line="240" w:lineRule="auto"/>
              <w:ind w:firstLine="0" w:firstLineChars="0"/>
              <w:jc w:val="center"/>
              <w:rPr>
                <w:rFonts w:hint="default" w:ascii="Times New Roman" w:hAnsi="Times New Roman" w:eastAsia="宋体" w:cs="Times New Roman"/>
                <w:i w:val="0"/>
                <w:iCs w:val="0"/>
                <w:color w:val="000000"/>
                <w:sz w:val="18"/>
                <w:szCs w:val="18"/>
                <w:u w:val="none"/>
              </w:rPr>
            </w:pPr>
          </w:p>
        </w:tc>
        <w:tc>
          <w:tcPr>
            <w:tcW w:w="675" w:type="pct"/>
            <w:tcBorders>
              <w:top w:val="nil"/>
              <w:left w:val="nil"/>
              <w:bottom w:val="single" w:color="000000" w:sz="8" w:space="0"/>
              <w:right w:val="single" w:color="000000" w:sz="8" w:space="0"/>
            </w:tcBorders>
            <w:noWrap w:val="0"/>
            <w:vAlign w:val="center"/>
          </w:tcPr>
          <w:p w14:paraId="7EEEA979">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暖通工程</w:t>
            </w:r>
          </w:p>
        </w:tc>
        <w:tc>
          <w:tcPr>
            <w:tcW w:w="398" w:type="pct"/>
            <w:tcBorders>
              <w:top w:val="nil"/>
              <w:left w:val="nil"/>
              <w:bottom w:val="single" w:color="000000" w:sz="8" w:space="0"/>
              <w:right w:val="single" w:color="000000" w:sz="8" w:space="0"/>
            </w:tcBorders>
            <w:noWrap w:val="0"/>
            <w:vAlign w:val="center"/>
          </w:tcPr>
          <w:p w14:paraId="52A82342">
            <w:pPr>
              <w:spacing w:line="240" w:lineRule="auto"/>
              <w:ind w:firstLine="0" w:firstLineChars="0"/>
              <w:jc w:val="center"/>
              <w:rPr>
                <w:rFonts w:hint="default" w:ascii="Times New Roman" w:hAnsi="Times New Roman" w:eastAsia="宋体" w:cs="Times New Roman"/>
                <w:i w:val="0"/>
                <w:iCs w:val="0"/>
                <w:color w:val="000000"/>
                <w:sz w:val="18"/>
                <w:szCs w:val="18"/>
                <w:u w:val="none"/>
              </w:rPr>
            </w:pPr>
          </w:p>
        </w:tc>
        <w:tc>
          <w:tcPr>
            <w:tcW w:w="398" w:type="pct"/>
            <w:tcBorders>
              <w:top w:val="nil"/>
              <w:left w:val="nil"/>
              <w:bottom w:val="single" w:color="000000" w:sz="8" w:space="0"/>
              <w:right w:val="single" w:color="000000" w:sz="8" w:space="0"/>
            </w:tcBorders>
            <w:noWrap w:val="0"/>
            <w:vAlign w:val="center"/>
          </w:tcPr>
          <w:p w14:paraId="071F22F9">
            <w:pPr>
              <w:spacing w:line="240" w:lineRule="auto"/>
              <w:ind w:firstLine="0" w:firstLineChars="0"/>
              <w:jc w:val="center"/>
              <w:rPr>
                <w:rFonts w:hint="default" w:ascii="Times New Roman" w:hAnsi="Times New Roman" w:eastAsia="宋体" w:cs="Times New Roman"/>
                <w:i w:val="0"/>
                <w:iCs w:val="0"/>
                <w:color w:val="000000"/>
                <w:sz w:val="18"/>
                <w:szCs w:val="18"/>
                <w:u w:val="none"/>
              </w:rPr>
            </w:pPr>
          </w:p>
        </w:tc>
        <w:tc>
          <w:tcPr>
            <w:tcW w:w="398" w:type="pct"/>
            <w:tcBorders>
              <w:top w:val="nil"/>
              <w:left w:val="nil"/>
              <w:bottom w:val="single" w:color="000000" w:sz="8" w:space="0"/>
              <w:right w:val="single" w:color="000000" w:sz="8" w:space="0"/>
            </w:tcBorders>
            <w:noWrap w:val="0"/>
            <w:vAlign w:val="center"/>
          </w:tcPr>
          <w:p w14:paraId="3BDB3839">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color w:val="000000"/>
                <w:kern w:val="0"/>
                <w:sz w:val="18"/>
                <w:szCs w:val="18"/>
                <w:u w:val="none"/>
                <w:lang w:val="en-US" w:eastAsia="zh-CN" w:bidi="ar"/>
              </w:rPr>
              <w:t>4.8</w:t>
            </w:r>
          </w:p>
        </w:tc>
        <w:tc>
          <w:tcPr>
            <w:tcW w:w="346" w:type="pct"/>
            <w:tcBorders>
              <w:top w:val="nil"/>
              <w:left w:val="nil"/>
              <w:bottom w:val="single" w:color="000000" w:sz="8" w:space="0"/>
              <w:right w:val="single" w:color="000000" w:sz="8" w:space="0"/>
            </w:tcBorders>
            <w:noWrap w:val="0"/>
            <w:vAlign w:val="center"/>
          </w:tcPr>
          <w:p w14:paraId="1FC4584C">
            <w:pPr>
              <w:spacing w:line="240" w:lineRule="auto"/>
              <w:ind w:firstLine="0" w:firstLineChars="0"/>
              <w:jc w:val="center"/>
              <w:rPr>
                <w:rFonts w:hint="default" w:ascii="Times New Roman" w:hAnsi="Times New Roman" w:eastAsia="宋体" w:cs="Times New Roman"/>
                <w:i w:val="0"/>
                <w:iCs w:val="0"/>
                <w:color w:val="000000"/>
                <w:sz w:val="18"/>
                <w:szCs w:val="18"/>
                <w:u w:val="none"/>
              </w:rPr>
            </w:pPr>
          </w:p>
        </w:tc>
        <w:tc>
          <w:tcPr>
            <w:tcW w:w="326" w:type="pct"/>
            <w:tcBorders>
              <w:top w:val="nil"/>
              <w:left w:val="nil"/>
              <w:bottom w:val="single" w:color="000000" w:sz="8" w:space="0"/>
              <w:right w:val="single" w:color="000000" w:sz="8" w:space="0"/>
            </w:tcBorders>
            <w:noWrap w:val="0"/>
            <w:vAlign w:val="center"/>
          </w:tcPr>
          <w:p w14:paraId="0183FDCB">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color w:val="000000"/>
                <w:kern w:val="0"/>
                <w:sz w:val="18"/>
                <w:szCs w:val="18"/>
                <w:u w:val="none"/>
                <w:lang w:val="en-US" w:eastAsia="zh-CN" w:bidi="ar"/>
              </w:rPr>
              <w:t>4.8</w:t>
            </w:r>
          </w:p>
        </w:tc>
        <w:tc>
          <w:tcPr>
            <w:tcW w:w="148" w:type="pct"/>
            <w:tcBorders>
              <w:top w:val="nil"/>
              <w:left w:val="nil"/>
              <w:bottom w:val="single" w:color="000000" w:sz="8" w:space="0"/>
              <w:right w:val="single" w:color="000000" w:sz="8" w:space="0"/>
            </w:tcBorders>
            <w:noWrap w:val="0"/>
            <w:vAlign w:val="center"/>
          </w:tcPr>
          <w:p w14:paraId="4AB095B5">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w:t>
            </w:r>
          </w:p>
        </w:tc>
        <w:tc>
          <w:tcPr>
            <w:tcW w:w="211" w:type="pct"/>
            <w:tcBorders>
              <w:top w:val="nil"/>
              <w:left w:val="nil"/>
              <w:bottom w:val="single" w:color="000000" w:sz="8" w:space="0"/>
              <w:right w:val="single" w:color="000000" w:sz="8" w:space="0"/>
            </w:tcBorders>
            <w:noWrap w:val="0"/>
            <w:vAlign w:val="center"/>
          </w:tcPr>
          <w:p w14:paraId="3EAD6C5A">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color w:val="000000"/>
                <w:kern w:val="0"/>
                <w:sz w:val="18"/>
                <w:szCs w:val="18"/>
                <w:u w:val="none"/>
                <w:lang w:val="en-US" w:eastAsia="zh-CN" w:bidi="ar"/>
              </w:rPr>
              <w:t>800</w:t>
            </w:r>
          </w:p>
        </w:tc>
        <w:tc>
          <w:tcPr>
            <w:tcW w:w="478" w:type="pct"/>
            <w:tcBorders>
              <w:top w:val="nil"/>
              <w:left w:val="nil"/>
              <w:bottom w:val="single" w:color="000000" w:sz="8" w:space="0"/>
              <w:right w:val="single" w:color="000000" w:sz="8" w:space="0"/>
            </w:tcBorders>
            <w:noWrap w:val="0"/>
            <w:vAlign w:val="center"/>
          </w:tcPr>
          <w:p w14:paraId="2918A20C">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color w:val="000000"/>
                <w:kern w:val="0"/>
                <w:sz w:val="18"/>
                <w:szCs w:val="18"/>
                <w:u w:val="none"/>
                <w:lang w:val="en-US" w:eastAsia="zh-CN" w:bidi="ar"/>
              </w:rPr>
              <w:t>60</w:t>
            </w:r>
          </w:p>
        </w:tc>
        <w:tc>
          <w:tcPr>
            <w:tcW w:w="329" w:type="pct"/>
            <w:tcBorders>
              <w:top w:val="nil"/>
              <w:left w:val="nil"/>
              <w:bottom w:val="single" w:color="000000" w:sz="8" w:space="0"/>
              <w:right w:val="single" w:color="000000" w:sz="8" w:space="0"/>
            </w:tcBorders>
            <w:noWrap w:val="0"/>
            <w:vAlign w:val="center"/>
          </w:tcPr>
          <w:p w14:paraId="6850EB03">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b/>
                <w:bCs/>
                <w:i w:val="0"/>
                <w:iCs w:val="0"/>
                <w:color w:val="000000"/>
                <w:sz w:val="18"/>
                <w:szCs w:val="18"/>
                <w:u w:val="none"/>
              </w:rPr>
            </w:pPr>
            <w:r>
              <w:rPr>
                <w:rFonts w:hint="default" w:ascii="Times New Roman" w:hAnsi="Times New Roman" w:eastAsia="宋体" w:cs="Times New Roman"/>
                <w:b/>
                <w:bCs/>
                <w:i w:val="0"/>
                <w:iCs w:val="0"/>
                <w:color w:val="000000"/>
                <w:kern w:val="0"/>
                <w:sz w:val="18"/>
                <w:szCs w:val="18"/>
                <w:u w:val="none"/>
                <w:lang w:val="en-US" w:eastAsia="zh-CN" w:bidi="ar"/>
              </w:rPr>
              <w:t>0.05%</w:t>
            </w:r>
          </w:p>
        </w:tc>
        <w:tc>
          <w:tcPr>
            <w:tcW w:w="1013" w:type="pct"/>
            <w:tcBorders>
              <w:top w:val="nil"/>
              <w:left w:val="nil"/>
              <w:bottom w:val="single" w:color="000000" w:sz="8" w:space="0"/>
              <w:right w:val="single" w:color="000000" w:sz="8" w:space="0"/>
            </w:tcBorders>
            <w:noWrap w:val="0"/>
            <w:vAlign w:val="center"/>
          </w:tcPr>
          <w:p w14:paraId="01B82A31">
            <w:pPr>
              <w:spacing w:line="240" w:lineRule="auto"/>
              <w:ind w:firstLine="0" w:firstLineChars="0"/>
              <w:jc w:val="center"/>
              <w:rPr>
                <w:rFonts w:hint="default" w:ascii="Times New Roman" w:hAnsi="Times New Roman" w:eastAsia="宋体" w:cs="Times New Roman"/>
                <w:i w:val="0"/>
                <w:iCs w:val="0"/>
                <w:color w:val="000000"/>
                <w:sz w:val="18"/>
                <w:szCs w:val="18"/>
                <w:u w:val="none"/>
              </w:rPr>
            </w:pPr>
          </w:p>
        </w:tc>
      </w:tr>
      <w:tr w14:paraId="29F1FA7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3" w:hRule="atLeast"/>
        </w:trPr>
        <w:tc>
          <w:tcPr>
            <w:tcW w:w="273" w:type="pct"/>
            <w:tcBorders>
              <w:top w:val="nil"/>
              <w:left w:val="single" w:color="000000" w:sz="8" w:space="0"/>
              <w:bottom w:val="single" w:color="000000" w:sz="8" w:space="0"/>
              <w:right w:val="single" w:color="000000" w:sz="8" w:space="0"/>
            </w:tcBorders>
            <w:noWrap w:val="0"/>
            <w:vAlign w:val="center"/>
          </w:tcPr>
          <w:p w14:paraId="5715E981">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二</w:t>
            </w:r>
          </w:p>
        </w:tc>
        <w:tc>
          <w:tcPr>
            <w:tcW w:w="675" w:type="pct"/>
            <w:tcBorders>
              <w:top w:val="nil"/>
              <w:left w:val="nil"/>
              <w:bottom w:val="single" w:color="000000" w:sz="8" w:space="0"/>
              <w:right w:val="single" w:color="000000" w:sz="8" w:space="0"/>
            </w:tcBorders>
            <w:noWrap w:val="0"/>
            <w:vAlign w:val="center"/>
          </w:tcPr>
          <w:p w14:paraId="1DA3E99D">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垃圾渗滤液处置站</w:t>
            </w:r>
          </w:p>
        </w:tc>
        <w:tc>
          <w:tcPr>
            <w:tcW w:w="398" w:type="pct"/>
            <w:tcBorders>
              <w:top w:val="nil"/>
              <w:left w:val="nil"/>
              <w:bottom w:val="single" w:color="000000" w:sz="8" w:space="0"/>
              <w:right w:val="single" w:color="000000" w:sz="8" w:space="0"/>
            </w:tcBorders>
            <w:noWrap w:val="0"/>
            <w:vAlign w:val="center"/>
          </w:tcPr>
          <w:p w14:paraId="7ADACF3E">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color w:val="000000"/>
                <w:kern w:val="0"/>
                <w:sz w:val="18"/>
                <w:szCs w:val="18"/>
                <w:u w:val="none"/>
                <w:lang w:val="en-US" w:eastAsia="zh-CN" w:bidi="ar"/>
              </w:rPr>
              <w:t>364.35</w:t>
            </w:r>
          </w:p>
        </w:tc>
        <w:tc>
          <w:tcPr>
            <w:tcW w:w="398" w:type="pct"/>
            <w:tcBorders>
              <w:top w:val="nil"/>
              <w:left w:val="nil"/>
              <w:bottom w:val="single" w:color="000000" w:sz="8" w:space="0"/>
              <w:right w:val="single" w:color="000000" w:sz="8" w:space="0"/>
            </w:tcBorders>
            <w:noWrap w:val="0"/>
            <w:vAlign w:val="center"/>
          </w:tcPr>
          <w:p w14:paraId="3F3C5760">
            <w:pPr>
              <w:spacing w:line="240" w:lineRule="auto"/>
              <w:ind w:firstLine="0" w:firstLineChars="0"/>
              <w:jc w:val="center"/>
              <w:rPr>
                <w:rFonts w:hint="default" w:ascii="Times New Roman" w:hAnsi="Times New Roman" w:eastAsia="宋体" w:cs="Times New Roman"/>
                <w:i w:val="0"/>
                <w:iCs w:val="0"/>
                <w:color w:val="000000"/>
                <w:sz w:val="18"/>
                <w:szCs w:val="18"/>
                <w:u w:val="none"/>
              </w:rPr>
            </w:pPr>
          </w:p>
        </w:tc>
        <w:tc>
          <w:tcPr>
            <w:tcW w:w="398" w:type="pct"/>
            <w:tcBorders>
              <w:top w:val="nil"/>
              <w:left w:val="nil"/>
              <w:bottom w:val="single" w:color="000000" w:sz="8" w:space="0"/>
              <w:right w:val="single" w:color="000000" w:sz="8" w:space="0"/>
            </w:tcBorders>
            <w:noWrap w:val="0"/>
            <w:vAlign w:val="center"/>
          </w:tcPr>
          <w:p w14:paraId="2BFB263B">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color w:val="000000"/>
                <w:kern w:val="0"/>
                <w:sz w:val="18"/>
                <w:szCs w:val="18"/>
                <w:u w:val="none"/>
                <w:lang w:val="en-US" w:eastAsia="zh-CN" w:bidi="ar"/>
              </w:rPr>
              <w:t>36.44</w:t>
            </w:r>
          </w:p>
        </w:tc>
        <w:tc>
          <w:tcPr>
            <w:tcW w:w="346" w:type="pct"/>
            <w:tcBorders>
              <w:top w:val="nil"/>
              <w:left w:val="nil"/>
              <w:bottom w:val="single" w:color="000000" w:sz="8" w:space="0"/>
              <w:right w:val="single" w:color="000000" w:sz="8" w:space="0"/>
            </w:tcBorders>
            <w:noWrap w:val="0"/>
            <w:vAlign w:val="center"/>
          </w:tcPr>
          <w:p w14:paraId="65511EA6">
            <w:pPr>
              <w:spacing w:line="240" w:lineRule="auto"/>
              <w:ind w:firstLine="0" w:firstLineChars="0"/>
              <w:jc w:val="center"/>
              <w:rPr>
                <w:rFonts w:hint="default" w:ascii="Times New Roman" w:hAnsi="Times New Roman" w:eastAsia="宋体" w:cs="Times New Roman"/>
                <w:i w:val="0"/>
                <w:iCs w:val="0"/>
                <w:color w:val="000000"/>
                <w:sz w:val="18"/>
                <w:szCs w:val="18"/>
                <w:u w:val="none"/>
              </w:rPr>
            </w:pPr>
          </w:p>
        </w:tc>
        <w:tc>
          <w:tcPr>
            <w:tcW w:w="326" w:type="pct"/>
            <w:tcBorders>
              <w:top w:val="nil"/>
              <w:left w:val="nil"/>
              <w:bottom w:val="single" w:color="000000" w:sz="8" w:space="0"/>
              <w:right w:val="single" w:color="000000" w:sz="8" w:space="0"/>
            </w:tcBorders>
            <w:noWrap w:val="0"/>
            <w:vAlign w:val="center"/>
          </w:tcPr>
          <w:p w14:paraId="681D9023">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color w:val="000000"/>
                <w:kern w:val="0"/>
                <w:sz w:val="18"/>
                <w:szCs w:val="18"/>
                <w:u w:val="none"/>
                <w:lang w:val="en-US" w:eastAsia="zh-CN" w:bidi="ar"/>
              </w:rPr>
              <w:t>400.79</w:t>
            </w:r>
          </w:p>
        </w:tc>
        <w:tc>
          <w:tcPr>
            <w:tcW w:w="148" w:type="pct"/>
            <w:tcBorders>
              <w:top w:val="nil"/>
              <w:left w:val="nil"/>
              <w:bottom w:val="single" w:color="000000" w:sz="8" w:space="0"/>
              <w:right w:val="single" w:color="000000" w:sz="8" w:space="0"/>
            </w:tcBorders>
            <w:noWrap w:val="0"/>
            <w:vAlign w:val="center"/>
          </w:tcPr>
          <w:p w14:paraId="6F2EE964">
            <w:pPr>
              <w:spacing w:line="240" w:lineRule="auto"/>
              <w:ind w:firstLine="0" w:firstLineChars="0"/>
              <w:jc w:val="center"/>
              <w:rPr>
                <w:rFonts w:hint="default" w:ascii="Times New Roman" w:hAnsi="Times New Roman" w:eastAsia="宋体" w:cs="Times New Roman"/>
                <w:i w:val="0"/>
                <w:iCs w:val="0"/>
                <w:color w:val="000000"/>
                <w:sz w:val="18"/>
                <w:szCs w:val="18"/>
                <w:u w:val="none"/>
              </w:rPr>
            </w:pPr>
          </w:p>
        </w:tc>
        <w:tc>
          <w:tcPr>
            <w:tcW w:w="211" w:type="pct"/>
            <w:tcBorders>
              <w:top w:val="nil"/>
              <w:left w:val="nil"/>
              <w:bottom w:val="single" w:color="000000" w:sz="8" w:space="0"/>
              <w:right w:val="single" w:color="000000" w:sz="8" w:space="0"/>
            </w:tcBorders>
            <w:noWrap w:val="0"/>
            <w:vAlign w:val="center"/>
          </w:tcPr>
          <w:p w14:paraId="0018A4E1">
            <w:pPr>
              <w:spacing w:line="240" w:lineRule="auto"/>
              <w:ind w:firstLine="0" w:firstLineChars="0"/>
              <w:jc w:val="center"/>
              <w:rPr>
                <w:rFonts w:hint="default" w:ascii="Times New Roman" w:hAnsi="Times New Roman" w:eastAsia="宋体" w:cs="Times New Roman"/>
                <w:i w:val="0"/>
                <w:iCs w:val="0"/>
                <w:color w:val="000000"/>
                <w:sz w:val="18"/>
                <w:szCs w:val="18"/>
                <w:u w:val="none"/>
              </w:rPr>
            </w:pPr>
          </w:p>
        </w:tc>
        <w:tc>
          <w:tcPr>
            <w:tcW w:w="478" w:type="pct"/>
            <w:tcBorders>
              <w:top w:val="nil"/>
              <w:left w:val="nil"/>
              <w:bottom w:val="single" w:color="000000" w:sz="8" w:space="0"/>
              <w:right w:val="single" w:color="000000" w:sz="8" w:space="0"/>
            </w:tcBorders>
            <w:noWrap w:val="0"/>
            <w:vAlign w:val="center"/>
          </w:tcPr>
          <w:p w14:paraId="44639BCB">
            <w:pPr>
              <w:spacing w:line="240" w:lineRule="auto"/>
              <w:ind w:firstLine="0" w:firstLineChars="0"/>
              <w:jc w:val="center"/>
              <w:rPr>
                <w:rFonts w:hint="default" w:ascii="Times New Roman" w:hAnsi="Times New Roman" w:eastAsia="宋体" w:cs="Times New Roman"/>
                <w:i w:val="0"/>
                <w:iCs w:val="0"/>
                <w:color w:val="000000"/>
                <w:sz w:val="18"/>
                <w:szCs w:val="18"/>
                <w:u w:val="none"/>
              </w:rPr>
            </w:pPr>
          </w:p>
        </w:tc>
        <w:tc>
          <w:tcPr>
            <w:tcW w:w="329" w:type="pct"/>
            <w:tcBorders>
              <w:top w:val="nil"/>
              <w:left w:val="nil"/>
              <w:bottom w:val="single" w:color="000000" w:sz="8" w:space="0"/>
              <w:right w:val="single" w:color="000000" w:sz="8" w:space="0"/>
            </w:tcBorders>
            <w:noWrap w:val="0"/>
            <w:vAlign w:val="center"/>
          </w:tcPr>
          <w:p w14:paraId="4C381F92">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b/>
                <w:bCs/>
                <w:i w:val="0"/>
                <w:iCs w:val="0"/>
                <w:color w:val="000000"/>
                <w:sz w:val="18"/>
                <w:szCs w:val="18"/>
                <w:u w:val="none"/>
              </w:rPr>
            </w:pPr>
            <w:r>
              <w:rPr>
                <w:rFonts w:hint="default" w:ascii="Times New Roman" w:hAnsi="Times New Roman" w:eastAsia="宋体" w:cs="Times New Roman"/>
                <w:b/>
                <w:bCs/>
                <w:i w:val="0"/>
                <w:iCs w:val="0"/>
                <w:color w:val="000000"/>
                <w:kern w:val="0"/>
                <w:sz w:val="18"/>
                <w:szCs w:val="18"/>
                <w:u w:val="none"/>
                <w:lang w:val="en-US" w:eastAsia="zh-CN" w:bidi="ar"/>
              </w:rPr>
              <w:t>3.93%</w:t>
            </w:r>
          </w:p>
        </w:tc>
        <w:tc>
          <w:tcPr>
            <w:tcW w:w="1013" w:type="pct"/>
            <w:tcBorders>
              <w:top w:val="nil"/>
              <w:left w:val="nil"/>
              <w:bottom w:val="single" w:color="000000" w:sz="8" w:space="0"/>
              <w:right w:val="single" w:color="000000" w:sz="8" w:space="0"/>
            </w:tcBorders>
            <w:noWrap w:val="0"/>
            <w:vAlign w:val="center"/>
          </w:tcPr>
          <w:p w14:paraId="1870F99E">
            <w:pPr>
              <w:spacing w:line="240" w:lineRule="auto"/>
              <w:ind w:firstLine="0" w:firstLineChars="0"/>
              <w:jc w:val="center"/>
              <w:rPr>
                <w:rFonts w:hint="default" w:ascii="Times New Roman" w:hAnsi="Times New Roman" w:eastAsia="宋体" w:cs="Times New Roman"/>
                <w:i w:val="0"/>
                <w:iCs w:val="0"/>
                <w:color w:val="000000"/>
                <w:sz w:val="18"/>
                <w:szCs w:val="18"/>
                <w:u w:val="none"/>
              </w:rPr>
            </w:pPr>
          </w:p>
        </w:tc>
      </w:tr>
      <w:tr w14:paraId="3FC4455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3" w:hRule="atLeast"/>
        </w:trPr>
        <w:tc>
          <w:tcPr>
            <w:tcW w:w="273" w:type="pct"/>
            <w:tcBorders>
              <w:top w:val="nil"/>
              <w:left w:val="single" w:color="000000" w:sz="8" w:space="0"/>
              <w:bottom w:val="single" w:color="000000" w:sz="8" w:space="0"/>
              <w:right w:val="single" w:color="000000" w:sz="8" w:space="0"/>
            </w:tcBorders>
            <w:noWrap w:val="0"/>
            <w:vAlign w:val="center"/>
          </w:tcPr>
          <w:p w14:paraId="3C54300C">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color w:val="000000"/>
                <w:kern w:val="0"/>
                <w:sz w:val="18"/>
                <w:szCs w:val="18"/>
                <w:u w:val="none"/>
                <w:lang w:val="en-US" w:eastAsia="zh-CN" w:bidi="ar"/>
              </w:rPr>
              <w:t>1</w:t>
            </w:r>
          </w:p>
        </w:tc>
        <w:tc>
          <w:tcPr>
            <w:tcW w:w="675" w:type="pct"/>
            <w:tcBorders>
              <w:top w:val="nil"/>
              <w:left w:val="nil"/>
              <w:bottom w:val="single" w:color="000000" w:sz="8" w:space="0"/>
              <w:right w:val="single" w:color="000000" w:sz="8" w:space="0"/>
            </w:tcBorders>
            <w:noWrap w:val="0"/>
            <w:vAlign w:val="center"/>
          </w:tcPr>
          <w:p w14:paraId="36813861">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建筑及装饰</w:t>
            </w:r>
          </w:p>
        </w:tc>
        <w:tc>
          <w:tcPr>
            <w:tcW w:w="398" w:type="pct"/>
            <w:tcBorders>
              <w:top w:val="nil"/>
              <w:left w:val="nil"/>
              <w:bottom w:val="single" w:color="000000" w:sz="8" w:space="0"/>
              <w:right w:val="single" w:color="000000" w:sz="8" w:space="0"/>
            </w:tcBorders>
            <w:noWrap w:val="0"/>
            <w:vAlign w:val="center"/>
          </w:tcPr>
          <w:p w14:paraId="25AA2892">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color w:val="000000"/>
                <w:kern w:val="0"/>
                <w:sz w:val="18"/>
                <w:szCs w:val="18"/>
                <w:u w:val="none"/>
                <w:lang w:val="en-US" w:eastAsia="zh-CN" w:bidi="ar"/>
              </w:rPr>
              <w:t>364.35</w:t>
            </w:r>
          </w:p>
        </w:tc>
        <w:tc>
          <w:tcPr>
            <w:tcW w:w="398" w:type="pct"/>
            <w:tcBorders>
              <w:top w:val="nil"/>
              <w:left w:val="nil"/>
              <w:bottom w:val="single" w:color="000000" w:sz="8" w:space="0"/>
              <w:right w:val="single" w:color="000000" w:sz="8" w:space="0"/>
            </w:tcBorders>
            <w:noWrap w:val="0"/>
            <w:vAlign w:val="center"/>
          </w:tcPr>
          <w:p w14:paraId="695DD7FE">
            <w:pPr>
              <w:spacing w:line="240" w:lineRule="auto"/>
              <w:ind w:firstLine="0" w:firstLineChars="0"/>
              <w:jc w:val="center"/>
              <w:rPr>
                <w:rFonts w:hint="default" w:ascii="Times New Roman" w:hAnsi="Times New Roman" w:eastAsia="宋体" w:cs="Times New Roman"/>
                <w:i w:val="0"/>
                <w:iCs w:val="0"/>
                <w:color w:val="000000"/>
                <w:sz w:val="18"/>
                <w:szCs w:val="18"/>
                <w:u w:val="none"/>
              </w:rPr>
            </w:pPr>
          </w:p>
        </w:tc>
        <w:tc>
          <w:tcPr>
            <w:tcW w:w="398" w:type="pct"/>
            <w:tcBorders>
              <w:top w:val="nil"/>
              <w:left w:val="nil"/>
              <w:bottom w:val="single" w:color="000000" w:sz="8" w:space="0"/>
              <w:right w:val="single" w:color="000000" w:sz="8" w:space="0"/>
            </w:tcBorders>
            <w:noWrap w:val="0"/>
            <w:vAlign w:val="center"/>
          </w:tcPr>
          <w:p w14:paraId="66F5CEB3">
            <w:pPr>
              <w:spacing w:line="240" w:lineRule="auto"/>
              <w:ind w:firstLine="0" w:firstLineChars="0"/>
              <w:jc w:val="center"/>
              <w:rPr>
                <w:rFonts w:hint="default" w:ascii="Times New Roman" w:hAnsi="Times New Roman" w:eastAsia="宋体" w:cs="Times New Roman"/>
                <w:i w:val="0"/>
                <w:iCs w:val="0"/>
                <w:color w:val="000000"/>
                <w:sz w:val="18"/>
                <w:szCs w:val="18"/>
                <w:u w:val="none"/>
              </w:rPr>
            </w:pPr>
          </w:p>
        </w:tc>
        <w:tc>
          <w:tcPr>
            <w:tcW w:w="346" w:type="pct"/>
            <w:tcBorders>
              <w:top w:val="nil"/>
              <w:left w:val="nil"/>
              <w:bottom w:val="single" w:color="000000" w:sz="8" w:space="0"/>
              <w:right w:val="single" w:color="000000" w:sz="8" w:space="0"/>
            </w:tcBorders>
            <w:noWrap w:val="0"/>
            <w:vAlign w:val="center"/>
          </w:tcPr>
          <w:p w14:paraId="724FEE2F">
            <w:pPr>
              <w:spacing w:line="240" w:lineRule="auto"/>
              <w:ind w:firstLine="0" w:firstLineChars="0"/>
              <w:jc w:val="center"/>
              <w:rPr>
                <w:rFonts w:hint="default" w:ascii="Times New Roman" w:hAnsi="Times New Roman" w:eastAsia="宋体" w:cs="Times New Roman"/>
                <w:i w:val="0"/>
                <w:iCs w:val="0"/>
                <w:color w:val="000000"/>
                <w:sz w:val="18"/>
                <w:szCs w:val="18"/>
                <w:u w:val="none"/>
              </w:rPr>
            </w:pPr>
          </w:p>
        </w:tc>
        <w:tc>
          <w:tcPr>
            <w:tcW w:w="326" w:type="pct"/>
            <w:tcBorders>
              <w:top w:val="nil"/>
              <w:left w:val="nil"/>
              <w:bottom w:val="single" w:color="000000" w:sz="8" w:space="0"/>
              <w:right w:val="single" w:color="000000" w:sz="8" w:space="0"/>
            </w:tcBorders>
            <w:noWrap w:val="0"/>
            <w:vAlign w:val="center"/>
          </w:tcPr>
          <w:p w14:paraId="36694000">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color w:val="000000"/>
                <w:kern w:val="0"/>
                <w:sz w:val="18"/>
                <w:szCs w:val="18"/>
                <w:u w:val="none"/>
                <w:lang w:val="en-US" w:eastAsia="zh-CN" w:bidi="ar"/>
              </w:rPr>
              <w:t>364.35</w:t>
            </w:r>
          </w:p>
        </w:tc>
        <w:tc>
          <w:tcPr>
            <w:tcW w:w="148" w:type="pct"/>
            <w:tcBorders>
              <w:top w:val="nil"/>
              <w:left w:val="nil"/>
              <w:bottom w:val="single" w:color="000000" w:sz="8" w:space="0"/>
              <w:right w:val="single" w:color="000000" w:sz="8" w:space="0"/>
            </w:tcBorders>
            <w:noWrap w:val="0"/>
            <w:vAlign w:val="center"/>
          </w:tcPr>
          <w:p w14:paraId="67DA2CAD">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w:t>
            </w:r>
          </w:p>
        </w:tc>
        <w:tc>
          <w:tcPr>
            <w:tcW w:w="211" w:type="pct"/>
            <w:tcBorders>
              <w:top w:val="nil"/>
              <w:left w:val="nil"/>
              <w:bottom w:val="single" w:color="000000" w:sz="8" w:space="0"/>
              <w:right w:val="single" w:color="000000" w:sz="8" w:space="0"/>
            </w:tcBorders>
            <w:noWrap w:val="0"/>
            <w:vAlign w:val="center"/>
          </w:tcPr>
          <w:p w14:paraId="120CC82E">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color w:val="000000"/>
                <w:kern w:val="0"/>
                <w:sz w:val="18"/>
                <w:szCs w:val="18"/>
                <w:u w:val="none"/>
                <w:lang w:val="en-US" w:eastAsia="zh-CN" w:bidi="ar"/>
              </w:rPr>
              <w:t>1735</w:t>
            </w:r>
          </w:p>
        </w:tc>
        <w:tc>
          <w:tcPr>
            <w:tcW w:w="478" w:type="pct"/>
            <w:tcBorders>
              <w:top w:val="nil"/>
              <w:left w:val="nil"/>
              <w:bottom w:val="single" w:color="000000" w:sz="8" w:space="0"/>
              <w:right w:val="single" w:color="000000" w:sz="8" w:space="0"/>
            </w:tcBorders>
            <w:noWrap w:val="0"/>
            <w:vAlign w:val="center"/>
          </w:tcPr>
          <w:p w14:paraId="15B9000C">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color w:val="000000"/>
                <w:kern w:val="0"/>
                <w:sz w:val="18"/>
                <w:szCs w:val="18"/>
                <w:u w:val="none"/>
                <w:lang w:val="en-US" w:eastAsia="zh-CN" w:bidi="ar"/>
              </w:rPr>
              <w:t>2100</w:t>
            </w:r>
          </w:p>
        </w:tc>
        <w:tc>
          <w:tcPr>
            <w:tcW w:w="329" w:type="pct"/>
            <w:tcBorders>
              <w:top w:val="nil"/>
              <w:left w:val="nil"/>
              <w:bottom w:val="single" w:color="000000" w:sz="8" w:space="0"/>
              <w:right w:val="single" w:color="000000" w:sz="8" w:space="0"/>
            </w:tcBorders>
            <w:noWrap w:val="0"/>
            <w:vAlign w:val="center"/>
          </w:tcPr>
          <w:p w14:paraId="0EF77892">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b/>
                <w:bCs/>
                <w:i w:val="0"/>
                <w:iCs w:val="0"/>
                <w:color w:val="000000"/>
                <w:sz w:val="18"/>
                <w:szCs w:val="18"/>
                <w:u w:val="none"/>
              </w:rPr>
            </w:pPr>
            <w:r>
              <w:rPr>
                <w:rFonts w:hint="default" w:ascii="Times New Roman" w:hAnsi="Times New Roman" w:eastAsia="宋体" w:cs="Times New Roman"/>
                <w:b/>
                <w:bCs/>
                <w:i w:val="0"/>
                <w:iCs w:val="0"/>
                <w:color w:val="000000"/>
                <w:kern w:val="0"/>
                <w:sz w:val="18"/>
                <w:szCs w:val="18"/>
                <w:u w:val="none"/>
                <w:lang w:val="en-US" w:eastAsia="zh-CN" w:bidi="ar"/>
              </w:rPr>
              <w:t>3.57%</w:t>
            </w:r>
          </w:p>
        </w:tc>
        <w:tc>
          <w:tcPr>
            <w:tcW w:w="1013" w:type="pct"/>
            <w:tcBorders>
              <w:top w:val="nil"/>
              <w:left w:val="nil"/>
              <w:bottom w:val="single" w:color="000000" w:sz="8" w:space="0"/>
              <w:right w:val="single" w:color="000000" w:sz="8" w:space="0"/>
            </w:tcBorders>
            <w:noWrap w:val="0"/>
            <w:vAlign w:val="center"/>
          </w:tcPr>
          <w:p w14:paraId="4D86CF8E">
            <w:pPr>
              <w:spacing w:line="240" w:lineRule="auto"/>
              <w:ind w:firstLine="0" w:firstLineChars="0"/>
              <w:jc w:val="both"/>
              <w:rPr>
                <w:rFonts w:hint="default" w:ascii="Times New Roman" w:hAnsi="Times New Roman" w:eastAsia="宋体" w:cs="Times New Roman"/>
                <w:i w:val="0"/>
                <w:iCs w:val="0"/>
                <w:color w:val="000000"/>
                <w:sz w:val="18"/>
                <w:szCs w:val="18"/>
                <w:u w:val="none"/>
              </w:rPr>
            </w:pPr>
          </w:p>
        </w:tc>
      </w:tr>
      <w:tr w14:paraId="2832DA9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3" w:hRule="atLeast"/>
        </w:trPr>
        <w:tc>
          <w:tcPr>
            <w:tcW w:w="273" w:type="pct"/>
            <w:tcBorders>
              <w:top w:val="nil"/>
              <w:left w:val="single" w:color="000000" w:sz="8" w:space="0"/>
              <w:bottom w:val="single" w:color="000000" w:sz="8" w:space="0"/>
              <w:right w:val="single" w:color="000000" w:sz="8" w:space="0"/>
            </w:tcBorders>
            <w:noWrap w:val="0"/>
            <w:vAlign w:val="center"/>
          </w:tcPr>
          <w:p w14:paraId="1F559DFB">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color w:val="000000"/>
                <w:kern w:val="0"/>
                <w:sz w:val="18"/>
                <w:szCs w:val="18"/>
                <w:u w:val="none"/>
                <w:lang w:val="en-US" w:eastAsia="zh-CN" w:bidi="ar"/>
              </w:rPr>
              <w:t>2</w:t>
            </w:r>
          </w:p>
        </w:tc>
        <w:tc>
          <w:tcPr>
            <w:tcW w:w="675" w:type="pct"/>
            <w:tcBorders>
              <w:top w:val="nil"/>
              <w:left w:val="nil"/>
              <w:bottom w:val="single" w:color="000000" w:sz="8" w:space="0"/>
              <w:right w:val="single" w:color="000000" w:sz="8" w:space="0"/>
            </w:tcBorders>
            <w:noWrap w:val="0"/>
            <w:vAlign w:val="center"/>
          </w:tcPr>
          <w:p w14:paraId="335D72B5">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安装工程</w:t>
            </w:r>
          </w:p>
        </w:tc>
        <w:tc>
          <w:tcPr>
            <w:tcW w:w="398" w:type="pct"/>
            <w:tcBorders>
              <w:top w:val="nil"/>
              <w:left w:val="nil"/>
              <w:bottom w:val="single" w:color="000000" w:sz="8" w:space="0"/>
              <w:right w:val="single" w:color="000000" w:sz="8" w:space="0"/>
            </w:tcBorders>
            <w:noWrap w:val="0"/>
            <w:vAlign w:val="center"/>
          </w:tcPr>
          <w:p w14:paraId="436C1EAE">
            <w:pPr>
              <w:spacing w:line="240" w:lineRule="auto"/>
              <w:ind w:firstLine="0" w:firstLineChars="0"/>
              <w:jc w:val="center"/>
              <w:rPr>
                <w:rFonts w:hint="default" w:ascii="Times New Roman" w:hAnsi="Times New Roman" w:eastAsia="宋体" w:cs="Times New Roman"/>
                <w:i w:val="0"/>
                <w:iCs w:val="0"/>
                <w:color w:val="000000"/>
                <w:sz w:val="18"/>
                <w:szCs w:val="18"/>
                <w:u w:val="none"/>
              </w:rPr>
            </w:pPr>
          </w:p>
        </w:tc>
        <w:tc>
          <w:tcPr>
            <w:tcW w:w="398" w:type="pct"/>
            <w:tcBorders>
              <w:top w:val="nil"/>
              <w:left w:val="nil"/>
              <w:bottom w:val="single" w:color="000000" w:sz="8" w:space="0"/>
              <w:right w:val="single" w:color="000000" w:sz="8" w:space="0"/>
            </w:tcBorders>
            <w:noWrap w:val="0"/>
            <w:vAlign w:val="center"/>
          </w:tcPr>
          <w:p w14:paraId="45777D60">
            <w:pPr>
              <w:spacing w:line="240" w:lineRule="auto"/>
              <w:ind w:firstLine="0" w:firstLineChars="0"/>
              <w:jc w:val="center"/>
              <w:rPr>
                <w:rFonts w:hint="default" w:ascii="Times New Roman" w:hAnsi="Times New Roman" w:eastAsia="宋体" w:cs="Times New Roman"/>
                <w:i w:val="0"/>
                <w:iCs w:val="0"/>
                <w:color w:val="000000"/>
                <w:sz w:val="18"/>
                <w:szCs w:val="18"/>
                <w:u w:val="none"/>
              </w:rPr>
            </w:pPr>
          </w:p>
        </w:tc>
        <w:tc>
          <w:tcPr>
            <w:tcW w:w="398" w:type="pct"/>
            <w:tcBorders>
              <w:top w:val="nil"/>
              <w:left w:val="nil"/>
              <w:bottom w:val="single" w:color="000000" w:sz="8" w:space="0"/>
              <w:right w:val="single" w:color="000000" w:sz="8" w:space="0"/>
            </w:tcBorders>
            <w:noWrap w:val="0"/>
            <w:vAlign w:val="center"/>
          </w:tcPr>
          <w:p w14:paraId="35A19897">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color w:val="000000"/>
                <w:kern w:val="0"/>
                <w:sz w:val="18"/>
                <w:szCs w:val="18"/>
                <w:u w:val="none"/>
                <w:lang w:val="en-US" w:eastAsia="zh-CN" w:bidi="ar"/>
              </w:rPr>
              <w:t>36.44</w:t>
            </w:r>
          </w:p>
        </w:tc>
        <w:tc>
          <w:tcPr>
            <w:tcW w:w="346" w:type="pct"/>
            <w:tcBorders>
              <w:top w:val="nil"/>
              <w:left w:val="nil"/>
              <w:bottom w:val="single" w:color="000000" w:sz="8" w:space="0"/>
              <w:right w:val="single" w:color="000000" w:sz="8" w:space="0"/>
            </w:tcBorders>
            <w:noWrap w:val="0"/>
            <w:vAlign w:val="center"/>
          </w:tcPr>
          <w:p w14:paraId="4BD7B913">
            <w:pPr>
              <w:spacing w:line="240" w:lineRule="auto"/>
              <w:ind w:firstLine="0" w:firstLineChars="0"/>
              <w:jc w:val="center"/>
              <w:rPr>
                <w:rFonts w:hint="default" w:ascii="Times New Roman" w:hAnsi="Times New Roman" w:eastAsia="宋体" w:cs="Times New Roman"/>
                <w:i w:val="0"/>
                <w:iCs w:val="0"/>
                <w:color w:val="000000"/>
                <w:sz w:val="18"/>
                <w:szCs w:val="18"/>
                <w:u w:val="none"/>
              </w:rPr>
            </w:pPr>
          </w:p>
        </w:tc>
        <w:tc>
          <w:tcPr>
            <w:tcW w:w="326" w:type="pct"/>
            <w:tcBorders>
              <w:top w:val="nil"/>
              <w:left w:val="nil"/>
              <w:bottom w:val="single" w:color="000000" w:sz="8" w:space="0"/>
              <w:right w:val="single" w:color="000000" w:sz="8" w:space="0"/>
            </w:tcBorders>
            <w:noWrap w:val="0"/>
            <w:vAlign w:val="center"/>
          </w:tcPr>
          <w:p w14:paraId="7E45E648">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color w:val="000000"/>
                <w:kern w:val="0"/>
                <w:sz w:val="18"/>
                <w:szCs w:val="18"/>
                <w:u w:val="none"/>
                <w:lang w:val="en-US" w:eastAsia="zh-CN" w:bidi="ar"/>
              </w:rPr>
              <w:t>36.44</w:t>
            </w:r>
          </w:p>
        </w:tc>
        <w:tc>
          <w:tcPr>
            <w:tcW w:w="148" w:type="pct"/>
            <w:tcBorders>
              <w:top w:val="nil"/>
              <w:left w:val="nil"/>
              <w:bottom w:val="single" w:color="000000" w:sz="8" w:space="0"/>
              <w:right w:val="single" w:color="000000" w:sz="8" w:space="0"/>
            </w:tcBorders>
            <w:noWrap w:val="0"/>
            <w:vAlign w:val="center"/>
          </w:tcPr>
          <w:p w14:paraId="60C19187">
            <w:pPr>
              <w:spacing w:line="240" w:lineRule="auto"/>
              <w:ind w:firstLine="0" w:firstLineChars="0"/>
              <w:jc w:val="center"/>
              <w:rPr>
                <w:rFonts w:hint="default" w:ascii="Times New Roman" w:hAnsi="Times New Roman" w:eastAsia="宋体" w:cs="Times New Roman"/>
                <w:i w:val="0"/>
                <w:iCs w:val="0"/>
                <w:color w:val="000000"/>
                <w:sz w:val="18"/>
                <w:szCs w:val="18"/>
                <w:u w:val="none"/>
              </w:rPr>
            </w:pPr>
          </w:p>
        </w:tc>
        <w:tc>
          <w:tcPr>
            <w:tcW w:w="211" w:type="pct"/>
            <w:tcBorders>
              <w:top w:val="nil"/>
              <w:left w:val="nil"/>
              <w:bottom w:val="single" w:color="000000" w:sz="8" w:space="0"/>
              <w:right w:val="single" w:color="000000" w:sz="8" w:space="0"/>
            </w:tcBorders>
            <w:noWrap w:val="0"/>
            <w:vAlign w:val="center"/>
          </w:tcPr>
          <w:p w14:paraId="53E8BE65">
            <w:pPr>
              <w:spacing w:line="240" w:lineRule="auto"/>
              <w:ind w:firstLine="0" w:firstLineChars="0"/>
              <w:jc w:val="center"/>
              <w:rPr>
                <w:rFonts w:hint="default" w:ascii="Times New Roman" w:hAnsi="Times New Roman" w:eastAsia="宋体" w:cs="Times New Roman"/>
                <w:i w:val="0"/>
                <w:iCs w:val="0"/>
                <w:color w:val="000000"/>
                <w:sz w:val="18"/>
                <w:szCs w:val="18"/>
                <w:u w:val="none"/>
              </w:rPr>
            </w:pPr>
          </w:p>
        </w:tc>
        <w:tc>
          <w:tcPr>
            <w:tcW w:w="478" w:type="pct"/>
            <w:tcBorders>
              <w:top w:val="nil"/>
              <w:left w:val="nil"/>
              <w:bottom w:val="single" w:color="000000" w:sz="8" w:space="0"/>
              <w:right w:val="single" w:color="000000" w:sz="8" w:space="0"/>
            </w:tcBorders>
            <w:noWrap w:val="0"/>
            <w:vAlign w:val="center"/>
          </w:tcPr>
          <w:p w14:paraId="25458836">
            <w:pPr>
              <w:spacing w:line="240" w:lineRule="auto"/>
              <w:ind w:firstLine="0" w:firstLineChars="0"/>
              <w:jc w:val="center"/>
              <w:rPr>
                <w:rFonts w:hint="default" w:ascii="Times New Roman" w:hAnsi="Times New Roman" w:eastAsia="宋体" w:cs="Times New Roman"/>
                <w:i w:val="0"/>
                <w:iCs w:val="0"/>
                <w:color w:val="000000"/>
                <w:sz w:val="18"/>
                <w:szCs w:val="18"/>
                <w:u w:val="none"/>
              </w:rPr>
            </w:pPr>
          </w:p>
        </w:tc>
        <w:tc>
          <w:tcPr>
            <w:tcW w:w="329" w:type="pct"/>
            <w:tcBorders>
              <w:top w:val="nil"/>
              <w:left w:val="nil"/>
              <w:bottom w:val="single" w:color="000000" w:sz="8" w:space="0"/>
              <w:right w:val="single" w:color="000000" w:sz="8" w:space="0"/>
            </w:tcBorders>
            <w:noWrap w:val="0"/>
            <w:vAlign w:val="center"/>
          </w:tcPr>
          <w:p w14:paraId="13B5E28F">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b/>
                <w:bCs/>
                <w:i w:val="0"/>
                <w:iCs w:val="0"/>
                <w:color w:val="000000"/>
                <w:sz w:val="18"/>
                <w:szCs w:val="18"/>
                <w:u w:val="none"/>
              </w:rPr>
            </w:pPr>
            <w:r>
              <w:rPr>
                <w:rFonts w:hint="default" w:ascii="Times New Roman" w:hAnsi="Times New Roman" w:eastAsia="宋体" w:cs="Times New Roman"/>
                <w:b/>
                <w:bCs/>
                <w:i w:val="0"/>
                <w:iCs w:val="0"/>
                <w:color w:val="000000"/>
                <w:kern w:val="0"/>
                <w:sz w:val="18"/>
                <w:szCs w:val="18"/>
                <w:u w:val="none"/>
                <w:lang w:val="en-US" w:eastAsia="zh-CN" w:bidi="ar"/>
              </w:rPr>
              <w:t>0.36%</w:t>
            </w:r>
          </w:p>
        </w:tc>
        <w:tc>
          <w:tcPr>
            <w:tcW w:w="1013" w:type="pct"/>
            <w:tcBorders>
              <w:top w:val="nil"/>
              <w:left w:val="nil"/>
              <w:bottom w:val="single" w:color="000000" w:sz="8" w:space="0"/>
              <w:right w:val="single" w:color="000000" w:sz="8" w:space="0"/>
            </w:tcBorders>
            <w:noWrap w:val="0"/>
            <w:vAlign w:val="center"/>
          </w:tcPr>
          <w:p w14:paraId="141EDA4C">
            <w:pPr>
              <w:spacing w:line="240" w:lineRule="auto"/>
              <w:ind w:firstLine="0" w:firstLineChars="0"/>
              <w:jc w:val="center"/>
              <w:rPr>
                <w:rFonts w:hint="default" w:ascii="Times New Roman" w:hAnsi="Times New Roman" w:eastAsia="宋体" w:cs="Times New Roman"/>
                <w:i w:val="0"/>
                <w:iCs w:val="0"/>
                <w:color w:val="000000"/>
                <w:sz w:val="18"/>
                <w:szCs w:val="18"/>
                <w:u w:val="none"/>
              </w:rPr>
            </w:pPr>
          </w:p>
        </w:tc>
      </w:tr>
      <w:tr w14:paraId="2794852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3" w:hRule="atLeast"/>
        </w:trPr>
        <w:tc>
          <w:tcPr>
            <w:tcW w:w="273" w:type="pct"/>
            <w:tcBorders>
              <w:top w:val="nil"/>
              <w:left w:val="single" w:color="000000" w:sz="8" w:space="0"/>
              <w:bottom w:val="single" w:color="000000" w:sz="8" w:space="0"/>
              <w:right w:val="single" w:color="000000" w:sz="8" w:space="0"/>
            </w:tcBorders>
            <w:noWrap w:val="0"/>
            <w:vAlign w:val="center"/>
          </w:tcPr>
          <w:p w14:paraId="4CE6D389">
            <w:pPr>
              <w:spacing w:line="240" w:lineRule="auto"/>
              <w:ind w:firstLine="0" w:firstLineChars="0"/>
              <w:jc w:val="center"/>
              <w:rPr>
                <w:rFonts w:hint="default" w:ascii="Times New Roman" w:hAnsi="Times New Roman" w:eastAsia="宋体" w:cs="Times New Roman"/>
                <w:i w:val="0"/>
                <w:iCs w:val="0"/>
                <w:color w:val="000000"/>
                <w:sz w:val="18"/>
                <w:szCs w:val="18"/>
                <w:u w:val="none"/>
              </w:rPr>
            </w:pPr>
          </w:p>
        </w:tc>
        <w:tc>
          <w:tcPr>
            <w:tcW w:w="675" w:type="pct"/>
            <w:tcBorders>
              <w:top w:val="nil"/>
              <w:left w:val="nil"/>
              <w:bottom w:val="single" w:color="000000" w:sz="8" w:space="0"/>
              <w:right w:val="single" w:color="000000" w:sz="8" w:space="0"/>
            </w:tcBorders>
            <w:noWrap w:val="0"/>
            <w:vAlign w:val="center"/>
          </w:tcPr>
          <w:p w14:paraId="3DBE4FEA">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给排水工程</w:t>
            </w:r>
          </w:p>
        </w:tc>
        <w:tc>
          <w:tcPr>
            <w:tcW w:w="398" w:type="pct"/>
            <w:tcBorders>
              <w:top w:val="nil"/>
              <w:left w:val="nil"/>
              <w:bottom w:val="single" w:color="000000" w:sz="8" w:space="0"/>
              <w:right w:val="single" w:color="000000" w:sz="8" w:space="0"/>
            </w:tcBorders>
            <w:noWrap w:val="0"/>
            <w:vAlign w:val="center"/>
          </w:tcPr>
          <w:p w14:paraId="3700437B">
            <w:pPr>
              <w:spacing w:line="240" w:lineRule="auto"/>
              <w:ind w:firstLine="0" w:firstLineChars="0"/>
              <w:jc w:val="center"/>
              <w:rPr>
                <w:rFonts w:hint="default" w:ascii="Times New Roman" w:hAnsi="Times New Roman" w:eastAsia="宋体" w:cs="Times New Roman"/>
                <w:i w:val="0"/>
                <w:iCs w:val="0"/>
                <w:color w:val="000000"/>
                <w:sz w:val="18"/>
                <w:szCs w:val="18"/>
                <w:u w:val="none"/>
              </w:rPr>
            </w:pPr>
          </w:p>
        </w:tc>
        <w:tc>
          <w:tcPr>
            <w:tcW w:w="398" w:type="pct"/>
            <w:tcBorders>
              <w:top w:val="nil"/>
              <w:left w:val="nil"/>
              <w:bottom w:val="single" w:color="000000" w:sz="8" w:space="0"/>
              <w:right w:val="single" w:color="000000" w:sz="8" w:space="0"/>
            </w:tcBorders>
            <w:noWrap w:val="0"/>
            <w:vAlign w:val="center"/>
          </w:tcPr>
          <w:p w14:paraId="2974D775">
            <w:pPr>
              <w:spacing w:line="240" w:lineRule="auto"/>
              <w:ind w:firstLine="0" w:firstLineChars="0"/>
              <w:jc w:val="center"/>
              <w:rPr>
                <w:rFonts w:hint="default" w:ascii="Times New Roman" w:hAnsi="Times New Roman" w:eastAsia="宋体" w:cs="Times New Roman"/>
                <w:i w:val="0"/>
                <w:iCs w:val="0"/>
                <w:color w:val="000000"/>
                <w:sz w:val="18"/>
                <w:szCs w:val="18"/>
                <w:u w:val="none"/>
              </w:rPr>
            </w:pPr>
          </w:p>
        </w:tc>
        <w:tc>
          <w:tcPr>
            <w:tcW w:w="398" w:type="pct"/>
            <w:tcBorders>
              <w:top w:val="nil"/>
              <w:left w:val="nil"/>
              <w:bottom w:val="single" w:color="000000" w:sz="8" w:space="0"/>
              <w:right w:val="single" w:color="000000" w:sz="8" w:space="0"/>
            </w:tcBorders>
            <w:noWrap w:val="0"/>
            <w:vAlign w:val="center"/>
          </w:tcPr>
          <w:p w14:paraId="2B5F6BD3">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color w:val="000000"/>
                <w:kern w:val="0"/>
                <w:sz w:val="18"/>
                <w:szCs w:val="18"/>
                <w:u w:val="none"/>
                <w:lang w:val="en-US" w:eastAsia="zh-CN" w:bidi="ar"/>
              </w:rPr>
              <w:t>26.03</w:t>
            </w:r>
          </w:p>
        </w:tc>
        <w:tc>
          <w:tcPr>
            <w:tcW w:w="346" w:type="pct"/>
            <w:tcBorders>
              <w:top w:val="nil"/>
              <w:left w:val="nil"/>
              <w:bottom w:val="single" w:color="000000" w:sz="8" w:space="0"/>
              <w:right w:val="single" w:color="000000" w:sz="8" w:space="0"/>
            </w:tcBorders>
            <w:noWrap w:val="0"/>
            <w:vAlign w:val="center"/>
          </w:tcPr>
          <w:p w14:paraId="03D1AFC6">
            <w:pPr>
              <w:spacing w:line="240" w:lineRule="auto"/>
              <w:ind w:firstLine="0" w:firstLineChars="0"/>
              <w:jc w:val="center"/>
              <w:rPr>
                <w:rFonts w:hint="default" w:ascii="Times New Roman" w:hAnsi="Times New Roman" w:eastAsia="宋体" w:cs="Times New Roman"/>
                <w:i w:val="0"/>
                <w:iCs w:val="0"/>
                <w:color w:val="000000"/>
                <w:sz w:val="18"/>
                <w:szCs w:val="18"/>
                <w:u w:val="none"/>
              </w:rPr>
            </w:pPr>
          </w:p>
        </w:tc>
        <w:tc>
          <w:tcPr>
            <w:tcW w:w="326" w:type="pct"/>
            <w:tcBorders>
              <w:top w:val="nil"/>
              <w:left w:val="nil"/>
              <w:bottom w:val="single" w:color="000000" w:sz="8" w:space="0"/>
              <w:right w:val="single" w:color="000000" w:sz="8" w:space="0"/>
            </w:tcBorders>
            <w:noWrap w:val="0"/>
            <w:vAlign w:val="center"/>
          </w:tcPr>
          <w:p w14:paraId="5C7EA4E1">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color w:val="000000"/>
                <w:kern w:val="0"/>
                <w:sz w:val="18"/>
                <w:szCs w:val="18"/>
                <w:u w:val="none"/>
                <w:lang w:val="en-US" w:eastAsia="zh-CN" w:bidi="ar"/>
              </w:rPr>
              <w:t>26.03</w:t>
            </w:r>
          </w:p>
        </w:tc>
        <w:tc>
          <w:tcPr>
            <w:tcW w:w="148" w:type="pct"/>
            <w:tcBorders>
              <w:top w:val="nil"/>
              <w:left w:val="nil"/>
              <w:bottom w:val="single" w:color="000000" w:sz="8" w:space="0"/>
              <w:right w:val="single" w:color="000000" w:sz="8" w:space="0"/>
            </w:tcBorders>
            <w:noWrap w:val="0"/>
            <w:vAlign w:val="center"/>
          </w:tcPr>
          <w:p w14:paraId="1F2522C8">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w:t>
            </w:r>
          </w:p>
        </w:tc>
        <w:tc>
          <w:tcPr>
            <w:tcW w:w="211" w:type="pct"/>
            <w:tcBorders>
              <w:top w:val="nil"/>
              <w:left w:val="nil"/>
              <w:bottom w:val="single" w:color="000000" w:sz="8" w:space="0"/>
              <w:right w:val="single" w:color="000000" w:sz="8" w:space="0"/>
            </w:tcBorders>
            <w:noWrap w:val="0"/>
            <w:vAlign w:val="center"/>
          </w:tcPr>
          <w:p w14:paraId="2CACF576">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color w:val="000000"/>
                <w:kern w:val="0"/>
                <w:sz w:val="18"/>
                <w:szCs w:val="18"/>
                <w:u w:val="none"/>
                <w:lang w:val="en-US" w:eastAsia="zh-CN" w:bidi="ar"/>
              </w:rPr>
              <w:t>1735</w:t>
            </w:r>
          </w:p>
        </w:tc>
        <w:tc>
          <w:tcPr>
            <w:tcW w:w="478" w:type="pct"/>
            <w:tcBorders>
              <w:top w:val="nil"/>
              <w:left w:val="nil"/>
              <w:bottom w:val="single" w:color="000000" w:sz="8" w:space="0"/>
              <w:right w:val="single" w:color="000000" w:sz="8" w:space="0"/>
            </w:tcBorders>
            <w:noWrap w:val="0"/>
            <w:vAlign w:val="center"/>
          </w:tcPr>
          <w:p w14:paraId="6D2C0718">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color w:val="000000"/>
                <w:kern w:val="0"/>
                <w:sz w:val="18"/>
                <w:szCs w:val="18"/>
                <w:u w:val="none"/>
                <w:lang w:val="en-US" w:eastAsia="zh-CN" w:bidi="ar"/>
              </w:rPr>
              <w:t>150</w:t>
            </w:r>
          </w:p>
        </w:tc>
        <w:tc>
          <w:tcPr>
            <w:tcW w:w="329" w:type="pct"/>
            <w:tcBorders>
              <w:top w:val="nil"/>
              <w:left w:val="nil"/>
              <w:bottom w:val="single" w:color="000000" w:sz="8" w:space="0"/>
              <w:right w:val="single" w:color="000000" w:sz="8" w:space="0"/>
            </w:tcBorders>
            <w:noWrap w:val="0"/>
            <w:vAlign w:val="center"/>
          </w:tcPr>
          <w:p w14:paraId="39836508">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b/>
                <w:bCs/>
                <w:i w:val="0"/>
                <w:iCs w:val="0"/>
                <w:color w:val="000000"/>
                <w:sz w:val="18"/>
                <w:szCs w:val="18"/>
                <w:u w:val="none"/>
              </w:rPr>
            </w:pPr>
            <w:r>
              <w:rPr>
                <w:rFonts w:hint="default" w:ascii="Times New Roman" w:hAnsi="Times New Roman" w:eastAsia="宋体" w:cs="Times New Roman"/>
                <w:b/>
                <w:bCs/>
                <w:i w:val="0"/>
                <w:iCs w:val="0"/>
                <w:color w:val="000000"/>
                <w:kern w:val="0"/>
                <w:sz w:val="18"/>
                <w:szCs w:val="18"/>
                <w:u w:val="none"/>
                <w:lang w:val="en-US" w:eastAsia="zh-CN" w:bidi="ar"/>
              </w:rPr>
              <w:t>0.26%</w:t>
            </w:r>
          </w:p>
        </w:tc>
        <w:tc>
          <w:tcPr>
            <w:tcW w:w="1013" w:type="pct"/>
            <w:tcBorders>
              <w:top w:val="nil"/>
              <w:left w:val="nil"/>
              <w:bottom w:val="single" w:color="000000" w:sz="8" w:space="0"/>
              <w:right w:val="single" w:color="000000" w:sz="8" w:space="0"/>
            </w:tcBorders>
            <w:noWrap w:val="0"/>
            <w:vAlign w:val="center"/>
          </w:tcPr>
          <w:p w14:paraId="28E8F8C3">
            <w:pPr>
              <w:spacing w:line="240" w:lineRule="auto"/>
              <w:ind w:firstLine="0" w:firstLineChars="0"/>
              <w:jc w:val="center"/>
              <w:rPr>
                <w:rFonts w:hint="default" w:ascii="Times New Roman" w:hAnsi="Times New Roman" w:eastAsia="宋体" w:cs="Times New Roman"/>
                <w:i w:val="0"/>
                <w:iCs w:val="0"/>
                <w:color w:val="000000"/>
                <w:sz w:val="18"/>
                <w:szCs w:val="18"/>
                <w:u w:val="none"/>
              </w:rPr>
            </w:pPr>
          </w:p>
        </w:tc>
      </w:tr>
      <w:tr w14:paraId="0A3AE35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3" w:hRule="atLeast"/>
        </w:trPr>
        <w:tc>
          <w:tcPr>
            <w:tcW w:w="273" w:type="pct"/>
            <w:tcBorders>
              <w:top w:val="nil"/>
              <w:left w:val="single" w:color="000000" w:sz="8" w:space="0"/>
              <w:bottom w:val="single" w:color="000000" w:sz="8" w:space="0"/>
              <w:right w:val="single" w:color="000000" w:sz="8" w:space="0"/>
            </w:tcBorders>
            <w:noWrap w:val="0"/>
            <w:vAlign w:val="center"/>
          </w:tcPr>
          <w:p w14:paraId="5299DA23">
            <w:pPr>
              <w:spacing w:line="240" w:lineRule="auto"/>
              <w:ind w:firstLine="0" w:firstLineChars="0"/>
              <w:jc w:val="center"/>
              <w:rPr>
                <w:rFonts w:hint="default" w:ascii="Times New Roman" w:hAnsi="Times New Roman" w:eastAsia="宋体" w:cs="Times New Roman"/>
                <w:i w:val="0"/>
                <w:iCs w:val="0"/>
                <w:color w:val="000000"/>
                <w:sz w:val="18"/>
                <w:szCs w:val="18"/>
                <w:u w:val="none"/>
              </w:rPr>
            </w:pPr>
          </w:p>
        </w:tc>
        <w:tc>
          <w:tcPr>
            <w:tcW w:w="675" w:type="pct"/>
            <w:tcBorders>
              <w:top w:val="nil"/>
              <w:left w:val="nil"/>
              <w:bottom w:val="single" w:color="000000" w:sz="8" w:space="0"/>
              <w:right w:val="single" w:color="000000" w:sz="8" w:space="0"/>
            </w:tcBorders>
            <w:noWrap w:val="0"/>
            <w:vAlign w:val="center"/>
          </w:tcPr>
          <w:p w14:paraId="5376CC40">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暖通工程</w:t>
            </w:r>
          </w:p>
        </w:tc>
        <w:tc>
          <w:tcPr>
            <w:tcW w:w="398" w:type="pct"/>
            <w:tcBorders>
              <w:top w:val="nil"/>
              <w:left w:val="nil"/>
              <w:bottom w:val="single" w:color="000000" w:sz="8" w:space="0"/>
              <w:right w:val="single" w:color="000000" w:sz="8" w:space="0"/>
            </w:tcBorders>
            <w:noWrap w:val="0"/>
            <w:vAlign w:val="center"/>
          </w:tcPr>
          <w:p w14:paraId="5859BFA2">
            <w:pPr>
              <w:spacing w:line="240" w:lineRule="auto"/>
              <w:ind w:firstLine="0" w:firstLineChars="0"/>
              <w:jc w:val="center"/>
              <w:rPr>
                <w:rFonts w:hint="default" w:ascii="Times New Roman" w:hAnsi="Times New Roman" w:eastAsia="宋体" w:cs="Times New Roman"/>
                <w:i w:val="0"/>
                <w:iCs w:val="0"/>
                <w:color w:val="000000"/>
                <w:sz w:val="18"/>
                <w:szCs w:val="18"/>
                <w:u w:val="none"/>
              </w:rPr>
            </w:pPr>
          </w:p>
        </w:tc>
        <w:tc>
          <w:tcPr>
            <w:tcW w:w="398" w:type="pct"/>
            <w:tcBorders>
              <w:top w:val="nil"/>
              <w:left w:val="nil"/>
              <w:bottom w:val="single" w:color="000000" w:sz="8" w:space="0"/>
              <w:right w:val="single" w:color="000000" w:sz="8" w:space="0"/>
            </w:tcBorders>
            <w:noWrap w:val="0"/>
            <w:vAlign w:val="center"/>
          </w:tcPr>
          <w:p w14:paraId="779E5594">
            <w:pPr>
              <w:spacing w:line="240" w:lineRule="auto"/>
              <w:ind w:firstLine="0" w:firstLineChars="0"/>
              <w:jc w:val="center"/>
              <w:rPr>
                <w:rFonts w:hint="default" w:ascii="Times New Roman" w:hAnsi="Times New Roman" w:eastAsia="宋体" w:cs="Times New Roman"/>
                <w:i w:val="0"/>
                <w:iCs w:val="0"/>
                <w:color w:val="000000"/>
                <w:sz w:val="18"/>
                <w:szCs w:val="18"/>
                <w:u w:val="none"/>
              </w:rPr>
            </w:pPr>
          </w:p>
        </w:tc>
        <w:tc>
          <w:tcPr>
            <w:tcW w:w="398" w:type="pct"/>
            <w:tcBorders>
              <w:top w:val="nil"/>
              <w:left w:val="nil"/>
              <w:bottom w:val="single" w:color="000000" w:sz="8" w:space="0"/>
              <w:right w:val="single" w:color="000000" w:sz="8" w:space="0"/>
            </w:tcBorders>
            <w:noWrap w:val="0"/>
            <w:vAlign w:val="center"/>
          </w:tcPr>
          <w:p w14:paraId="1FC32507">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color w:val="000000"/>
                <w:kern w:val="0"/>
                <w:sz w:val="18"/>
                <w:szCs w:val="18"/>
                <w:u w:val="none"/>
                <w:lang w:val="en-US" w:eastAsia="zh-CN" w:bidi="ar"/>
              </w:rPr>
              <w:t>10.41</w:t>
            </w:r>
          </w:p>
        </w:tc>
        <w:tc>
          <w:tcPr>
            <w:tcW w:w="346" w:type="pct"/>
            <w:tcBorders>
              <w:top w:val="nil"/>
              <w:left w:val="nil"/>
              <w:bottom w:val="single" w:color="000000" w:sz="8" w:space="0"/>
              <w:right w:val="single" w:color="000000" w:sz="8" w:space="0"/>
            </w:tcBorders>
            <w:noWrap w:val="0"/>
            <w:vAlign w:val="center"/>
          </w:tcPr>
          <w:p w14:paraId="45672500">
            <w:pPr>
              <w:spacing w:line="240" w:lineRule="auto"/>
              <w:ind w:firstLine="0" w:firstLineChars="0"/>
              <w:jc w:val="center"/>
              <w:rPr>
                <w:rFonts w:hint="default" w:ascii="Times New Roman" w:hAnsi="Times New Roman" w:eastAsia="宋体" w:cs="Times New Roman"/>
                <w:i w:val="0"/>
                <w:iCs w:val="0"/>
                <w:color w:val="000000"/>
                <w:sz w:val="18"/>
                <w:szCs w:val="18"/>
                <w:u w:val="none"/>
              </w:rPr>
            </w:pPr>
          </w:p>
        </w:tc>
        <w:tc>
          <w:tcPr>
            <w:tcW w:w="326" w:type="pct"/>
            <w:tcBorders>
              <w:top w:val="nil"/>
              <w:left w:val="nil"/>
              <w:bottom w:val="single" w:color="000000" w:sz="8" w:space="0"/>
              <w:right w:val="single" w:color="000000" w:sz="8" w:space="0"/>
            </w:tcBorders>
            <w:noWrap w:val="0"/>
            <w:vAlign w:val="center"/>
          </w:tcPr>
          <w:p w14:paraId="0F8B05CE">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color w:val="000000"/>
                <w:kern w:val="0"/>
                <w:sz w:val="18"/>
                <w:szCs w:val="18"/>
                <w:u w:val="none"/>
                <w:lang w:val="en-US" w:eastAsia="zh-CN" w:bidi="ar"/>
              </w:rPr>
              <w:t>10.41</w:t>
            </w:r>
          </w:p>
        </w:tc>
        <w:tc>
          <w:tcPr>
            <w:tcW w:w="148" w:type="pct"/>
            <w:tcBorders>
              <w:top w:val="nil"/>
              <w:left w:val="nil"/>
              <w:bottom w:val="single" w:color="000000" w:sz="8" w:space="0"/>
              <w:right w:val="single" w:color="000000" w:sz="8" w:space="0"/>
            </w:tcBorders>
            <w:noWrap w:val="0"/>
            <w:vAlign w:val="center"/>
          </w:tcPr>
          <w:p w14:paraId="4DEB9283">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w:t>
            </w:r>
          </w:p>
        </w:tc>
        <w:tc>
          <w:tcPr>
            <w:tcW w:w="211" w:type="pct"/>
            <w:tcBorders>
              <w:top w:val="nil"/>
              <w:left w:val="nil"/>
              <w:bottom w:val="single" w:color="000000" w:sz="8" w:space="0"/>
              <w:right w:val="single" w:color="000000" w:sz="8" w:space="0"/>
            </w:tcBorders>
            <w:noWrap w:val="0"/>
            <w:vAlign w:val="center"/>
          </w:tcPr>
          <w:p w14:paraId="6C492ED0">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color w:val="000000"/>
                <w:kern w:val="0"/>
                <w:sz w:val="18"/>
                <w:szCs w:val="18"/>
                <w:u w:val="none"/>
                <w:lang w:val="en-US" w:eastAsia="zh-CN" w:bidi="ar"/>
              </w:rPr>
              <w:t>1735</w:t>
            </w:r>
          </w:p>
        </w:tc>
        <w:tc>
          <w:tcPr>
            <w:tcW w:w="478" w:type="pct"/>
            <w:tcBorders>
              <w:top w:val="nil"/>
              <w:left w:val="nil"/>
              <w:bottom w:val="single" w:color="000000" w:sz="8" w:space="0"/>
              <w:right w:val="single" w:color="000000" w:sz="8" w:space="0"/>
            </w:tcBorders>
            <w:noWrap w:val="0"/>
            <w:vAlign w:val="center"/>
          </w:tcPr>
          <w:p w14:paraId="1AB87A6B">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color w:val="000000"/>
                <w:kern w:val="0"/>
                <w:sz w:val="18"/>
                <w:szCs w:val="18"/>
                <w:u w:val="none"/>
                <w:lang w:val="en-US" w:eastAsia="zh-CN" w:bidi="ar"/>
              </w:rPr>
              <w:t>60</w:t>
            </w:r>
          </w:p>
        </w:tc>
        <w:tc>
          <w:tcPr>
            <w:tcW w:w="329" w:type="pct"/>
            <w:tcBorders>
              <w:top w:val="nil"/>
              <w:left w:val="nil"/>
              <w:bottom w:val="single" w:color="000000" w:sz="8" w:space="0"/>
              <w:right w:val="single" w:color="000000" w:sz="8" w:space="0"/>
            </w:tcBorders>
            <w:noWrap w:val="0"/>
            <w:vAlign w:val="center"/>
          </w:tcPr>
          <w:p w14:paraId="5BE1282A">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b/>
                <w:bCs/>
                <w:i w:val="0"/>
                <w:iCs w:val="0"/>
                <w:color w:val="000000"/>
                <w:sz w:val="18"/>
                <w:szCs w:val="18"/>
                <w:u w:val="none"/>
              </w:rPr>
            </w:pPr>
            <w:r>
              <w:rPr>
                <w:rFonts w:hint="default" w:ascii="Times New Roman" w:hAnsi="Times New Roman" w:eastAsia="宋体" w:cs="Times New Roman"/>
                <w:b/>
                <w:bCs/>
                <w:i w:val="0"/>
                <w:iCs w:val="0"/>
                <w:color w:val="000000"/>
                <w:kern w:val="0"/>
                <w:sz w:val="18"/>
                <w:szCs w:val="18"/>
                <w:u w:val="none"/>
                <w:lang w:val="en-US" w:eastAsia="zh-CN" w:bidi="ar"/>
              </w:rPr>
              <w:t>0.10%</w:t>
            </w:r>
          </w:p>
        </w:tc>
        <w:tc>
          <w:tcPr>
            <w:tcW w:w="1013" w:type="pct"/>
            <w:tcBorders>
              <w:top w:val="nil"/>
              <w:left w:val="nil"/>
              <w:bottom w:val="single" w:color="000000" w:sz="8" w:space="0"/>
              <w:right w:val="single" w:color="000000" w:sz="8" w:space="0"/>
            </w:tcBorders>
            <w:noWrap w:val="0"/>
            <w:vAlign w:val="center"/>
          </w:tcPr>
          <w:p w14:paraId="2800003B">
            <w:pPr>
              <w:spacing w:line="240" w:lineRule="auto"/>
              <w:ind w:firstLine="0" w:firstLineChars="0"/>
              <w:jc w:val="center"/>
              <w:rPr>
                <w:rFonts w:hint="default" w:ascii="Times New Roman" w:hAnsi="Times New Roman" w:eastAsia="宋体" w:cs="Times New Roman"/>
                <w:i w:val="0"/>
                <w:iCs w:val="0"/>
                <w:color w:val="000000"/>
                <w:sz w:val="18"/>
                <w:szCs w:val="18"/>
                <w:u w:val="none"/>
              </w:rPr>
            </w:pPr>
          </w:p>
        </w:tc>
      </w:tr>
      <w:tr w14:paraId="3180680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3" w:hRule="atLeast"/>
        </w:trPr>
        <w:tc>
          <w:tcPr>
            <w:tcW w:w="273" w:type="pct"/>
            <w:tcBorders>
              <w:top w:val="nil"/>
              <w:left w:val="single" w:color="000000" w:sz="8" w:space="0"/>
              <w:bottom w:val="single" w:color="000000" w:sz="8" w:space="0"/>
              <w:right w:val="single" w:color="000000" w:sz="8" w:space="0"/>
            </w:tcBorders>
            <w:noWrap w:val="0"/>
            <w:vAlign w:val="center"/>
          </w:tcPr>
          <w:p w14:paraId="63F598EF">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三</w:t>
            </w:r>
          </w:p>
        </w:tc>
        <w:tc>
          <w:tcPr>
            <w:tcW w:w="675" w:type="pct"/>
            <w:tcBorders>
              <w:top w:val="nil"/>
              <w:left w:val="nil"/>
              <w:bottom w:val="single" w:color="000000" w:sz="8" w:space="0"/>
              <w:right w:val="single" w:color="000000" w:sz="8" w:space="0"/>
            </w:tcBorders>
            <w:noWrap w:val="0"/>
            <w:vAlign w:val="center"/>
          </w:tcPr>
          <w:p w14:paraId="0FF622E7">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总平</w:t>
            </w:r>
          </w:p>
        </w:tc>
        <w:tc>
          <w:tcPr>
            <w:tcW w:w="398" w:type="pct"/>
            <w:tcBorders>
              <w:top w:val="nil"/>
              <w:left w:val="nil"/>
              <w:bottom w:val="single" w:color="000000" w:sz="8" w:space="0"/>
              <w:right w:val="single" w:color="000000" w:sz="8" w:space="0"/>
            </w:tcBorders>
            <w:noWrap w:val="0"/>
            <w:vAlign w:val="center"/>
          </w:tcPr>
          <w:p w14:paraId="36B069B2">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color w:val="000000"/>
                <w:kern w:val="0"/>
                <w:sz w:val="18"/>
                <w:szCs w:val="18"/>
                <w:u w:val="none"/>
                <w:lang w:val="en-US" w:eastAsia="zh-CN" w:bidi="ar"/>
              </w:rPr>
              <w:t>474.55</w:t>
            </w:r>
          </w:p>
        </w:tc>
        <w:tc>
          <w:tcPr>
            <w:tcW w:w="398" w:type="pct"/>
            <w:tcBorders>
              <w:top w:val="nil"/>
              <w:left w:val="nil"/>
              <w:bottom w:val="single" w:color="000000" w:sz="8" w:space="0"/>
              <w:right w:val="single" w:color="000000" w:sz="8" w:space="0"/>
            </w:tcBorders>
            <w:noWrap w:val="0"/>
            <w:vAlign w:val="center"/>
          </w:tcPr>
          <w:p w14:paraId="7097DAF9">
            <w:pPr>
              <w:spacing w:line="240" w:lineRule="auto"/>
              <w:ind w:firstLine="0" w:firstLineChars="0"/>
              <w:jc w:val="center"/>
              <w:rPr>
                <w:rFonts w:hint="default" w:ascii="Times New Roman" w:hAnsi="Times New Roman" w:eastAsia="宋体" w:cs="Times New Roman"/>
                <w:i w:val="0"/>
                <w:iCs w:val="0"/>
                <w:color w:val="000000"/>
                <w:sz w:val="18"/>
                <w:szCs w:val="18"/>
                <w:u w:val="none"/>
              </w:rPr>
            </w:pPr>
          </w:p>
        </w:tc>
        <w:tc>
          <w:tcPr>
            <w:tcW w:w="398" w:type="pct"/>
            <w:tcBorders>
              <w:top w:val="nil"/>
              <w:left w:val="nil"/>
              <w:bottom w:val="single" w:color="000000" w:sz="8" w:space="0"/>
              <w:right w:val="single" w:color="000000" w:sz="8" w:space="0"/>
            </w:tcBorders>
            <w:noWrap w:val="0"/>
            <w:vAlign w:val="center"/>
          </w:tcPr>
          <w:p w14:paraId="64D79E84">
            <w:pPr>
              <w:spacing w:line="240" w:lineRule="auto"/>
              <w:ind w:firstLine="0" w:firstLineChars="0"/>
              <w:jc w:val="center"/>
              <w:rPr>
                <w:rFonts w:hint="default" w:ascii="Times New Roman" w:hAnsi="Times New Roman" w:eastAsia="宋体" w:cs="Times New Roman"/>
                <w:i w:val="0"/>
                <w:iCs w:val="0"/>
                <w:color w:val="000000"/>
                <w:sz w:val="18"/>
                <w:szCs w:val="18"/>
                <w:u w:val="none"/>
              </w:rPr>
            </w:pPr>
          </w:p>
        </w:tc>
        <w:tc>
          <w:tcPr>
            <w:tcW w:w="346" w:type="pct"/>
            <w:tcBorders>
              <w:top w:val="nil"/>
              <w:left w:val="nil"/>
              <w:bottom w:val="single" w:color="000000" w:sz="8" w:space="0"/>
              <w:right w:val="single" w:color="000000" w:sz="8" w:space="0"/>
            </w:tcBorders>
            <w:noWrap w:val="0"/>
            <w:vAlign w:val="center"/>
          </w:tcPr>
          <w:p w14:paraId="21D44093">
            <w:pPr>
              <w:spacing w:line="240" w:lineRule="auto"/>
              <w:ind w:firstLine="0" w:firstLineChars="0"/>
              <w:jc w:val="center"/>
              <w:rPr>
                <w:rFonts w:hint="default" w:ascii="Times New Roman" w:hAnsi="Times New Roman" w:eastAsia="宋体" w:cs="Times New Roman"/>
                <w:i w:val="0"/>
                <w:iCs w:val="0"/>
                <w:color w:val="000000"/>
                <w:sz w:val="18"/>
                <w:szCs w:val="18"/>
                <w:u w:val="none"/>
              </w:rPr>
            </w:pPr>
          </w:p>
        </w:tc>
        <w:tc>
          <w:tcPr>
            <w:tcW w:w="326" w:type="pct"/>
            <w:tcBorders>
              <w:top w:val="nil"/>
              <w:left w:val="nil"/>
              <w:bottom w:val="single" w:color="000000" w:sz="8" w:space="0"/>
              <w:right w:val="single" w:color="000000" w:sz="8" w:space="0"/>
            </w:tcBorders>
            <w:noWrap w:val="0"/>
            <w:vAlign w:val="center"/>
          </w:tcPr>
          <w:p w14:paraId="17B4E3BC">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color w:val="000000"/>
                <w:kern w:val="0"/>
                <w:sz w:val="18"/>
                <w:szCs w:val="18"/>
                <w:u w:val="none"/>
                <w:lang w:val="en-US" w:eastAsia="zh-CN" w:bidi="ar"/>
              </w:rPr>
              <w:t>474.55</w:t>
            </w:r>
          </w:p>
        </w:tc>
        <w:tc>
          <w:tcPr>
            <w:tcW w:w="148" w:type="pct"/>
            <w:tcBorders>
              <w:top w:val="nil"/>
              <w:left w:val="nil"/>
              <w:bottom w:val="single" w:color="000000" w:sz="8" w:space="0"/>
              <w:right w:val="single" w:color="000000" w:sz="8" w:space="0"/>
            </w:tcBorders>
            <w:noWrap w:val="0"/>
            <w:vAlign w:val="center"/>
          </w:tcPr>
          <w:p w14:paraId="1DD54103">
            <w:pPr>
              <w:spacing w:line="240" w:lineRule="auto"/>
              <w:ind w:firstLine="0" w:firstLineChars="0"/>
              <w:jc w:val="center"/>
              <w:rPr>
                <w:rFonts w:hint="default" w:ascii="Times New Roman" w:hAnsi="Times New Roman" w:eastAsia="宋体" w:cs="Times New Roman"/>
                <w:i w:val="0"/>
                <w:iCs w:val="0"/>
                <w:color w:val="000000"/>
                <w:sz w:val="18"/>
                <w:szCs w:val="18"/>
                <w:u w:val="none"/>
              </w:rPr>
            </w:pPr>
          </w:p>
        </w:tc>
        <w:tc>
          <w:tcPr>
            <w:tcW w:w="211" w:type="pct"/>
            <w:tcBorders>
              <w:top w:val="nil"/>
              <w:left w:val="nil"/>
              <w:bottom w:val="single" w:color="000000" w:sz="8" w:space="0"/>
              <w:right w:val="single" w:color="000000" w:sz="8" w:space="0"/>
            </w:tcBorders>
            <w:noWrap w:val="0"/>
            <w:vAlign w:val="center"/>
          </w:tcPr>
          <w:p w14:paraId="7A5E0F29">
            <w:pPr>
              <w:spacing w:line="240" w:lineRule="auto"/>
              <w:ind w:firstLine="0" w:firstLineChars="0"/>
              <w:jc w:val="center"/>
              <w:rPr>
                <w:rFonts w:hint="default" w:ascii="Times New Roman" w:hAnsi="Times New Roman" w:eastAsia="宋体" w:cs="Times New Roman"/>
                <w:i w:val="0"/>
                <w:iCs w:val="0"/>
                <w:color w:val="000000"/>
                <w:sz w:val="18"/>
                <w:szCs w:val="18"/>
                <w:u w:val="none"/>
              </w:rPr>
            </w:pPr>
          </w:p>
        </w:tc>
        <w:tc>
          <w:tcPr>
            <w:tcW w:w="478" w:type="pct"/>
            <w:tcBorders>
              <w:top w:val="nil"/>
              <w:left w:val="nil"/>
              <w:bottom w:val="single" w:color="000000" w:sz="8" w:space="0"/>
              <w:right w:val="single" w:color="000000" w:sz="8" w:space="0"/>
            </w:tcBorders>
            <w:noWrap w:val="0"/>
            <w:vAlign w:val="center"/>
          </w:tcPr>
          <w:p w14:paraId="50824505">
            <w:pPr>
              <w:spacing w:line="240" w:lineRule="auto"/>
              <w:ind w:firstLine="0" w:firstLineChars="0"/>
              <w:jc w:val="center"/>
              <w:rPr>
                <w:rFonts w:hint="default" w:ascii="Times New Roman" w:hAnsi="Times New Roman" w:eastAsia="宋体" w:cs="Times New Roman"/>
                <w:i w:val="0"/>
                <w:iCs w:val="0"/>
                <w:color w:val="000000"/>
                <w:sz w:val="18"/>
                <w:szCs w:val="18"/>
                <w:u w:val="none"/>
              </w:rPr>
            </w:pPr>
          </w:p>
        </w:tc>
        <w:tc>
          <w:tcPr>
            <w:tcW w:w="329" w:type="pct"/>
            <w:tcBorders>
              <w:top w:val="nil"/>
              <w:left w:val="nil"/>
              <w:bottom w:val="single" w:color="000000" w:sz="8" w:space="0"/>
              <w:right w:val="single" w:color="000000" w:sz="8" w:space="0"/>
            </w:tcBorders>
            <w:noWrap w:val="0"/>
            <w:vAlign w:val="center"/>
          </w:tcPr>
          <w:p w14:paraId="6553D59F">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b/>
                <w:bCs/>
                <w:i w:val="0"/>
                <w:iCs w:val="0"/>
                <w:color w:val="000000"/>
                <w:sz w:val="18"/>
                <w:szCs w:val="18"/>
                <w:u w:val="none"/>
              </w:rPr>
            </w:pPr>
            <w:r>
              <w:rPr>
                <w:rFonts w:hint="default" w:ascii="Times New Roman" w:hAnsi="Times New Roman" w:eastAsia="宋体" w:cs="Times New Roman"/>
                <w:b/>
                <w:bCs/>
                <w:i w:val="0"/>
                <w:iCs w:val="0"/>
                <w:color w:val="000000"/>
                <w:kern w:val="0"/>
                <w:sz w:val="18"/>
                <w:szCs w:val="18"/>
                <w:u w:val="none"/>
                <w:lang w:val="en-US" w:eastAsia="zh-CN" w:bidi="ar"/>
              </w:rPr>
              <w:t>4.65%</w:t>
            </w:r>
          </w:p>
        </w:tc>
        <w:tc>
          <w:tcPr>
            <w:tcW w:w="1013" w:type="pct"/>
            <w:tcBorders>
              <w:top w:val="nil"/>
              <w:left w:val="nil"/>
              <w:bottom w:val="single" w:color="000000" w:sz="8" w:space="0"/>
              <w:right w:val="single" w:color="000000" w:sz="8" w:space="0"/>
            </w:tcBorders>
            <w:noWrap w:val="0"/>
            <w:vAlign w:val="center"/>
          </w:tcPr>
          <w:p w14:paraId="6DF11590">
            <w:pPr>
              <w:spacing w:line="240" w:lineRule="auto"/>
              <w:ind w:firstLine="0" w:firstLineChars="0"/>
              <w:jc w:val="center"/>
              <w:rPr>
                <w:rFonts w:hint="default" w:ascii="Times New Roman" w:hAnsi="Times New Roman" w:eastAsia="宋体" w:cs="Times New Roman"/>
                <w:i w:val="0"/>
                <w:iCs w:val="0"/>
                <w:color w:val="000000"/>
                <w:sz w:val="18"/>
                <w:szCs w:val="18"/>
                <w:u w:val="none"/>
              </w:rPr>
            </w:pPr>
          </w:p>
        </w:tc>
      </w:tr>
      <w:tr w14:paraId="6A47653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3" w:hRule="atLeast"/>
        </w:trPr>
        <w:tc>
          <w:tcPr>
            <w:tcW w:w="273" w:type="pct"/>
            <w:tcBorders>
              <w:top w:val="nil"/>
              <w:left w:val="single" w:color="000000" w:sz="8" w:space="0"/>
              <w:bottom w:val="single" w:color="000000" w:sz="8" w:space="0"/>
              <w:right w:val="single" w:color="000000" w:sz="8" w:space="0"/>
            </w:tcBorders>
            <w:noWrap w:val="0"/>
            <w:vAlign w:val="center"/>
          </w:tcPr>
          <w:p w14:paraId="7EF10E38">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color w:val="000000"/>
                <w:kern w:val="0"/>
                <w:sz w:val="18"/>
                <w:szCs w:val="18"/>
                <w:u w:val="none"/>
                <w:lang w:val="en-US" w:eastAsia="zh-CN" w:bidi="ar"/>
              </w:rPr>
              <w:t>1</w:t>
            </w:r>
          </w:p>
        </w:tc>
        <w:tc>
          <w:tcPr>
            <w:tcW w:w="675" w:type="pct"/>
            <w:tcBorders>
              <w:top w:val="nil"/>
              <w:left w:val="nil"/>
              <w:bottom w:val="single" w:color="000000" w:sz="8" w:space="0"/>
              <w:right w:val="single" w:color="000000" w:sz="8" w:space="0"/>
            </w:tcBorders>
            <w:noWrap w:val="0"/>
            <w:vAlign w:val="center"/>
          </w:tcPr>
          <w:p w14:paraId="63B95C10">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总平布置</w:t>
            </w:r>
          </w:p>
        </w:tc>
        <w:tc>
          <w:tcPr>
            <w:tcW w:w="398" w:type="pct"/>
            <w:tcBorders>
              <w:top w:val="nil"/>
              <w:left w:val="nil"/>
              <w:bottom w:val="single" w:color="000000" w:sz="8" w:space="0"/>
              <w:right w:val="single" w:color="000000" w:sz="8" w:space="0"/>
            </w:tcBorders>
            <w:noWrap w:val="0"/>
            <w:vAlign w:val="center"/>
          </w:tcPr>
          <w:p w14:paraId="1B2791C3">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color w:val="000000"/>
                <w:kern w:val="0"/>
                <w:sz w:val="18"/>
                <w:szCs w:val="18"/>
                <w:u w:val="none"/>
                <w:lang w:val="en-US" w:eastAsia="zh-CN" w:bidi="ar"/>
              </w:rPr>
              <w:t>230.75</w:t>
            </w:r>
          </w:p>
        </w:tc>
        <w:tc>
          <w:tcPr>
            <w:tcW w:w="398" w:type="pct"/>
            <w:tcBorders>
              <w:top w:val="nil"/>
              <w:left w:val="nil"/>
              <w:bottom w:val="single" w:color="000000" w:sz="8" w:space="0"/>
              <w:right w:val="single" w:color="000000" w:sz="8" w:space="0"/>
            </w:tcBorders>
            <w:noWrap w:val="0"/>
            <w:vAlign w:val="center"/>
          </w:tcPr>
          <w:p w14:paraId="1846F74E">
            <w:pPr>
              <w:spacing w:line="240" w:lineRule="auto"/>
              <w:ind w:firstLine="0" w:firstLineChars="0"/>
              <w:jc w:val="center"/>
              <w:rPr>
                <w:rFonts w:hint="default" w:ascii="Times New Roman" w:hAnsi="Times New Roman" w:eastAsia="宋体" w:cs="Times New Roman"/>
                <w:i w:val="0"/>
                <w:iCs w:val="0"/>
                <w:color w:val="000000"/>
                <w:sz w:val="18"/>
                <w:szCs w:val="18"/>
                <w:u w:val="none"/>
              </w:rPr>
            </w:pPr>
          </w:p>
        </w:tc>
        <w:tc>
          <w:tcPr>
            <w:tcW w:w="398" w:type="pct"/>
            <w:tcBorders>
              <w:top w:val="nil"/>
              <w:left w:val="nil"/>
              <w:bottom w:val="single" w:color="000000" w:sz="8" w:space="0"/>
              <w:right w:val="single" w:color="000000" w:sz="8" w:space="0"/>
            </w:tcBorders>
            <w:noWrap w:val="0"/>
            <w:vAlign w:val="center"/>
          </w:tcPr>
          <w:p w14:paraId="651AC6E5">
            <w:pPr>
              <w:spacing w:line="240" w:lineRule="auto"/>
              <w:ind w:firstLine="0" w:firstLineChars="0"/>
              <w:jc w:val="center"/>
              <w:rPr>
                <w:rFonts w:hint="default" w:ascii="Times New Roman" w:hAnsi="Times New Roman" w:eastAsia="宋体" w:cs="Times New Roman"/>
                <w:i w:val="0"/>
                <w:iCs w:val="0"/>
                <w:color w:val="000000"/>
                <w:sz w:val="18"/>
                <w:szCs w:val="18"/>
                <w:u w:val="none"/>
              </w:rPr>
            </w:pPr>
          </w:p>
        </w:tc>
        <w:tc>
          <w:tcPr>
            <w:tcW w:w="346" w:type="pct"/>
            <w:tcBorders>
              <w:top w:val="nil"/>
              <w:left w:val="nil"/>
              <w:bottom w:val="single" w:color="000000" w:sz="8" w:space="0"/>
              <w:right w:val="single" w:color="000000" w:sz="8" w:space="0"/>
            </w:tcBorders>
            <w:noWrap w:val="0"/>
            <w:vAlign w:val="center"/>
          </w:tcPr>
          <w:p w14:paraId="1CE65D50">
            <w:pPr>
              <w:spacing w:line="240" w:lineRule="auto"/>
              <w:ind w:firstLine="0" w:firstLineChars="0"/>
              <w:jc w:val="center"/>
              <w:rPr>
                <w:rFonts w:hint="default" w:ascii="Times New Roman" w:hAnsi="Times New Roman" w:eastAsia="宋体" w:cs="Times New Roman"/>
                <w:i w:val="0"/>
                <w:iCs w:val="0"/>
                <w:color w:val="000000"/>
                <w:sz w:val="18"/>
                <w:szCs w:val="18"/>
                <w:u w:val="none"/>
              </w:rPr>
            </w:pPr>
          </w:p>
        </w:tc>
        <w:tc>
          <w:tcPr>
            <w:tcW w:w="326" w:type="pct"/>
            <w:tcBorders>
              <w:top w:val="nil"/>
              <w:left w:val="nil"/>
              <w:bottom w:val="single" w:color="000000" w:sz="8" w:space="0"/>
              <w:right w:val="single" w:color="000000" w:sz="8" w:space="0"/>
            </w:tcBorders>
            <w:noWrap w:val="0"/>
            <w:vAlign w:val="center"/>
          </w:tcPr>
          <w:p w14:paraId="21FBB594">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color w:val="000000"/>
                <w:kern w:val="0"/>
                <w:sz w:val="18"/>
                <w:szCs w:val="18"/>
                <w:u w:val="none"/>
                <w:lang w:val="en-US" w:eastAsia="zh-CN" w:bidi="ar"/>
              </w:rPr>
              <w:t>230.75</w:t>
            </w:r>
          </w:p>
        </w:tc>
        <w:tc>
          <w:tcPr>
            <w:tcW w:w="148" w:type="pct"/>
            <w:tcBorders>
              <w:top w:val="nil"/>
              <w:left w:val="nil"/>
              <w:bottom w:val="single" w:color="000000" w:sz="8" w:space="0"/>
              <w:right w:val="single" w:color="000000" w:sz="8" w:space="0"/>
            </w:tcBorders>
            <w:noWrap w:val="0"/>
            <w:vAlign w:val="center"/>
          </w:tcPr>
          <w:p w14:paraId="30976F1D">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w:t>
            </w:r>
          </w:p>
        </w:tc>
        <w:tc>
          <w:tcPr>
            <w:tcW w:w="211" w:type="pct"/>
            <w:tcBorders>
              <w:top w:val="nil"/>
              <w:left w:val="nil"/>
              <w:bottom w:val="single" w:color="000000" w:sz="8" w:space="0"/>
              <w:right w:val="single" w:color="000000" w:sz="8" w:space="0"/>
            </w:tcBorders>
            <w:noWrap w:val="0"/>
            <w:vAlign w:val="center"/>
          </w:tcPr>
          <w:p w14:paraId="16A0527D">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color w:val="000000"/>
                <w:kern w:val="0"/>
                <w:sz w:val="18"/>
                <w:szCs w:val="18"/>
                <w:u w:val="none"/>
                <w:lang w:val="en-US" w:eastAsia="zh-CN" w:bidi="ar"/>
              </w:rPr>
              <w:t>8241</w:t>
            </w:r>
          </w:p>
        </w:tc>
        <w:tc>
          <w:tcPr>
            <w:tcW w:w="478" w:type="pct"/>
            <w:tcBorders>
              <w:top w:val="nil"/>
              <w:left w:val="nil"/>
              <w:bottom w:val="single" w:color="000000" w:sz="8" w:space="0"/>
              <w:right w:val="single" w:color="000000" w:sz="8" w:space="0"/>
            </w:tcBorders>
            <w:noWrap w:val="0"/>
            <w:vAlign w:val="center"/>
          </w:tcPr>
          <w:p w14:paraId="66E0F38C">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color w:val="000000"/>
                <w:kern w:val="0"/>
                <w:sz w:val="18"/>
                <w:szCs w:val="18"/>
                <w:u w:val="none"/>
                <w:lang w:val="en-US" w:eastAsia="zh-CN" w:bidi="ar"/>
              </w:rPr>
              <w:t>280</w:t>
            </w:r>
          </w:p>
        </w:tc>
        <w:tc>
          <w:tcPr>
            <w:tcW w:w="329" w:type="pct"/>
            <w:tcBorders>
              <w:top w:val="nil"/>
              <w:left w:val="nil"/>
              <w:bottom w:val="single" w:color="000000" w:sz="8" w:space="0"/>
              <w:right w:val="single" w:color="000000" w:sz="8" w:space="0"/>
            </w:tcBorders>
            <w:noWrap w:val="0"/>
            <w:vAlign w:val="center"/>
          </w:tcPr>
          <w:p w14:paraId="434A101D">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b/>
                <w:bCs/>
                <w:i w:val="0"/>
                <w:iCs w:val="0"/>
                <w:color w:val="000000"/>
                <w:sz w:val="18"/>
                <w:szCs w:val="18"/>
                <w:u w:val="none"/>
              </w:rPr>
            </w:pPr>
            <w:r>
              <w:rPr>
                <w:rFonts w:hint="default" w:ascii="Times New Roman" w:hAnsi="Times New Roman" w:eastAsia="宋体" w:cs="Times New Roman"/>
                <w:b/>
                <w:bCs/>
                <w:i w:val="0"/>
                <w:iCs w:val="0"/>
                <w:color w:val="000000"/>
                <w:kern w:val="0"/>
                <w:sz w:val="18"/>
                <w:szCs w:val="18"/>
                <w:u w:val="none"/>
                <w:lang w:val="en-US" w:eastAsia="zh-CN" w:bidi="ar"/>
              </w:rPr>
              <w:t>2.26%</w:t>
            </w:r>
          </w:p>
        </w:tc>
        <w:tc>
          <w:tcPr>
            <w:tcW w:w="1013" w:type="pct"/>
            <w:tcBorders>
              <w:top w:val="nil"/>
              <w:left w:val="nil"/>
              <w:bottom w:val="single" w:color="000000" w:sz="8" w:space="0"/>
              <w:right w:val="single" w:color="000000" w:sz="8" w:space="0"/>
            </w:tcBorders>
            <w:noWrap w:val="0"/>
            <w:vAlign w:val="center"/>
          </w:tcPr>
          <w:p w14:paraId="316D1539">
            <w:pPr>
              <w:spacing w:line="240" w:lineRule="auto"/>
              <w:ind w:firstLine="0" w:firstLineChars="0"/>
              <w:jc w:val="center"/>
              <w:rPr>
                <w:rFonts w:hint="default" w:ascii="Times New Roman" w:hAnsi="Times New Roman" w:eastAsia="宋体" w:cs="Times New Roman"/>
                <w:i w:val="0"/>
                <w:iCs w:val="0"/>
                <w:color w:val="000000"/>
                <w:sz w:val="18"/>
                <w:szCs w:val="18"/>
                <w:u w:val="none"/>
              </w:rPr>
            </w:pPr>
          </w:p>
        </w:tc>
      </w:tr>
      <w:tr w14:paraId="6C800F8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3" w:hRule="atLeast"/>
        </w:trPr>
        <w:tc>
          <w:tcPr>
            <w:tcW w:w="273" w:type="pct"/>
            <w:tcBorders>
              <w:top w:val="nil"/>
              <w:left w:val="single" w:color="000000" w:sz="8" w:space="0"/>
              <w:bottom w:val="single" w:color="000000" w:sz="8" w:space="0"/>
              <w:right w:val="single" w:color="000000" w:sz="8" w:space="0"/>
            </w:tcBorders>
            <w:noWrap w:val="0"/>
            <w:vAlign w:val="center"/>
          </w:tcPr>
          <w:p w14:paraId="1AC26974">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color w:val="000000"/>
                <w:kern w:val="0"/>
                <w:sz w:val="18"/>
                <w:szCs w:val="18"/>
                <w:u w:val="none"/>
                <w:lang w:val="en-US" w:eastAsia="zh-CN" w:bidi="ar"/>
              </w:rPr>
              <w:t>2</w:t>
            </w:r>
          </w:p>
        </w:tc>
        <w:tc>
          <w:tcPr>
            <w:tcW w:w="675" w:type="pct"/>
            <w:tcBorders>
              <w:top w:val="nil"/>
              <w:left w:val="nil"/>
              <w:bottom w:val="single" w:color="000000" w:sz="8" w:space="0"/>
              <w:right w:val="single" w:color="000000" w:sz="8" w:space="0"/>
            </w:tcBorders>
            <w:noWrap w:val="0"/>
            <w:vAlign w:val="center"/>
          </w:tcPr>
          <w:p w14:paraId="1DF1719D">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总平管网及井室</w:t>
            </w:r>
          </w:p>
        </w:tc>
        <w:tc>
          <w:tcPr>
            <w:tcW w:w="398" w:type="pct"/>
            <w:tcBorders>
              <w:top w:val="nil"/>
              <w:left w:val="nil"/>
              <w:bottom w:val="single" w:color="000000" w:sz="8" w:space="0"/>
              <w:right w:val="single" w:color="000000" w:sz="8" w:space="0"/>
            </w:tcBorders>
            <w:noWrap w:val="0"/>
            <w:vAlign w:val="center"/>
          </w:tcPr>
          <w:p w14:paraId="2BDE8958">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color w:val="000000"/>
                <w:kern w:val="0"/>
                <w:sz w:val="18"/>
                <w:szCs w:val="18"/>
                <w:u w:val="none"/>
                <w:lang w:val="en-US" w:eastAsia="zh-CN" w:bidi="ar"/>
              </w:rPr>
              <w:t>63.8</w:t>
            </w:r>
          </w:p>
        </w:tc>
        <w:tc>
          <w:tcPr>
            <w:tcW w:w="398" w:type="pct"/>
            <w:tcBorders>
              <w:top w:val="nil"/>
              <w:left w:val="nil"/>
              <w:bottom w:val="single" w:color="000000" w:sz="8" w:space="0"/>
              <w:right w:val="single" w:color="000000" w:sz="8" w:space="0"/>
            </w:tcBorders>
            <w:noWrap w:val="0"/>
            <w:vAlign w:val="center"/>
          </w:tcPr>
          <w:p w14:paraId="4A3AD945">
            <w:pPr>
              <w:spacing w:line="240" w:lineRule="auto"/>
              <w:ind w:firstLine="0" w:firstLineChars="0"/>
              <w:jc w:val="center"/>
              <w:rPr>
                <w:rFonts w:hint="default" w:ascii="Times New Roman" w:hAnsi="Times New Roman" w:eastAsia="宋体" w:cs="Times New Roman"/>
                <w:i w:val="0"/>
                <w:iCs w:val="0"/>
                <w:color w:val="000000"/>
                <w:sz w:val="18"/>
                <w:szCs w:val="18"/>
                <w:u w:val="none"/>
              </w:rPr>
            </w:pPr>
          </w:p>
        </w:tc>
        <w:tc>
          <w:tcPr>
            <w:tcW w:w="398" w:type="pct"/>
            <w:tcBorders>
              <w:top w:val="nil"/>
              <w:left w:val="nil"/>
              <w:bottom w:val="single" w:color="000000" w:sz="8" w:space="0"/>
              <w:right w:val="single" w:color="000000" w:sz="8" w:space="0"/>
            </w:tcBorders>
            <w:noWrap w:val="0"/>
            <w:vAlign w:val="center"/>
          </w:tcPr>
          <w:p w14:paraId="21D185A4">
            <w:pPr>
              <w:spacing w:line="240" w:lineRule="auto"/>
              <w:ind w:firstLine="0" w:firstLineChars="0"/>
              <w:jc w:val="center"/>
              <w:rPr>
                <w:rFonts w:hint="default" w:ascii="Times New Roman" w:hAnsi="Times New Roman" w:eastAsia="宋体" w:cs="Times New Roman"/>
                <w:i w:val="0"/>
                <w:iCs w:val="0"/>
                <w:color w:val="000000"/>
                <w:sz w:val="18"/>
                <w:szCs w:val="18"/>
                <w:u w:val="none"/>
              </w:rPr>
            </w:pPr>
          </w:p>
        </w:tc>
        <w:tc>
          <w:tcPr>
            <w:tcW w:w="346" w:type="pct"/>
            <w:tcBorders>
              <w:top w:val="nil"/>
              <w:left w:val="nil"/>
              <w:bottom w:val="single" w:color="000000" w:sz="8" w:space="0"/>
              <w:right w:val="single" w:color="000000" w:sz="8" w:space="0"/>
            </w:tcBorders>
            <w:noWrap w:val="0"/>
            <w:vAlign w:val="center"/>
          </w:tcPr>
          <w:p w14:paraId="50CCC392">
            <w:pPr>
              <w:spacing w:line="240" w:lineRule="auto"/>
              <w:ind w:firstLine="0" w:firstLineChars="0"/>
              <w:jc w:val="center"/>
              <w:rPr>
                <w:rFonts w:hint="default" w:ascii="Times New Roman" w:hAnsi="Times New Roman" w:eastAsia="宋体" w:cs="Times New Roman"/>
                <w:i w:val="0"/>
                <w:iCs w:val="0"/>
                <w:color w:val="000000"/>
                <w:sz w:val="18"/>
                <w:szCs w:val="18"/>
                <w:u w:val="none"/>
              </w:rPr>
            </w:pPr>
          </w:p>
        </w:tc>
        <w:tc>
          <w:tcPr>
            <w:tcW w:w="326" w:type="pct"/>
            <w:tcBorders>
              <w:top w:val="nil"/>
              <w:left w:val="nil"/>
              <w:bottom w:val="single" w:color="000000" w:sz="8" w:space="0"/>
              <w:right w:val="single" w:color="000000" w:sz="8" w:space="0"/>
            </w:tcBorders>
            <w:noWrap w:val="0"/>
            <w:vAlign w:val="center"/>
          </w:tcPr>
          <w:p w14:paraId="72932559">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color w:val="000000"/>
                <w:kern w:val="0"/>
                <w:sz w:val="18"/>
                <w:szCs w:val="18"/>
                <w:u w:val="none"/>
                <w:lang w:val="en-US" w:eastAsia="zh-CN" w:bidi="ar"/>
              </w:rPr>
              <w:t>63.8</w:t>
            </w:r>
          </w:p>
        </w:tc>
        <w:tc>
          <w:tcPr>
            <w:tcW w:w="148" w:type="pct"/>
            <w:tcBorders>
              <w:top w:val="nil"/>
              <w:left w:val="nil"/>
              <w:bottom w:val="single" w:color="000000" w:sz="8" w:space="0"/>
              <w:right w:val="single" w:color="000000" w:sz="8" w:space="0"/>
            </w:tcBorders>
            <w:noWrap w:val="0"/>
            <w:vAlign w:val="center"/>
          </w:tcPr>
          <w:p w14:paraId="57D853E3">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项</w:t>
            </w:r>
          </w:p>
        </w:tc>
        <w:tc>
          <w:tcPr>
            <w:tcW w:w="211" w:type="pct"/>
            <w:tcBorders>
              <w:top w:val="nil"/>
              <w:left w:val="nil"/>
              <w:bottom w:val="single" w:color="000000" w:sz="8" w:space="0"/>
              <w:right w:val="single" w:color="000000" w:sz="8" w:space="0"/>
            </w:tcBorders>
            <w:noWrap w:val="0"/>
            <w:vAlign w:val="center"/>
          </w:tcPr>
          <w:p w14:paraId="761D12E7">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color w:val="000000"/>
                <w:kern w:val="0"/>
                <w:sz w:val="18"/>
                <w:szCs w:val="18"/>
                <w:u w:val="none"/>
                <w:lang w:val="en-US" w:eastAsia="zh-CN" w:bidi="ar"/>
              </w:rPr>
              <w:t>1</w:t>
            </w:r>
          </w:p>
        </w:tc>
        <w:tc>
          <w:tcPr>
            <w:tcW w:w="478" w:type="pct"/>
            <w:tcBorders>
              <w:top w:val="nil"/>
              <w:left w:val="nil"/>
              <w:bottom w:val="single" w:color="000000" w:sz="8" w:space="0"/>
              <w:right w:val="single" w:color="000000" w:sz="8" w:space="0"/>
            </w:tcBorders>
            <w:noWrap w:val="0"/>
            <w:vAlign w:val="center"/>
          </w:tcPr>
          <w:p w14:paraId="10D4C60C">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color w:val="000000"/>
                <w:kern w:val="0"/>
                <w:sz w:val="18"/>
                <w:szCs w:val="18"/>
                <w:u w:val="none"/>
                <w:lang w:val="en-US" w:eastAsia="zh-CN" w:bidi="ar"/>
              </w:rPr>
              <w:t>638000</w:t>
            </w:r>
          </w:p>
        </w:tc>
        <w:tc>
          <w:tcPr>
            <w:tcW w:w="329" w:type="pct"/>
            <w:tcBorders>
              <w:top w:val="nil"/>
              <w:left w:val="nil"/>
              <w:bottom w:val="single" w:color="000000" w:sz="8" w:space="0"/>
              <w:right w:val="single" w:color="000000" w:sz="8" w:space="0"/>
            </w:tcBorders>
            <w:noWrap w:val="0"/>
            <w:vAlign w:val="center"/>
          </w:tcPr>
          <w:p w14:paraId="503C39D2">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b/>
                <w:bCs/>
                <w:i w:val="0"/>
                <w:iCs w:val="0"/>
                <w:color w:val="000000"/>
                <w:sz w:val="18"/>
                <w:szCs w:val="18"/>
                <w:u w:val="none"/>
              </w:rPr>
            </w:pPr>
            <w:r>
              <w:rPr>
                <w:rFonts w:hint="default" w:ascii="Times New Roman" w:hAnsi="Times New Roman" w:eastAsia="宋体" w:cs="Times New Roman"/>
                <w:b/>
                <w:bCs/>
                <w:i w:val="0"/>
                <w:iCs w:val="0"/>
                <w:color w:val="000000"/>
                <w:kern w:val="0"/>
                <w:sz w:val="18"/>
                <w:szCs w:val="18"/>
                <w:u w:val="none"/>
                <w:lang w:val="en-US" w:eastAsia="zh-CN" w:bidi="ar"/>
              </w:rPr>
              <w:t>0.63%</w:t>
            </w:r>
          </w:p>
        </w:tc>
        <w:tc>
          <w:tcPr>
            <w:tcW w:w="1013" w:type="pct"/>
            <w:tcBorders>
              <w:top w:val="nil"/>
              <w:left w:val="nil"/>
              <w:bottom w:val="single" w:color="000000" w:sz="8" w:space="0"/>
              <w:right w:val="single" w:color="000000" w:sz="8" w:space="0"/>
            </w:tcBorders>
            <w:noWrap w:val="0"/>
            <w:vAlign w:val="center"/>
          </w:tcPr>
          <w:p w14:paraId="6BFCFF66">
            <w:pPr>
              <w:spacing w:line="240" w:lineRule="auto"/>
              <w:ind w:firstLine="0" w:firstLineChars="0"/>
              <w:jc w:val="center"/>
              <w:rPr>
                <w:rFonts w:hint="default" w:ascii="Times New Roman" w:hAnsi="Times New Roman" w:eastAsia="宋体" w:cs="Times New Roman"/>
                <w:i w:val="0"/>
                <w:iCs w:val="0"/>
                <w:color w:val="000000"/>
                <w:sz w:val="18"/>
                <w:szCs w:val="18"/>
                <w:u w:val="none"/>
              </w:rPr>
            </w:pPr>
          </w:p>
        </w:tc>
      </w:tr>
      <w:tr w14:paraId="7EE31C0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3" w:hRule="atLeast"/>
        </w:trPr>
        <w:tc>
          <w:tcPr>
            <w:tcW w:w="273" w:type="pct"/>
            <w:tcBorders>
              <w:top w:val="nil"/>
              <w:left w:val="single" w:color="000000" w:sz="8" w:space="0"/>
              <w:bottom w:val="single" w:color="000000" w:sz="8" w:space="0"/>
              <w:right w:val="single" w:color="000000" w:sz="8" w:space="0"/>
            </w:tcBorders>
            <w:noWrap w:val="0"/>
            <w:vAlign w:val="center"/>
          </w:tcPr>
          <w:p w14:paraId="562766EE">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color w:val="000000"/>
                <w:kern w:val="0"/>
                <w:sz w:val="18"/>
                <w:szCs w:val="18"/>
                <w:u w:val="none"/>
                <w:lang w:val="en-US" w:eastAsia="zh-CN" w:bidi="ar"/>
              </w:rPr>
              <w:t>3</w:t>
            </w:r>
          </w:p>
        </w:tc>
        <w:tc>
          <w:tcPr>
            <w:tcW w:w="675" w:type="pct"/>
            <w:tcBorders>
              <w:top w:val="nil"/>
              <w:left w:val="nil"/>
              <w:bottom w:val="single" w:color="000000" w:sz="8" w:space="0"/>
              <w:right w:val="single" w:color="000000" w:sz="8" w:space="0"/>
            </w:tcBorders>
            <w:noWrap w:val="0"/>
            <w:vAlign w:val="center"/>
          </w:tcPr>
          <w:p w14:paraId="5B71F3A3">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支护工程</w:t>
            </w:r>
          </w:p>
        </w:tc>
        <w:tc>
          <w:tcPr>
            <w:tcW w:w="398" w:type="pct"/>
            <w:tcBorders>
              <w:top w:val="nil"/>
              <w:left w:val="nil"/>
              <w:bottom w:val="single" w:color="000000" w:sz="8" w:space="0"/>
              <w:right w:val="single" w:color="000000" w:sz="8" w:space="0"/>
            </w:tcBorders>
            <w:noWrap w:val="0"/>
            <w:vAlign w:val="center"/>
          </w:tcPr>
          <w:p w14:paraId="50DA8EE6">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color w:val="000000"/>
                <w:kern w:val="0"/>
                <w:sz w:val="18"/>
                <w:szCs w:val="18"/>
                <w:u w:val="none"/>
                <w:lang w:val="en-US" w:eastAsia="zh-CN" w:bidi="ar"/>
              </w:rPr>
              <w:t>180</w:t>
            </w:r>
          </w:p>
        </w:tc>
        <w:tc>
          <w:tcPr>
            <w:tcW w:w="398" w:type="pct"/>
            <w:tcBorders>
              <w:top w:val="nil"/>
              <w:left w:val="nil"/>
              <w:bottom w:val="single" w:color="000000" w:sz="8" w:space="0"/>
              <w:right w:val="single" w:color="000000" w:sz="8" w:space="0"/>
            </w:tcBorders>
            <w:noWrap w:val="0"/>
            <w:vAlign w:val="center"/>
          </w:tcPr>
          <w:p w14:paraId="7B8D9C20">
            <w:pPr>
              <w:spacing w:line="240" w:lineRule="auto"/>
              <w:ind w:firstLine="0" w:firstLineChars="0"/>
              <w:jc w:val="center"/>
              <w:rPr>
                <w:rFonts w:hint="default" w:ascii="Times New Roman" w:hAnsi="Times New Roman" w:eastAsia="宋体" w:cs="Times New Roman"/>
                <w:i w:val="0"/>
                <w:iCs w:val="0"/>
                <w:color w:val="000000"/>
                <w:sz w:val="18"/>
                <w:szCs w:val="18"/>
                <w:u w:val="none"/>
              </w:rPr>
            </w:pPr>
          </w:p>
        </w:tc>
        <w:tc>
          <w:tcPr>
            <w:tcW w:w="398" w:type="pct"/>
            <w:tcBorders>
              <w:top w:val="nil"/>
              <w:left w:val="nil"/>
              <w:bottom w:val="single" w:color="000000" w:sz="8" w:space="0"/>
              <w:right w:val="single" w:color="000000" w:sz="8" w:space="0"/>
            </w:tcBorders>
            <w:noWrap w:val="0"/>
            <w:vAlign w:val="center"/>
          </w:tcPr>
          <w:p w14:paraId="1EC31692">
            <w:pPr>
              <w:spacing w:line="240" w:lineRule="auto"/>
              <w:ind w:firstLine="0" w:firstLineChars="0"/>
              <w:jc w:val="center"/>
              <w:rPr>
                <w:rFonts w:hint="default" w:ascii="Times New Roman" w:hAnsi="Times New Roman" w:eastAsia="宋体" w:cs="Times New Roman"/>
                <w:i w:val="0"/>
                <w:iCs w:val="0"/>
                <w:color w:val="000000"/>
                <w:sz w:val="18"/>
                <w:szCs w:val="18"/>
                <w:u w:val="none"/>
              </w:rPr>
            </w:pPr>
          </w:p>
        </w:tc>
        <w:tc>
          <w:tcPr>
            <w:tcW w:w="346" w:type="pct"/>
            <w:tcBorders>
              <w:top w:val="nil"/>
              <w:left w:val="nil"/>
              <w:bottom w:val="single" w:color="000000" w:sz="8" w:space="0"/>
              <w:right w:val="single" w:color="000000" w:sz="8" w:space="0"/>
            </w:tcBorders>
            <w:noWrap w:val="0"/>
            <w:vAlign w:val="center"/>
          </w:tcPr>
          <w:p w14:paraId="77D0E9FA">
            <w:pPr>
              <w:spacing w:line="240" w:lineRule="auto"/>
              <w:ind w:firstLine="0" w:firstLineChars="0"/>
              <w:jc w:val="center"/>
              <w:rPr>
                <w:rFonts w:hint="default" w:ascii="Times New Roman" w:hAnsi="Times New Roman" w:eastAsia="宋体" w:cs="Times New Roman"/>
                <w:i w:val="0"/>
                <w:iCs w:val="0"/>
                <w:color w:val="000000"/>
                <w:sz w:val="18"/>
                <w:szCs w:val="18"/>
                <w:u w:val="none"/>
              </w:rPr>
            </w:pPr>
          </w:p>
        </w:tc>
        <w:tc>
          <w:tcPr>
            <w:tcW w:w="326" w:type="pct"/>
            <w:tcBorders>
              <w:top w:val="nil"/>
              <w:left w:val="nil"/>
              <w:bottom w:val="single" w:color="000000" w:sz="8" w:space="0"/>
              <w:right w:val="single" w:color="000000" w:sz="8" w:space="0"/>
            </w:tcBorders>
            <w:noWrap w:val="0"/>
            <w:vAlign w:val="center"/>
          </w:tcPr>
          <w:p w14:paraId="6DEE2FBB">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color w:val="000000"/>
                <w:kern w:val="0"/>
                <w:sz w:val="18"/>
                <w:szCs w:val="18"/>
                <w:u w:val="none"/>
                <w:lang w:val="en-US" w:eastAsia="zh-CN" w:bidi="ar"/>
              </w:rPr>
              <w:t>180</w:t>
            </w:r>
          </w:p>
        </w:tc>
        <w:tc>
          <w:tcPr>
            <w:tcW w:w="148" w:type="pct"/>
            <w:tcBorders>
              <w:top w:val="nil"/>
              <w:left w:val="nil"/>
              <w:bottom w:val="single" w:color="000000" w:sz="8" w:space="0"/>
              <w:right w:val="single" w:color="000000" w:sz="8" w:space="0"/>
            </w:tcBorders>
            <w:noWrap w:val="0"/>
            <w:vAlign w:val="center"/>
          </w:tcPr>
          <w:p w14:paraId="374E856C">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项</w:t>
            </w:r>
          </w:p>
        </w:tc>
        <w:tc>
          <w:tcPr>
            <w:tcW w:w="211" w:type="pct"/>
            <w:tcBorders>
              <w:top w:val="nil"/>
              <w:left w:val="nil"/>
              <w:bottom w:val="single" w:color="000000" w:sz="8" w:space="0"/>
              <w:right w:val="single" w:color="000000" w:sz="8" w:space="0"/>
            </w:tcBorders>
            <w:noWrap w:val="0"/>
            <w:vAlign w:val="center"/>
          </w:tcPr>
          <w:p w14:paraId="15510CEE">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color w:val="000000"/>
                <w:kern w:val="0"/>
                <w:sz w:val="18"/>
                <w:szCs w:val="18"/>
                <w:u w:val="none"/>
                <w:lang w:val="en-US" w:eastAsia="zh-CN" w:bidi="ar"/>
              </w:rPr>
              <w:t>1</w:t>
            </w:r>
          </w:p>
        </w:tc>
        <w:tc>
          <w:tcPr>
            <w:tcW w:w="478" w:type="pct"/>
            <w:tcBorders>
              <w:top w:val="nil"/>
              <w:left w:val="nil"/>
              <w:bottom w:val="single" w:color="000000" w:sz="8" w:space="0"/>
              <w:right w:val="single" w:color="000000" w:sz="8" w:space="0"/>
            </w:tcBorders>
            <w:noWrap w:val="0"/>
            <w:vAlign w:val="center"/>
          </w:tcPr>
          <w:p w14:paraId="2AA588C1">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color w:val="000000"/>
                <w:kern w:val="0"/>
                <w:sz w:val="18"/>
                <w:szCs w:val="18"/>
                <w:u w:val="none"/>
                <w:lang w:val="en-US" w:eastAsia="zh-CN" w:bidi="ar"/>
              </w:rPr>
              <w:t>1800000</w:t>
            </w:r>
          </w:p>
        </w:tc>
        <w:tc>
          <w:tcPr>
            <w:tcW w:w="329" w:type="pct"/>
            <w:tcBorders>
              <w:top w:val="nil"/>
              <w:left w:val="nil"/>
              <w:bottom w:val="single" w:color="000000" w:sz="8" w:space="0"/>
              <w:right w:val="single" w:color="000000" w:sz="8" w:space="0"/>
            </w:tcBorders>
            <w:noWrap w:val="0"/>
            <w:vAlign w:val="center"/>
          </w:tcPr>
          <w:p w14:paraId="193208E4">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b/>
                <w:bCs/>
                <w:i w:val="0"/>
                <w:iCs w:val="0"/>
                <w:color w:val="000000"/>
                <w:sz w:val="18"/>
                <w:szCs w:val="18"/>
                <w:u w:val="none"/>
              </w:rPr>
            </w:pPr>
            <w:r>
              <w:rPr>
                <w:rFonts w:hint="default" w:ascii="Times New Roman" w:hAnsi="Times New Roman" w:eastAsia="宋体" w:cs="Times New Roman"/>
                <w:b/>
                <w:bCs/>
                <w:i w:val="0"/>
                <w:iCs w:val="0"/>
                <w:color w:val="000000"/>
                <w:kern w:val="0"/>
                <w:sz w:val="18"/>
                <w:szCs w:val="18"/>
                <w:u w:val="none"/>
                <w:lang w:val="en-US" w:eastAsia="zh-CN" w:bidi="ar"/>
              </w:rPr>
              <w:t>1.76%</w:t>
            </w:r>
          </w:p>
        </w:tc>
        <w:tc>
          <w:tcPr>
            <w:tcW w:w="1013" w:type="pct"/>
            <w:tcBorders>
              <w:top w:val="nil"/>
              <w:left w:val="nil"/>
              <w:bottom w:val="single" w:color="000000" w:sz="8" w:space="0"/>
              <w:right w:val="single" w:color="000000" w:sz="8" w:space="0"/>
            </w:tcBorders>
            <w:noWrap w:val="0"/>
            <w:vAlign w:val="center"/>
          </w:tcPr>
          <w:p w14:paraId="455D14FC">
            <w:pPr>
              <w:spacing w:line="240" w:lineRule="auto"/>
              <w:ind w:firstLine="0" w:firstLineChars="0"/>
              <w:jc w:val="center"/>
              <w:rPr>
                <w:rFonts w:hint="default" w:ascii="Times New Roman" w:hAnsi="Times New Roman" w:eastAsia="宋体" w:cs="Times New Roman"/>
                <w:i w:val="0"/>
                <w:iCs w:val="0"/>
                <w:color w:val="000000"/>
                <w:sz w:val="18"/>
                <w:szCs w:val="18"/>
                <w:u w:val="none"/>
              </w:rPr>
            </w:pPr>
          </w:p>
        </w:tc>
      </w:tr>
      <w:tr w14:paraId="23AF8F9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3" w:hRule="atLeast"/>
        </w:trPr>
        <w:tc>
          <w:tcPr>
            <w:tcW w:w="273" w:type="pct"/>
            <w:tcBorders>
              <w:top w:val="nil"/>
              <w:left w:val="single" w:color="000000" w:sz="8" w:space="0"/>
              <w:bottom w:val="single" w:color="000000" w:sz="8" w:space="0"/>
              <w:right w:val="single" w:color="000000" w:sz="8" w:space="0"/>
            </w:tcBorders>
            <w:noWrap w:val="0"/>
            <w:vAlign w:val="center"/>
          </w:tcPr>
          <w:p w14:paraId="1DB25928">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四</w:t>
            </w:r>
          </w:p>
        </w:tc>
        <w:tc>
          <w:tcPr>
            <w:tcW w:w="675" w:type="pct"/>
            <w:tcBorders>
              <w:top w:val="nil"/>
              <w:left w:val="nil"/>
              <w:bottom w:val="single" w:color="000000" w:sz="8" w:space="0"/>
              <w:right w:val="single" w:color="000000" w:sz="8" w:space="0"/>
            </w:tcBorders>
            <w:noWrap w:val="0"/>
            <w:vAlign w:val="center"/>
          </w:tcPr>
          <w:p w14:paraId="4BA535F1">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一二级反硝化罐</w:t>
            </w:r>
          </w:p>
        </w:tc>
        <w:tc>
          <w:tcPr>
            <w:tcW w:w="398" w:type="pct"/>
            <w:tcBorders>
              <w:top w:val="nil"/>
              <w:left w:val="nil"/>
              <w:bottom w:val="single" w:color="000000" w:sz="8" w:space="0"/>
              <w:right w:val="single" w:color="000000" w:sz="8" w:space="0"/>
            </w:tcBorders>
            <w:noWrap w:val="0"/>
            <w:vAlign w:val="center"/>
          </w:tcPr>
          <w:p w14:paraId="1A934C70">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color w:val="000000"/>
                <w:kern w:val="0"/>
                <w:sz w:val="18"/>
                <w:szCs w:val="18"/>
                <w:u w:val="none"/>
                <w:lang w:val="en-US" w:eastAsia="zh-CN" w:bidi="ar"/>
              </w:rPr>
              <w:t>5</w:t>
            </w:r>
          </w:p>
        </w:tc>
        <w:tc>
          <w:tcPr>
            <w:tcW w:w="398" w:type="pct"/>
            <w:tcBorders>
              <w:top w:val="nil"/>
              <w:left w:val="nil"/>
              <w:bottom w:val="single" w:color="000000" w:sz="8" w:space="0"/>
              <w:right w:val="single" w:color="000000" w:sz="8" w:space="0"/>
            </w:tcBorders>
            <w:noWrap w:val="0"/>
            <w:vAlign w:val="center"/>
          </w:tcPr>
          <w:p w14:paraId="48495DE7">
            <w:pPr>
              <w:spacing w:line="240" w:lineRule="auto"/>
              <w:ind w:firstLine="0" w:firstLineChars="0"/>
              <w:jc w:val="center"/>
              <w:rPr>
                <w:rFonts w:hint="default" w:ascii="Times New Roman" w:hAnsi="Times New Roman" w:eastAsia="宋体" w:cs="Times New Roman"/>
                <w:i w:val="0"/>
                <w:iCs w:val="0"/>
                <w:color w:val="000000"/>
                <w:sz w:val="18"/>
                <w:szCs w:val="18"/>
                <w:u w:val="none"/>
              </w:rPr>
            </w:pPr>
          </w:p>
        </w:tc>
        <w:tc>
          <w:tcPr>
            <w:tcW w:w="398" w:type="pct"/>
            <w:tcBorders>
              <w:top w:val="nil"/>
              <w:left w:val="nil"/>
              <w:bottom w:val="single" w:color="000000" w:sz="8" w:space="0"/>
              <w:right w:val="single" w:color="000000" w:sz="8" w:space="0"/>
            </w:tcBorders>
            <w:noWrap w:val="0"/>
            <w:vAlign w:val="center"/>
          </w:tcPr>
          <w:p w14:paraId="6BF045A5">
            <w:pPr>
              <w:spacing w:line="240" w:lineRule="auto"/>
              <w:ind w:firstLine="0" w:firstLineChars="0"/>
              <w:jc w:val="center"/>
              <w:rPr>
                <w:rFonts w:hint="default" w:ascii="Times New Roman" w:hAnsi="Times New Roman" w:eastAsia="宋体" w:cs="Times New Roman"/>
                <w:i w:val="0"/>
                <w:iCs w:val="0"/>
                <w:color w:val="000000"/>
                <w:sz w:val="18"/>
                <w:szCs w:val="18"/>
                <w:u w:val="none"/>
              </w:rPr>
            </w:pPr>
          </w:p>
        </w:tc>
        <w:tc>
          <w:tcPr>
            <w:tcW w:w="346" w:type="pct"/>
            <w:tcBorders>
              <w:top w:val="nil"/>
              <w:left w:val="nil"/>
              <w:bottom w:val="single" w:color="000000" w:sz="8" w:space="0"/>
              <w:right w:val="single" w:color="000000" w:sz="8" w:space="0"/>
            </w:tcBorders>
            <w:noWrap w:val="0"/>
            <w:vAlign w:val="center"/>
          </w:tcPr>
          <w:p w14:paraId="18A4C187">
            <w:pPr>
              <w:spacing w:line="240" w:lineRule="auto"/>
              <w:ind w:firstLine="0" w:firstLineChars="0"/>
              <w:jc w:val="center"/>
              <w:rPr>
                <w:rFonts w:hint="default" w:ascii="Times New Roman" w:hAnsi="Times New Roman" w:eastAsia="宋体" w:cs="Times New Roman"/>
                <w:i w:val="0"/>
                <w:iCs w:val="0"/>
                <w:color w:val="000000"/>
                <w:sz w:val="18"/>
                <w:szCs w:val="18"/>
                <w:u w:val="none"/>
              </w:rPr>
            </w:pPr>
          </w:p>
        </w:tc>
        <w:tc>
          <w:tcPr>
            <w:tcW w:w="326" w:type="pct"/>
            <w:tcBorders>
              <w:top w:val="nil"/>
              <w:left w:val="nil"/>
              <w:bottom w:val="single" w:color="000000" w:sz="8" w:space="0"/>
              <w:right w:val="single" w:color="000000" w:sz="8" w:space="0"/>
            </w:tcBorders>
            <w:noWrap w:val="0"/>
            <w:vAlign w:val="center"/>
          </w:tcPr>
          <w:p w14:paraId="5E9BC802">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color w:val="000000"/>
                <w:kern w:val="0"/>
                <w:sz w:val="18"/>
                <w:szCs w:val="18"/>
                <w:u w:val="none"/>
                <w:lang w:val="en-US" w:eastAsia="zh-CN" w:bidi="ar"/>
              </w:rPr>
              <w:t>5</w:t>
            </w:r>
          </w:p>
        </w:tc>
        <w:tc>
          <w:tcPr>
            <w:tcW w:w="148" w:type="pct"/>
            <w:tcBorders>
              <w:top w:val="nil"/>
              <w:left w:val="nil"/>
              <w:bottom w:val="single" w:color="000000" w:sz="8" w:space="0"/>
              <w:right w:val="single" w:color="000000" w:sz="8" w:space="0"/>
            </w:tcBorders>
            <w:noWrap w:val="0"/>
            <w:vAlign w:val="center"/>
          </w:tcPr>
          <w:p w14:paraId="1D310D3D">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项</w:t>
            </w:r>
          </w:p>
        </w:tc>
        <w:tc>
          <w:tcPr>
            <w:tcW w:w="211" w:type="pct"/>
            <w:tcBorders>
              <w:top w:val="nil"/>
              <w:left w:val="nil"/>
              <w:bottom w:val="single" w:color="000000" w:sz="8" w:space="0"/>
              <w:right w:val="single" w:color="000000" w:sz="8" w:space="0"/>
            </w:tcBorders>
            <w:noWrap w:val="0"/>
            <w:vAlign w:val="center"/>
          </w:tcPr>
          <w:p w14:paraId="6A7EB52C">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color w:val="000000"/>
                <w:kern w:val="0"/>
                <w:sz w:val="18"/>
                <w:szCs w:val="18"/>
                <w:u w:val="none"/>
                <w:lang w:val="en-US" w:eastAsia="zh-CN" w:bidi="ar"/>
              </w:rPr>
              <w:t>1</w:t>
            </w:r>
          </w:p>
        </w:tc>
        <w:tc>
          <w:tcPr>
            <w:tcW w:w="478" w:type="pct"/>
            <w:tcBorders>
              <w:top w:val="nil"/>
              <w:left w:val="nil"/>
              <w:bottom w:val="single" w:color="000000" w:sz="8" w:space="0"/>
              <w:right w:val="single" w:color="000000" w:sz="8" w:space="0"/>
            </w:tcBorders>
            <w:noWrap w:val="0"/>
            <w:vAlign w:val="center"/>
          </w:tcPr>
          <w:p w14:paraId="64E4C441">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color w:val="000000"/>
                <w:kern w:val="0"/>
                <w:sz w:val="18"/>
                <w:szCs w:val="18"/>
                <w:u w:val="none"/>
                <w:lang w:val="en-US" w:eastAsia="zh-CN" w:bidi="ar"/>
              </w:rPr>
              <w:t>50000</w:t>
            </w:r>
          </w:p>
        </w:tc>
        <w:tc>
          <w:tcPr>
            <w:tcW w:w="329" w:type="pct"/>
            <w:tcBorders>
              <w:top w:val="nil"/>
              <w:left w:val="nil"/>
              <w:bottom w:val="single" w:color="000000" w:sz="8" w:space="0"/>
              <w:right w:val="single" w:color="000000" w:sz="8" w:space="0"/>
            </w:tcBorders>
            <w:noWrap w:val="0"/>
            <w:vAlign w:val="center"/>
          </w:tcPr>
          <w:p w14:paraId="18786BD4">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b/>
                <w:bCs/>
                <w:i w:val="0"/>
                <w:iCs w:val="0"/>
                <w:color w:val="000000"/>
                <w:sz w:val="18"/>
                <w:szCs w:val="18"/>
                <w:u w:val="none"/>
              </w:rPr>
            </w:pPr>
            <w:r>
              <w:rPr>
                <w:rFonts w:hint="default" w:ascii="Times New Roman" w:hAnsi="Times New Roman" w:eastAsia="宋体" w:cs="Times New Roman"/>
                <w:b/>
                <w:bCs/>
                <w:i w:val="0"/>
                <w:iCs w:val="0"/>
                <w:color w:val="000000"/>
                <w:kern w:val="0"/>
                <w:sz w:val="18"/>
                <w:szCs w:val="18"/>
                <w:u w:val="none"/>
                <w:lang w:val="en-US" w:eastAsia="zh-CN" w:bidi="ar"/>
              </w:rPr>
              <w:t>0.05%</w:t>
            </w:r>
          </w:p>
        </w:tc>
        <w:tc>
          <w:tcPr>
            <w:tcW w:w="1013" w:type="pct"/>
            <w:tcBorders>
              <w:top w:val="nil"/>
              <w:left w:val="nil"/>
              <w:bottom w:val="single" w:color="000000" w:sz="8" w:space="0"/>
              <w:right w:val="single" w:color="000000" w:sz="8" w:space="0"/>
            </w:tcBorders>
            <w:noWrap w:val="0"/>
            <w:vAlign w:val="center"/>
          </w:tcPr>
          <w:p w14:paraId="68539728">
            <w:pPr>
              <w:spacing w:line="240" w:lineRule="auto"/>
              <w:ind w:firstLine="0" w:firstLineChars="0"/>
              <w:jc w:val="center"/>
              <w:rPr>
                <w:rFonts w:hint="default" w:ascii="Times New Roman" w:hAnsi="Times New Roman" w:eastAsia="宋体" w:cs="Times New Roman"/>
                <w:i w:val="0"/>
                <w:iCs w:val="0"/>
                <w:color w:val="000000"/>
                <w:sz w:val="18"/>
                <w:szCs w:val="18"/>
                <w:u w:val="none"/>
              </w:rPr>
            </w:pPr>
          </w:p>
        </w:tc>
      </w:tr>
      <w:tr w14:paraId="2F45277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3" w:hRule="atLeast"/>
        </w:trPr>
        <w:tc>
          <w:tcPr>
            <w:tcW w:w="273" w:type="pct"/>
            <w:tcBorders>
              <w:top w:val="nil"/>
              <w:left w:val="single" w:color="000000" w:sz="8" w:space="0"/>
              <w:bottom w:val="single" w:color="000000" w:sz="8" w:space="0"/>
              <w:right w:val="single" w:color="000000" w:sz="8" w:space="0"/>
            </w:tcBorders>
            <w:noWrap w:val="0"/>
            <w:vAlign w:val="center"/>
          </w:tcPr>
          <w:p w14:paraId="387C235B">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五</w:t>
            </w:r>
          </w:p>
        </w:tc>
        <w:tc>
          <w:tcPr>
            <w:tcW w:w="675" w:type="pct"/>
            <w:tcBorders>
              <w:top w:val="nil"/>
              <w:left w:val="nil"/>
              <w:bottom w:val="single" w:color="000000" w:sz="8" w:space="0"/>
              <w:right w:val="single" w:color="000000" w:sz="8" w:space="0"/>
            </w:tcBorders>
            <w:noWrap w:val="0"/>
            <w:vAlign w:val="center"/>
          </w:tcPr>
          <w:p w14:paraId="034B3DA5">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水池</w:t>
            </w:r>
          </w:p>
        </w:tc>
        <w:tc>
          <w:tcPr>
            <w:tcW w:w="398" w:type="pct"/>
            <w:tcBorders>
              <w:top w:val="nil"/>
              <w:left w:val="nil"/>
              <w:bottom w:val="single" w:color="000000" w:sz="8" w:space="0"/>
              <w:right w:val="single" w:color="000000" w:sz="8" w:space="0"/>
            </w:tcBorders>
            <w:noWrap w:val="0"/>
            <w:vAlign w:val="center"/>
          </w:tcPr>
          <w:p w14:paraId="562D9134">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color w:val="000000"/>
                <w:kern w:val="0"/>
                <w:sz w:val="18"/>
                <w:szCs w:val="18"/>
                <w:u w:val="none"/>
                <w:lang w:val="en-US" w:eastAsia="zh-CN" w:bidi="ar"/>
              </w:rPr>
              <w:t>29</w:t>
            </w:r>
          </w:p>
        </w:tc>
        <w:tc>
          <w:tcPr>
            <w:tcW w:w="398" w:type="pct"/>
            <w:tcBorders>
              <w:top w:val="nil"/>
              <w:left w:val="nil"/>
              <w:bottom w:val="single" w:color="000000" w:sz="8" w:space="0"/>
              <w:right w:val="single" w:color="000000" w:sz="8" w:space="0"/>
            </w:tcBorders>
            <w:noWrap w:val="0"/>
            <w:vAlign w:val="center"/>
          </w:tcPr>
          <w:p w14:paraId="51D96578">
            <w:pPr>
              <w:spacing w:line="240" w:lineRule="auto"/>
              <w:ind w:firstLine="0" w:firstLineChars="0"/>
              <w:jc w:val="center"/>
              <w:rPr>
                <w:rFonts w:hint="default" w:ascii="Times New Roman" w:hAnsi="Times New Roman" w:eastAsia="宋体" w:cs="Times New Roman"/>
                <w:i w:val="0"/>
                <w:iCs w:val="0"/>
                <w:color w:val="000000"/>
                <w:sz w:val="18"/>
                <w:szCs w:val="18"/>
                <w:u w:val="none"/>
              </w:rPr>
            </w:pPr>
          </w:p>
        </w:tc>
        <w:tc>
          <w:tcPr>
            <w:tcW w:w="398" w:type="pct"/>
            <w:tcBorders>
              <w:top w:val="nil"/>
              <w:left w:val="nil"/>
              <w:bottom w:val="single" w:color="000000" w:sz="8" w:space="0"/>
              <w:right w:val="single" w:color="000000" w:sz="8" w:space="0"/>
            </w:tcBorders>
            <w:noWrap w:val="0"/>
            <w:vAlign w:val="center"/>
          </w:tcPr>
          <w:p w14:paraId="3DE31BF3">
            <w:pPr>
              <w:spacing w:line="240" w:lineRule="auto"/>
              <w:ind w:firstLine="0" w:firstLineChars="0"/>
              <w:jc w:val="center"/>
              <w:rPr>
                <w:rFonts w:hint="default" w:ascii="Times New Roman" w:hAnsi="Times New Roman" w:eastAsia="宋体" w:cs="Times New Roman"/>
                <w:i w:val="0"/>
                <w:iCs w:val="0"/>
                <w:color w:val="000000"/>
                <w:sz w:val="18"/>
                <w:szCs w:val="18"/>
                <w:u w:val="none"/>
              </w:rPr>
            </w:pPr>
          </w:p>
        </w:tc>
        <w:tc>
          <w:tcPr>
            <w:tcW w:w="346" w:type="pct"/>
            <w:tcBorders>
              <w:top w:val="nil"/>
              <w:left w:val="nil"/>
              <w:bottom w:val="single" w:color="000000" w:sz="8" w:space="0"/>
              <w:right w:val="single" w:color="000000" w:sz="8" w:space="0"/>
            </w:tcBorders>
            <w:noWrap w:val="0"/>
            <w:vAlign w:val="center"/>
          </w:tcPr>
          <w:p w14:paraId="66001337">
            <w:pPr>
              <w:spacing w:line="240" w:lineRule="auto"/>
              <w:ind w:firstLine="0" w:firstLineChars="0"/>
              <w:jc w:val="center"/>
              <w:rPr>
                <w:rFonts w:hint="default" w:ascii="Times New Roman" w:hAnsi="Times New Roman" w:eastAsia="宋体" w:cs="Times New Roman"/>
                <w:i w:val="0"/>
                <w:iCs w:val="0"/>
                <w:color w:val="000000"/>
                <w:sz w:val="18"/>
                <w:szCs w:val="18"/>
                <w:u w:val="none"/>
              </w:rPr>
            </w:pPr>
          </w:p>
        </w:tc>
        <w:tc>
          <w:tcPr>
            <w:tcW w:w="326" w:type="pct"/>
            <w:tcBorders>
              <w:top w:val="nil"/>
              <w:left w:val="nil"/>
              <w:bottom w:val="single" w:color="000000" w:sz="8" w:space="0"/>
              <w:right w:val="single" w:color="000000" w:sz="8" w:space="0"/>
            </w:tcBorders>
            <w:noWrap w:val="0"/>
            <w:vAlign w:val="center"/>
          </w:tcPr>
          <w:p w14:paraId="5EC4BE57">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color w:val="000000"/>
                <w:kern w:val="0"/>
                <w:sz w:val="18"/>
                <w:szCs w:val="18"/>
                <w:u w:val="none"/>
                <w:lang w:val="en-US" w:eastAsia="zh-CN" w:bidi="ar"/>
              </w:rPr>
              <w:t>29</w:t>
            </w:r>
          </w:p>
        </w:tc>
        <w:tc>
          <w:tcPr>
            <w:tcW w:w="148" w:type="pct"/>
            <w:tcBorders>
              <w:top w:val="nil"/>
              <w:left w:val="nil"/>
              <w:bottom w:val="single" w:color="000000" w:sz="8" w:space="0"/>
              <w:right w:val="single" w:color="000000" w:sz="8" w:space="0"/>
            </w:tcBorders>
            <w:noWrap w:val="0"/>
            <w:vAlign w:val="center"/>
          </w:tcPr>
          <w:p w14:paraId="73BC7DA0">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项</w:t>
            </w:r>
          </w:p>
        </w:tc>
        <w:tc>
          <w:tcPr>
            <w:tcW w:w="211" w:type="pct"/>
            <w:tcBorders>
              <w:top w:val="nil"/>
              <w:left w:val="nil"/>
              <w:bottom w:val="single" w:color="000000" w:sz="8" w:space="0"/>
              <w:right w:val="single" w:color="000000" w:sz="8" w:space="0"/>
            </w:tcBorders>
            <w:noWrap w:val="0"/>
            <w:vAlign w:val="center"/>
          </w:tcPr>
          <w:p w14:paraId="3C1FD708">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color w:val="000000"/>
                <w:kern w:val="0"/>
                <w:sz w:val="18"/>
                <w:szCs w:val="18"/>
                <w:u w:val="none"/>
                <w:lang w:val="en-US" w:eastAsia="zh-CN" w:bidi="ar"/>
              </w:rPr>
              <w:t>1</w:t>
            </w:r>
          </w:p>
        </w:tc>
        <w:tc>
          <w:tcPr>
            <w:tcW w:w="478" w:type="pct"/>
            <w:tcBorders>
              <w:top w:val="nil"/>
              <w:left w:val="nil"/>
              <w:bottom w:val="single" w:color="000000" w:sz="8" w:space="0"/>
              <w:right w:val="single" w:color="000000" w:sz="8" w:space="0"/>
            </w:tcBorders>
            <w:noWrap w:val="0"/>
            <w:vAlign w:val="center"/>
          </w:tcPr>
          <w:p w14:paraId="4FCF59A8">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color w:val="000000"/>
                <w:kern w:val="0"/>
                <w:sz w:val="18"/>
                <w:szCs w:val="18"/>
                <w:u w:val="none"/>
                <w:lang w:val="en-US" w:eastAsia="zh-CN" w:bidi="ar"/>
              </w:rPr>
              <w:t>290000</w:t>
            </w:r>
          </w:p>
        </w:tc>
        <w:tc>
          <w:tcPr>
            <w:tcW w:w="329" w:type="pct"/>
            <w:tcBorders>
              <w:top w:val="nil"/>
              <w:left w:val="nil"/>
              <w:bottom w:val="single" w:color="000000" w:sz="8" w:space="0"/>
              <w:right w:val="single" w:color="000000" w:sz="8" w:space="0"/>
            </w:tcBorders>
            <w:noWrap w:val="0"/>
            <w:vAlign w:val="center"/>
          </w:tcPr>
          <w:p w14:paraId="3BA3CF05">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b/>
                <w:bCs/>
                <w:i w:val="0"/>
                <w:iCs w:val="0"/>
                <w:color w:val="000000"/>
                <w:sz w:val="18"/>
                <w:szCs w:val="18"/>
                <w:u w:val="none"/>
              </w:rPr>
            </w:pPr>
            <w:r>
              <w:rPr>
                <w:rFonts w:hint="default" w:ascii="Times New Roman" w:hAnsi="Times New Roman" w:eastAsia="宋体" w:cs="Times New Roman"/>
                <w:b/>
                <w:bCs/>
                <w:i w:val="0"/>
                <w:iCs w:val="0"/>
                <w:color w:val="000000"/>
                <w:kern w:val="0"/>
                <w:sz w:val="18"/>
                <w:szCs w:val="18"/>
                <w:u w:val="none"/>
                <w:lang w:val="en-US" w:eastAsia="zh-CN" w:bidi="ar"/>
              </w:rPr>
              <w:t>0.28%</w:t>
            </w:r>
          </w:p>
        </w:tc>
        <w:tc>
          <w:tcPr>
            <w:tcW w:w="1013" w:type="pct"/>
            <w:tcBorders>
              <w:top w:val="nil"/>
              <w:left w:val="nil"/>
              <w:bottom w:val="single" w:color="000000" w:sz="8" w:space="0"/>
              <w:right w:val="single" w:color="000000" w:sz="8" w:space="0"/>
            </w:tcBorders>
            <w:noWrap w:val="0"/>
            <w:vAlign w:val="center"/>
          </w:tcPr>
          <w:p w14:paraId="542B385A">
            <w:pPr>
              <w:spacing w:line="240" w:lineRule="auto"/>
              <w:ind w:firstLine="0" w:firstLineChars="0"/>
              <w:jc w:val="center"/>
              <w:rPr>
                <w:rFonts w:hint="default" w:ascii="Times New Roman" w:hAnsi="Times New Roman" w:eastAsia="宋体" w:cs="Times New Roman"/>
                <w:i w:val="0"/>
                <w:iCs w:val="0"/>
                <w:color w:val="000000"/>
                <w:sz w:val="18"/>
                <w:szCs w:val="18"/>
                <w:u w:val="none"/>
              </w:rPr>
            </w:pPr>
          </w:p>
        </w:tc>
      </w:tr>
      <w:tr w14:paraId="344AD63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3" w:hRule="atLeast"/>
        </w:trPr>
        <w:tc>
          <w:tcPr>
            <w:tcW w:w="273" w:type="pct"/>
            <w:tcBorders>
              <w:top w:val="nil"/>
              <w:left w:val="single" w:color="000000" w:sz="8" w:space="0"/>
              <w:bottom w:val="single" w:color="000000" w:sz="8" w:space="0"/>
              <w:right w:val="single" w:color="000000" w:sz="8" w:space="0"/>
            </w:tcBorders>
            <w:noWrap w:val="0"/>
            <w:vAlign w:val="center"/>
          </w:tcPr>
          <w:p w14:paraId="2AA3D7A9">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六</w:t>
            </w:r>
          </w:p>
        </w:tc>
        <w:tc>
          <w:tcPr>
            <w:tcW w:w="675" w:type="pct"/>
            <w:tcBorders>
              <w:top w:val="nil"/>
              <w:left w:val="nil"/>
              <w:bottom w:val="single" w:color="000000" w:sz="8" w:space="0"/>
              <w:right w:val="single" w:color="000000" w:sz="8" w:space="0"/>
            </w:tcBorders>
            <w:noWrap w:val="0"/>
            <w:vAlign w:val="center"/>
          </w:tcPr>
          <w:p w14:paraId="239CCB64">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厂外工程</w:t>
            </w:r>
          </w:p>
        </w:tc>
        <w:tc>
          <w:tcPr>
            <w:tcW w:w="398" w:type="pct"/>
            <w:tcBorders>
              <w:top w:val="nil"/>
              <w:left w:val="nil"/>
              <w:bottom w:val="single" w:color="000000" w:sz="8" w:space="0"/>
              <w:right w:val="single" w:color="000000" w:sz="8" w:space="0"/>
            </w:tcBorders>
            <w:noWrap w:val="0"/>
            <w:vAlign w:val="center"/>
          </w:tcPr>
          <w:p w14:paraId="620A455B">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color w:val="000000"/>
                <w:kern w:val="0"/>
                <w:sz w:val="18"/>
                <w:szCs w:val="18"/>
                <w:u w:val="none"/>
                <w:lang w:val="en-US" w:eastAsia="zh-CN" w:bidi="ar"/>
              </w:rPr>
              <w:t>33.5</w:t>
            </w:r>
          </w:p>
        </w:tc>
        <w:tc>
          <w:tcPr>
            <w:tcW w:w="398" w:type="pct"/>
            <w:tcBorders>
              <w:top w:val="nil"/>
              <w:left w:val="nil"/>
              <w:bottom w:val="single" w:color="000000" w:sz="8" w:space="0"/>
              <w:right w:val="single" w:color="000000" w:sz="8" w:space="0"/>
            </w:tcBorders>
            <w:noWrap w:val="0"/>
            <w:vAlign w:val="center"/>
          </w:tcPr>
          <w:p w14:paraId="4B6EF905">
            <w:pPr>
              <w:spacing w:line="240" w:lineRule="auto"/>
              <w:ind w:firstLine="0" w:firstLineChars="0"/>
              <w:jc w:val="center"/>
              <w:rPr>
                <w:rFonts w:hint="default" w:ascii="Times New Roman" w:hAnsi="Times New Roman" w:eastAsia="宋体" w:cs="Times New Roman"/>
                <w:i w:val="0"/>
                <w:iCs w:val="0"/>
                <w:color w:val="000000"/>
                <w:sz w:val="18"/>
                <w:szCs w:val="18"/>
                <w:u w:val="none"/>
              </w:rPr>
            </w:pPr>
          </w:p>
        </w:tc>
        <w:tc>
          <w:tcPr>
            <w:tcW w:w="398" w:type="pct"/>
            <w:tcBorders>
              <w:top w:val="nil"/>
              <w:left w:val="nil"/>
              <w:bottom w:val="single" w:color="000000" w:sz="8" w:space="0"/>
              <w:right w:val="single" w:color="000000" w:sz="8" w:space="0"/>
            </w:tcBorders>
            <w:noWrap w:val="0"/>
            <w:vAlign w:val="center"/>
          </w:tcPr>
          <w:p w14:paraId="2F9ADFDD">
            <w:pPr>
              <w:spacing w:line="240" w:lineRule="auto"/>
              <w:ind w:firstLine="0" w:firstLineChars="0"/>
              <w:jc w:val="center"/>
              <w:rPr>
                <w:rFonts w:hint="default" w:ascii="Times New Roman" w:hAnsi="Times New Roman" w:eastAsia="宋体" w:cs="Times New Roman"/>
                <w:i w:val="0"/>
                <w:iCs w:val="0"/>
                <w:color w:val="000000"/>
                <w:sz w:val="18"/>
                <w:szCs w:val="18"/>
                <w:u w:val="none"/>
              </w:rPr>
            </w:pPr>
          </w:p>
        </w:tc>
        <w:tc>
          <w:tcPr>
            <w:tcW w:w="346" w:type="pct"/>
            <w:tcBorders>
              <w:top w:val="nil"/>
              <w:left w:val="nil"/>
              <w:bottom w:val="single" w:color="000000" w:sz="8" w:space="0"/>
              <w:right w:val="single" w:color="000000" w:sz="8" w:space="0"/>
            </w:tcBorders>
            <w:noWrap w:val="0"/>
            <w:vAlign w:val="center"/>
          </w:tcPr>
          <w:p w14:paraId="2F03E5B7">
            <w:pPr>
              <w:spacing w:line="240" w:lineRule="auto"/>
              <w:ind w:firstLine="0" w:firstLineChars="0"/>
              <w:jc w:val="center"/>
              <w:rPr>
                <w:rFonts w:hint="default" w:ascii="Times New Roman" w:hAnsi="Times New Roman" w:eastAsia="宋体" w:cs="Times New Roman"/>
                <w:i w:val="0"/>
                <w:iCs w:val="0"/>
                <w:color w:val="000000"/>
                <w:sz w:val="18"/>
                <w:szCs w:val="18"/>
                <w:u w:val="none"/>
              </w:rPr>
            </w:pPr>
          </w:p>
        </w:tc>
        <w:tc>
          <w:tcPr>
            <w:tcW w:w="326" w:type="pct"/>
            <w:tcBorders>
              <w:top w:val="nil"/>
              <w:left w:val="nil"/>
              <w:bottom w:val="single" w:color="000000" w:sz="8" w:space="0"/>
              <w:right w:val="single" w:color="000000" w:sz="8" w:space="0"/>
            </w:tcBorders>
            <w:noWrap w:val="0"/>
            <w:vAlign w:val="center"/>
          </w:tcPr>
          <w:p w14:paraId="6483C77D">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color w:val="000000"/>
                <w:kern w:val="0"/>
                <w:sz w:val="18"/>
                <w:szCs w:val="18"/>
                <w:u w:val="none"/>
                <w:lang w:val="en-US" w:eastAsia="zh-CN" w:bidi="ar"/>
              </w:rPr>
              <w:t>33.5</w:t>
            </w:r>
          </w:p>
        </w:tc>
        <w:tc>
          <w:tcPr>
            <w:tcW w:w="148" w:type="pct"/>
            <w:tcBorders>
              <w:top w:val="nil"/>
              <w:left w:val="nil"/>
              <w:bottom w:val="single" w:color="000000" w:sz="8" w:space="0"/>
              <w:right w:val="single" w:color="000000" w:sz="8" w:space="0"/>
            </w:tcBorders>
            <w:noWrap w:val="0"/>
            <w:vAlign w:val="center"/>
          </w:tcPr>
          <w:p w14:paraId="5D2AEA30">
            <w:pPr>
              <w:spacing w:line="240" w:lineRule="auto"/>
              <w:ind w:firstLine="0" w:firstLineChars="0"/>
              <w:jc w:val="center"/>
              <w:rPr>
                <w:rFonts w:hint="default" w:ascii="Times New Roman" w:hAnsi="Times New Roman" w:eastAsia="宋体" w:cs="Times New Roman"/>
                <w:i w:val="0"/>
                <w:iCs w:val="0"/>
                <w:color w:val="000000"/>
                <w:sz w:val="18"/>
                <w:szCs w:val="18"/>
                <w:u w:val="none"/>
              </w:rPr>
            </w:pPr>
          </w:p>
        </w:tc>
        <w:tc>
          <w:tcPr>
            <w:tcW w:w="211" w:type="pct"/>
            <w:tcBorders>
              <w:top w:val="nil"/>
              <w:left w:val="nil"/>
              <w:bottom w:val="single" w:color="000000" w:sz="8" w:space="0"/>
              <w:right w:val="single" w:color="000000" w:sz="8" w:space="0"/>
            </w:tcBorders>
            <w:noWrap w:val="0"/>
            <w:vAlign w:val="center"/>
          </w:tcPr>
          <w:p w14:paraId="4F525F63">
            <w:pPr>
              <w:spacing w:line="240" w:lineRule="auto"/>
              <w:ind w:firstLine="0" w:firstLineChars="0"/>
              <w:jc w:val="center"/>
              <w:rPr>
                <w:rFonts w:hint="default" w:ascii="Times New Roman" w:hAnsi="Times New Roman" w:eastAsia="宋体" w:cs="Times New Roman"/>
                <w:i w:val="0"/>
                <w:iCs w:val="0"/>
                <w:color w:val="000000"/>
                <w:sz w:val="18"/>
                <w:szCs w:val="18"/>
                <w:u w:val="none"/>
              </w:rPr>
            </w:pPr>
          </w:p>
        </w:tc>
        <w:tc>
          <w:tcPr>
            <w:tcW w:w="478" w:type="pct"/>
            <w:tcBorders>
              <w:top w:val="nil"/>
              <w:left w:val="nil"/>
              <w:bottom w:val="single" w:color="000000" w:sz="8" w:space="0"/>
              <w:right w:val="single" w:color="000000" w:sz="8" w:space="0"/>
            </w:tcBorders>
            <w:noWrap w:val="0"/>
            <w:vAlign w:val="center"/>
          </w:tcPr>
          <w:p w14:paraId="6C576308">
            <w:pPr>
              <w:spacing w:line="240" w:lineRule="auto"/>
              <w:ind w:firstLine="0" w:firstLineChars="0"/>
              <w:jc w:val="center"/>
              <w:rPr>
                <w:rFonts w:hint="default" w:ascii="Times New Roman" w:hAnsi="Times New Roman" w:eastAsia="宋体" w:cs="Times New Roman"/>
                <w:i w:val="0"/>
                <w:iCs w:val="0"/>
                <w:color w:val="000000"/>
                <w:sz w:val="18"/>
                <w:szCs w:val="18"/>
                <w:u w:val="none"/>
              </w:rPr>
            </w:pPr>
          </w:p>
        </w:tc>
        <w:tc>
          <w:tcPr>
            <w:tcW w:w="329" w:type="pct"/>
            <w:tcBorders>
              <w:top w:val="nil"/>
              <w:left w:val="nil"/>
              <w:bottom w:val="single" w:color="000000" w:sz="8" w:space="0"/>
              <w:right w:val="single" w:color="000000" w:sz="8" w:space="0"/>
            </w:tcBorders>
            <w:noWrap w:val="0"/>
            <w:vAlign w:val="center"/>
          </w:tcPr>
          <w:p w14:paraId="58F50EE8">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b/>
                <w:bCs/>
                <w:i w:val="0"/>
                <w:iCs w:val="0"/>
                <w:color w:val="000000"/>
                <w:sz w:val="18"/>
                <w:szCs w:val="18"/>
                <w:u w:val="none"/>
              </w:rPr>
            </w:pPr>
            <w:r>
              <w:rPr>
                <w:rFonts w:hint="default" w:ascii="Times New Roman" w:hAnsi="Times New Roman" w:eastAsia="宋体" w:cs="Times New Roman"/>
                <w:b/>
                <w:bCs/>
                <w:i w:val="0"/>
                <w:iCs w:val="0"/>
                <w:color w:val="000000"/>
                <w:kern w:val="0"/>
                <w:sz w:val="18"/>
                <w:szCs w:val="18"/>
                <w:u w:val="none"/>
                <w:lang w:val="en-US" w:eastAsia="zh-CN" w:bidi="ar"/>
              </w:rPr>
              <w:t>0.33%</w:t>
            </w:r>
          </w:p>
        </w:tc>
        <w:tc>
          <w:tcPr>
            <w:tcW w:w="1013" w:type="pct"/>
            <w:tcBorders>
              <w:top w:val="nil"/>
              <w:left w:val="nil"/>
              <w:bottom w:val="single" w:color="000000" w:sz="8" w:space="0"/>
              <w:right w:val="single" w:color="000000" w:sz="8" w:space="0"/>
            </w:tcBorders>
            <w:noWrap w:val="0"/>
            <w:vAlign w:val="center"/>
          </w:tcPr>
          <w:p w14:paraId="5A90A465">
            <w:pPr>
              <w:spacing w:line="240" w:lineRule="auto"/>
              <w:ind w:firstLine="0" w:firstLineChars="0"/>
              <w:jc w:val="center"/>
              <w:rPr>
                <w:rFonts w:hint="default" w:ascii="Times New Roman" w:hAnsi="Times New Roman" w:eastAsia="宋体" w:cs="Times New Roman"/>
                <w:i w:val="0"/>
                <w:iCs w:val="0"/>
                <w:color w:val="000000"/>
                <w:sz w:val="18"/>
                <w:szCs w:val="18"/>
                <w:u w:val="none"/>
              </w:rPr>
            </w:pPr>
          </w:p>
        </w:tc>
      </w:tr>
      <w:tr w14:paraId="0AB997F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3" w:hRule="atLeast"/>
        </w:trPr>
        <w:tc>
          <w:tcPr>
            <w:tcW w:w="273" w:type="pct"/>
            <w:tcBorders>
              <w:top w:val="nil"/>
              <w:left w:val="single" w:color="000000" w:sz="8" w:space="0"/>
              <w:bottom w:val="single" w:color="000000" w:sz="8" w:space="0"/>
              <w:right w:val="single" w:color="000000" w:sz="8" w:space="0"/>
            </w:tcBorders>
            <w:noWrap w:val="0"/>
            <w:vAlign w:val="center"/>
          </w:tcPr>
          <w:p w14:paraId="499AE8CB">
            <w:pPr>
              <w:spacing w:line="240" w:lineRule="auto"/>
              <w:ind w:firstLine="0" w:firstLineChars="0"/>
              <w:jc w:val="center"/>
              <w:rPr>
                <w:rFonts w:hint="default" w:ascii="Times New Roman" w:hAnsi="Times New Roman" w:eastAsia="宋体" w:cs="Times New Roman"/>
                <w:i w:val="0"/>
                <w:iCs w:val="0"/>
                <w:color w:val="000000"/>
                <w:sz w:val="18"/>
                <w:szCs w:val="18"/>
                <w:u w:val="none"/>
              </w:rPr>
            </w:pPr>
          </w:p>
        </w:tc>
        <w:tc>
          <w:tcPr>
            <w:tcW w:w="675" w:type="pct"/>
            <w:tcBorders>
              <w:top w:val="nil"/>
              <w:left w:val="nil"/>
              <w:bottom w:val="single" w:color="000000" w:sz="8" w:space="0"/>
              <w:right w:val="single" w:color="000000" w:sz="8" w:space="0"/>
            </w:tcBorders>
            <w:noWrap w:val="0"/>
            <w:vAlign w:val="center"/>
          </w:tcPr>
          <w:p w14:paraId="7C3C4A4C">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厂外进线</w:t>
            </w:r>
          </w:p>
        </w:tc>
        <w:tc>
          <w:tcPr>
            <w:tcW w:w="398" w:type="pct"/>
            <w:tcBorders>
              <w:top w:val="nil"/>
              <w:left w:val="nil"/>
              <w:bottom w:val="single" w:color="000000" w:sz="8" w:space="0"/>
              <w:right w:val="single" w:color="000000" w:sz="8" w:space="0"/>
            </w:tcBorders>
            <w:noWrap w:val="0"/>
            <w:vAlign w:val="center"/>
          </w:tcPr>
          <w:p w14:paraId="55BF46B7">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color w:val="000000"/>
                <w:kern w:val="0"/>
                <w:sz w:val="18"/>
                <w:szCs w:val="18"/>
                <w:u w:val="none"/>
                <w:lang w:val="en-US" w:eastAsia="zh-CN" w:bidi="ar"/>
              </w:rPr>
              <w:t>20</w:t>
            </w:r>
          </w:p>
        </w:tc>
        <w:tc>
          <w:tcPr>
            <w:tcW w:w="398" w:type="pct"/>
            <w:tcBorders>
              <w:top w:val="nil"/>
              <w:left w:val="nil"/>
              <w:bottom w:val="single" w:color="000000" w:sz="8" w:space="0"/>
              <w:right w:val="single" w:color="000000" w:sz="8" w:space="0"/>
            </w:tcBorders>
            <w:noWrap w:val="0"/>
            <w:vAlign w:val="center"/>
          </w:tcPr>
          <w:p w14:paraId="005F5926">
            <w:pPr>
              <w:spacing w:line="240" w:lineRule="auto"/>
              <w:ind w:firstLine="0" w:firstLineChars="0"/>
              <w:jc w:val="center"/>
              <w:rPr>
                <w:rFonts w:hint="default" w:ascii="Times New Roman" w:hAnsi="Times New Roman" w:eastAsia="宋体" w:cs="Times New Roman"/>
                <w:i w:val="0"/>
                <w:iCs w:val="0"/>
                <w:color w:val="000000"/>
                <w:sz w:val="18"/>
                <w:szCs w:val="18"/>
                <w:u w:val="none"/>
              </w:rPr>
            </w:pPr>
          </w:p>
        </w:tc>
        <w:tc>
          <w:tcPr>
            <w:tcW w:w="398" w:type="pct"/>
            <w:tcBorders>
              <w:top w:val="nil"/>
              <w:left w:val="nil"/>
              <w:bottom w:val="single" w:color="000000" w:sz="8" w:space="0"/>
              <w:right w:val="single" w:color="000000" w:sz="8" w:space="0"/>
            </w:tcBorders>
            <w:noWrap w:val="0"/>
            <w:vAlign w:val="center"/>
          </w:tcPr>
          <w:p w14:paraId="2AB3A0E8">
            <w:pPr>
              <w:spacing w:line="240" w:lineRule="auto"/>
              <w:ind w:firstLine="0" w:firstLineChars="0"/>
              <w:jc w:val="center"/>
              <w:rPr>
                <w:rFonts w:hint="default" w:ascii="Times New Roman" w:hAnsi="Times New Roman" w:eastAsia="宋体" w:cs="Times New Roman"/>
                <w:i w:val="0"/>
                <w:iCs w:val="0"/>
                <w:color w:val="000000"/>
                <w:sz w:val="18"/>
                <w:szCs w:val="18"/>
                <w:u w:val="none"/>
              </w:rPr>
            </w:pPr>
          </w:p>
        </w:tc>
        <w:tc>
          <w:tcPr>
            <w:tcW w:w="346" w:type="pct"/>
            <w:tcBorders>
              <w:top w:val="nil"/>
              <w:left w:val="nil"/>
              <w:bottom w:val="single" w:color="000000" w:sz="8" w:space="0"/>
              <w:right w:val="single" w:color="000000" w:sz="8" w:space="0"/>
            </w:tcBorders>
            <w:noWrap w:val="0"/>
            <w:vAlign w:val="center"/>
          </w:tcPr>
          <w:p w14:paraId="5A4FCECF">
            <w:pPr>
              <w:spacing w:line="240" w:lineRule="auto"/>
              <w:ind w:firstLine="0" w:firstLineChars="0"/>
              <w:jc w:val="center"/>
              <w:rPr>
                <w:rFonts w:hint="default" w:ascii="Times New Roman" w:hAnsi="Times New Roman" w:eastAsia="宋体" w:cs="Times New Roman"/>
                <w:i w:val="0"/>
                <w:iCs w:val="0"/>
                <w:color w:val="000000"/>
                <w:sz w:val="18"/>
                <w:szCs w:val="18"/>
                <w:u w:val="none"/>
              </w:rPr>
            </w:pPr>
          </w:p>
        </w:tc>
        <w:tc>
          <w:tcPr>
            <w:tcW w:w="326" w:type="pct"/>
            <w:tcBorders>
              <w:top w:val="nil"/>
              <w:left w:val="nil"/>
              <w:bottom w:val="single" w:color="000000" w:sz="8" w:space="0"/>
              <w:right w:val="single" w:color="000000" w:sz="8" w:space="0"/>
            </w:tcBorders>
            <w:noWrap w:val="0"/>
            <w:vAlign w:val="center"/>
          </w:tcPr>
          <w:p w14:paraId="231D2F8F">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color w:val="000000"/>
                <w:kern w:val="0"/>
                <w:sz w:val="18"/>
                <w:szCs w:val="18"/>
                <w:u w:val="none"/>
                <w:lang w:val="en-US" w:eastAsia="zh-CN" w:bidi="ar"/>
              </w:rPr>
              <w:t>20</w:t>
            </w:r>
          </w:p>
        </w:tc>
        <w:tc>
          <w:tcPr>
            <w:tcW w:w="148" w:type="pct"/>
            <w:tcBorders>
              <w:top w:val="nil"/>
              <w:left w:val="nil"/>
              <w:bottom w:val="single" w:color="000000" w:sz="8" w:space="0"/>
              <w:right w:val="single" w:color="000000" w:sz="8" w:space="0"/>
            </w:tcBorders>
            <w:noWrap w:val="0"/>
            <w:vAlign w:val="center"/>
          </w:tcPr>
          <w:p w14:paraId="3A8E76E3">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项</w:t>
            </w:r>
          </w:p>
        </w:tc>
        <w:tc>
          <w:tcPr>
            <w:tcW w:w="211" w:type="pct"/>
            <w:tcBorders>
              <w:top w:val="nil"/>
              <w:left w:val="nil"/>
              <w:bottom w:val="single" w:color="000000" w:sz="8" w:space="0"/>
              <w:right w:val="single" w:color="000000" w:sz="8" w:space="0"/>
            </w:tcBorders>
            <w:noWrap w:val="0"/>
            <w:vAlign w:val="center"/>
          </w:tcPr>
          <w:p w14:paraId="510B8932">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color w:val="000000"/>
                <w:kern w:val="0"/>
                <w:sz w:val="18"/>
                <w:szCs w:val="18"/>
                <w:u w:val="none"/>
                <w:lang w:val="en-US" w:eastAsia="zh-CN" w:bidi="ar"/>
              </w:rPr>
              <w:t>1</w:t>
            </w:r>
          </w:p>
        </w:tc>
        <w:tc>
          <w:tcPr>
            <w:tcW w:w="478" w:type="pct"/>
            <w:tcBorders>
              <w:top w:val="nil"/>
              <w:left w:val="nil"/>
              <w:bottom w:val="single" w:color="000000" w:sz="8" w:space="0"/>
              <w:right w:val="single" w:color="000000" w:sz="8" w:space="0"/>
            </w:tcBorders>
            <w:noWrap w:val="0"/>
            <w:vAlign w:val="center"/>
          </w:tcPr>
          <w:p w14:paraId="316A8A89">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color w:val="000000"/>
                <w:kern w:val="0"/>
                <w:sz w:val="18"/>
                <w:szCs w:val="18"/>
                <w:u w:val="none"/>
                <w:lang w:val="en-US" w:eastAsia="zh-CN" w:bidi="ar"/>
              </w:rPr>
              <w:t>200000</w:t>
            </w:r>
          </w:p>
        </w:tc>
        <w:tc>
          <w:tcPr>
            <w:tcW w:w="329" w:type="pct"/>
            <w:tcBorders>
              <w:top w:val="nil"/>
              <w:left w:val="nil"/>
              <w:bottom w:val="single" w:color="000000" w:sz="8" w:space="0"/>
              <w:right w:val="single" w:color="000000" w:sz="8" w:space="0"/>
            </w:tcBorders>
            <w:noWrap w:val="0"/>
            <w:vAlign w:val="center"/>
          </w:tcPr>
          <w:p w14:paraId="5AE0AD58">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b/>
                <w:bCs/>
                <w:i w:val="0"/>
                <w:iCs w:val="0"/>
                <w:color w:val="000000"/>
                <w:sz w:val="18"/>
                <w:szCs w:val="18"/>
                <w:u w:val="none"/>
              </w:rPr>
            </w:pPr>
            <w:r>
              <w:rPr>
                <w:rFonts w:hint="default" w:ascii="Times New Roman" w:hAnsi="Times New Roman" w:eastAsia="宋体" w:cs="Times New Roman"/>
                <w:b/>
                <w:bCs/>
                <w:i w:val="0"/>
                <w:iCs w:val="0"/>
                <w:color w:val="000000"/>
                <w:kern w:val="0"/>
                <w:sz w:val="18"/>
                <w:szCs w:val="18"/>
                <w:u w:val="none"/>
                <w:lang w:val="en-US" w:eastAsia="zh-CN" w:bidi="ar"/>
              </w:rPr>
              <w:t>0.20%</w:t>
            </w:r>
          </w:p>
        </w:tc>
        <w:tc>
          <w:tcPr>
            <w:tcW w:w="1013" w:type="pct"/>
            <w:tcBorders>
              <w:top w:val="nil"/>
              <w:left w:val="nil"/>
              <w:bottom w:val="single" w:color="000000" w:sz="8" w:space="0"/>
              <w:right w:val="single" w:color="000000" w:sz="8" w:space="0"/>
            </w:tcBorders>
            <w:noWrap w:val="0"/>
            <w:vAlign w:val="center"/>
          </w:tcPr>
          <w:p w14:paraId="77640E25">
            <w:pPr>
              <w:spacing w:line="240" w:lineRule="auto"/>
              <w:ind w:firstLine="0" w:firstLineChars="0"/>
              <w:jc w:val="center"/>
              <w:rPr>
                <w:rFonts w:hint="default" w:ascii="Times New Roman" w:hAnsi="Times New Roman" w:eastAsia="宋体" w:cs="Times New Roman"/>
                <w:i w:val="0"/>
                <w:iCs w:val="0"/>
                <w:color w:val="000000"/>
                <w:sz w:val="18"/>
                <w:szCs w:val="18"/>
                <w:u w:val="none"/>
              </w:rPr>
            </w:pPr>
          </w:p>
        </w:tc>
      </w:tr>
      <w:tr w14:paraId="2D74E72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3" w:hRule="atLeast"/>
        </w:trPr>
        <w:tc>
          <w:tcPr>
            <w:tcW w:w="273" w:type="pct"/>
            <w:tcBorders>
              <w:top w:val="nil"/>
              <w:left w:val="single" w:color="000000" w:sz="8" w:space="0"/>
              <w:bottom w:val="single" w:color="000000" w:sz="8" w:space="0"/>
              <w:right w:val="single" w:color="000000" w:sz="8" w:space="0"/>
            </w:tcBorders>
            <w:noWrap w:val="0"/>
            <w:vAlign w:val="center"/>
          </w:tcPr>
          <w:p w14:paraId="6ED98D73">
            <w:pPr>
              <w:spacing w:line="240" w:lineRule="auto"/>
              <w:ind w:firstLine="0" w:firstLineChars="0"/>
              <w:jc w:val="center"/>
              <w:rPr>
                <w:rFonts w:hint="default" w:ascii="Times New Roman" w:hAnsi="Times New Roman" w:eastAsia="宋体" w:cs="Times New Roman"/>
                <w:i w:val="0"/>
                <w:iCs w:val="0"/>
                <w:color w:val="000000"/>
                <w:sz w:val="18"/>
                <w:szCs w:val="18"/>
                <w:u w:val="none"/>
              </w:rPr>
            </w:pPr>
          </w:p>
        </w:tc>
        <w:tc>
          <w:tcPr>
            <w:tcW w:w="675" w:type="pct"/>
            <w:tcBorders>
              <w:top w:val="nil"/>
              <w:left w:val="nil"/>
              <w:bottom w:val="single" w:color="000000" w:sz="8" w:space="0"/>
              <w:right w:val="single" w:color="000000" w:sz="8" w:space="0"/>
            </w:tcBorders>
            <w:noWrap w:val="0"/>
            <w:vAlign w:val="center"/>
          </w:tcPr>
          <w:p w14:paraId="48F899D6">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厂外管线</w:t>
            </w:r>
          </w:p>
        </w:tc>
        <w:tc>
          <w:tcPr>
            <w:tcW w:w="398" w:type="pct"/>
            <w:tcBorders>
              <w:top w:val="nil"/>
              <w:left w:val="nil"/>
              <w:bottom w:val="single" w:color="000000" w:sz="8" w:space="0"/>
              <w:right w:val="single" w:color="000000" w:sz="8" w:space="0"/>
            </w:tcBorders>
            <w:noWrap w:val="0"/>
            <w:vAlign w:val="center"/>
          </w:tcPr>
          <w:p w14:paraId="18CF805E">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color w:val="000000"/>
                <w:kern w:val="0"/>
                <w:sz w:val="18"/>
                <w:szCs w:val="18"/>
                <w:u w:val="none"/>
                <w:lang w:val="en-US" w:eastAsia="zh-CN" w:bidi="ar"/>
              </w:rPr>
              <w:t>13.5</w:t>
            </w:r>
          </w:p>
        </w:tc>
        <w:tc>
          <w:tcPr>
            <w:tcW w:w="398" w:type="pct"/>
            <w:tcBorders>
              <w:top w:val="nil"/>
              <w:left w:val="nil"/>
              <w:bottom w:val="single" w:color="000000" w:sz="8" w:space="0"/>
              <w:right w:val="single" w:color="000000" w:sz="8" w:space="0"/>
            </w:tcBorders>
            <w:noWrap w:val="0"/>
            <w:vAlign w:val="center"/>
          </w:tcPr>
          <w:p w14:paraId="73E7C3C0">
            <w:pPr>
              <w:spacing w:line="240" w:lineRule="auto"/>
              <w:ind w:firstLine="0" w:firstLineChars="0"/>
              <w:jc w:val="center"/>
              <w:rPr>
                <w:rFonts w:hint="default" w:ascii="Times New Roman" w:hAnsi="Times New Roman" w:eastAsia="宋体" w:cs="Times New Roman"/>
                <w:i w:val="0"/>
                <w:iCs w:val="0"/>
                <w:color w:val="000000"/>
                <w:sz w:val="18"/>
                <w:szCs w:val="18"/>
                <w:u w:val="none"/>
              </w:rPr>
            </w:pPr>
          </w:p>
        </w:tc>
        <w:tc>
          <w:tcPr>
            <w:tcW w:w="398" w:type="pct"/>
            <w:tcBorders>
              <w:top w:val="nil"/>
              <w:left w:val="nil"/>
              <w:bottom w:val="single" w:color="000000" w:sz="8" w:space="0"/>
              <w:right w:val="single" w:color="000000" w:sz="8" w:space="0"/>
            </w:tcBorders>
            <w:noWrap w:val="0"/>
            <w:vAlign w:val="center"/>
          </w:tcPr>
          <w:p w14:paraId="1FB3D014">
            <w:pPr>
              <w:spacing w:line="240" w:lineRule="auto"/>
              <w:ind w:firstLine="0" w:firstLineChars="0"/>
              <w:jc w:val="center"/>
              <w:rPr>
                <w:rFonts w:hint="default" w:ascii="Times New Roman" w:hAnsi="Times New Roman" w:eastAsia="宋体" w:cs="Times New Roman"/>
                <w:i w:val="0"/>
                <w:iCs w:val="0"/>
                <w:color w:val="000000"/>
                <w:sz w:val="18"/>
                <w:szCs w:val="18"/>
                <w:u w:val="none"/>
              </w:rPr>
            </w:pPr>
          </w:p>
        </w:tc>
        <w:tc>
          <w:tcPr>
            <w:tcW w:w="346" w:type="pct"/>
            <w:tcBorders>
              <w:top w:val="nil"/>
              <w:left w:val="nil"/>
              <w:bottom w:val="single" w:color="000000" w:sz="8" w:space="0"/>
              <w:right w:val="single" w:color="000000" w:sz="8" w:space="0"/>
            </w:tcBorders>
            <w:noWrap w:val="0"/>
            <w:vAlign w:val="center"/>
          </w:tcPr>
          <w:p w14:paraId="63D751BA">
            <w:pPr>
              <w:spacing w:line="240" w:lineRule="auto"/>
              <w:ind w:firstLine="0" w:firstLineChars="0"/>
              <w:jc w:val="center"/>
              <w:rPr>
                <w:rFonts w:hint="default" w:ascii="Times New Roman" w:hAnsi="Times New Roman" w:eastAsia="宋体" w:cs="Times New Roman"/>
                <w:i w:val="0"/>
                <w:iCs w:val="0"/>
                <w:color w:val="000000"/>
                <w:sz w:val="18"/>
                <w:szCs w:val="18"/>
                <w:u w:val="none"/>
              </w:rPr>
            </w:pPr>
          </w:p>
        </w:tc>
        <w:tc>
          <w:tcPr>
            <w:tcW w:w="326" w:type="pct"/>
            <w:tcBorders>
              <w:top w:val="nil"/>
              <w:left w:val="nil"/>
              <w:bottom w:val="single" w:color="000000" w:sz="8" w:space="0"/>
              <w:right w:val="single" w:color="000000" w:sz="8" w:space="0"/>
            </w:tcBorders>
            <w:noWrap w:val="0"/>
            <w:vAlign w:val="center"/>
          </w:tcPr>
          <w:p w14:paraId="40C573E0">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color w:val="000000"/>
                <w:kern w:val="0"/>
                <w:sz w:val="18"/>
                <w:szCs w:val="18"/>
                <w:u w:val="none"/>
                <w:lang w:val="en-US" w:eastAsia="zh-CN" w:bidi="ar"/>
              </w:rPr>
              <w:t>13.5</w:t>
            </w:r>
          </w:p>
        </w:tc>
        <w:tc>
          <w:tcPr>
            <w:tcW w:w="148" w:type="pct"/>
            <w:tcBorders>
              <w:top w:val="nil"/>
              <w:left w:val="nil"/>
              <w:bottom w:val="single" w:color="000000" w:sz="8" w:space="0"/>
              <w:right w:val="single" w:color="000000" w:sz="8" w:space="0"/>
            </w:tcBorders>
            <w:noWrap w:val="0"/>
            <w:vAlign w:val="center"/>
          </w:tcPr>
          <w:p w14:paraId="4ADE2CF9">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项</w:t>
            </w:r>
          </w:p>
        </w:tc>
        <w:tc>
          <w:tcPr>
            <w:tcW w:w="211" w:type="pct"/>
            <w:tcBorders>
              <w:top w:val="nil"/>
              <w:left w:val="nil"/>
              <w:bottom w:val="single" w:color="000000" w:sz="8" w:space="0"/>
              <w:right w:val="single" w:color="000000" w:sz="8" w:space="0"/>
            </w:tcBorders>
            <w:noWrap w:val="0"/>
            <w:vAlign w:val="center"/>
          </w:tcPr>
          <w:p w14:paraId="25875D19">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color w:val="000000"/>
                <w:kern w:val="0"/>
                <w:sz w:val="18"/>
                <w:szCs w:val="18"/>
                <w:u w:val="none"/>
                <w:lang w:val="en-US" w:eastAsia="zh-CN" w:bidi="ar"/>
              </w:rPr>
              <w:t>1</w:t>
            </w:r>
          </w:p>
        </w:tc>
        <w:tc>
          <w:tcPr>
            <w:tcW w:w="478" w:type="pct"/>
            <w:tcBorders>
              <w:top w:val="nil"/>
              <w:left w:val="nil"/>
              <w:bottom w:val="single" w:color="000000" w:sz="8" w:space="0"/>
              <w:right w:val="single" w:color="000000" w:sz="8" w:space="0"/>
            </w:tcBorders>
            <w:noWrap w:val="0"/>
            <w:vAlign w:val="center"/>
          </w:tcPr>
          <w:p w14:paraId="48CF9D64">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color w:val="000000"/>
                <w:kern w:val="0"/>
                <w:sz w:val="18"/>
                <w:szCs w:val="18"/>
                <w:u w:val="none"/>
                <w:lang w:val="en-US" w:eastAsia="zh-CN" w:bidi="ar"/>
              </w:rPr>
              <w:t>135000</w:t>
            </w:r>
          </w:p>
        </w:tc>
        <w:tc>
          <w:tcPr>
            <w:tcW w:w="329" w:type="pct"/>
            <w:tcBorders>
              <w:top w:val="nil"/>
              <w:left w:val="nil"/>
              <w:bottom w:val="single" w:color="000000" w:sz="8" w:space="0"/>
              <w:right w:val="single" w:color="000000" w:sz="8" w:space="0"/>
            </w:tcBorders>
            <w:noWrap w:val="0"/>
            <w:vAlign w:val="center"/>
          </w:tcPr>
          <w:p w14:paraId="00D96AFE">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b/>
                <w:bCs/>
                <w:i w:val="0"/>
                <w:iCs w:val="0"/>
                <w:color w:val="000000"/>
                <w:sz w:val="18"/>
                <w:szCs w:val="18"/>
                <w:u w:val="none"/>
              </w:rPr>
            </w:pPr>
            <w:r>
              <w:rPr>
                <w:rFonts w:hint="default" w:ascii="Times New Roman" w:hAnsi="Times New Roman" w:eastAsia="宋体" w:cs="Times New Roman"/>
                <w:b/>
                <w:bCs/>
                <w:i w:val="0"/>
                <w:iCs w:val="0"/>
                <w:color w:val="000000"/>
                <w:kern w:val="0"/>
                <w:sz w:val="18"/>
                <w:szCs w:val="18"/>
                <w:u w:val="none"/>
                <w:lang w:val="en-US" w:eastAsia="zh-CN" w:bidi="ar"/>
              </w:rPr>
              <w:t>0.13%</w:t>
            </w:r>
          </w:p>
        </w:tc>
        <w:tc>
          <w:tcPr>
            <w:tcW w:w="1013" w:type="pct"/>
            <w:tcBorders>
              <w:top w:val="nil"/>
              <w:left w:val="nil"/>
              <w:bottom w:val="single" w:color="000000" w:sz="8" w:space="0"/>
              <w:right w:val="single" w:color="000000" w:sz="8" w:space="0"/>
            </w:tcBorders>
            <w:noWrap w:val="0"/>
            <w:vAlign w:val="center"/>
          </w:tcPr>
          <w:p w14:paraId="71857635">
            <w:pPr>
              <w:spacing w:line="240" w:lineRule="auto"/>
              <w:ind w:firstLine="0" w:firstLineChars="0"/>
              <w:jc w:val="center"/>
              <w:rPr>
                <w:rFonts w:hint="default" w:ascii="Times New Roman" w:hAnsi="Times New Roman" w:eastAsia="宋体" w:cs="Times New Roman"/>
                <w:i w:val="0"/>
                <w:iCs w:val="0"/>
                <w:color w:val="000000"/>
                <w:sz w:val="18"/>
                <w:szCs w:val="18"/>
                <w:u w:val="none"/>
              </w:rPr>
            </w:pPr>
          </w:p>
        </w:tc>
      </w:tr>
      <w:tr w14:paraId="7DC9C9A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3" w:hRule="atLeast"/>
        </w:trPr>
        <w:tc>
          <w:tcPr>
            <w:tcW w:w="273" w:type="pct"/>
            <w:tcBorders>
              <w:top w:val="nil"/>
              <w:left w:val="single" w:color="000000" w:sz="8" w:space="0"/>
              <w:bottom w:val="single" w:color="000000" w:sz="8" w:space="0"/>
              <w:right w:val="single" w:color="000000" w:sz="8" w:space="0"/>
            </w:tcBorders>
            <w:noWrap w:val="0"/>
            <w:vAlign w:val="center"/>
          </w:tcPr>
          <w:p w14:paraId="31AA5749">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b/>
                <w:bCs/>
                <w:i w:val="0"/>
                <w:iCs w:val="0"/>
                <w:color w:val="000000"/>
                <w:sz w:val="18"/>
                <w:szCs w:val="18"/>
                <w:u w:val="none"/>
              </w:rPr>
            </w:pPr>
            <w:r>
              <w:rPr>
                <w:rFonts w:hint="default" w:ascii="Times New Roman" w:hAnsi="Times New Roman" w:eastAsia="宋体" w:cs="Times New Roman"/>
                <w:b/>
                <w:bCs/>
                <w:i w:val="0"/>
                <w:iCs w:val="0"/>
                <w:color w:val="000000"/>
                <w:kern w:val="0"/>
                <w:sz w:val="18"/>
                <w:szCs w:val="18"/>
                <w:u w:val="none"/>
                <w:lang w:val="en-US" w:eastAsia="zh-CN" w:bidi="ar"/>
              </w:rPr>
              <w:t>Ⅱ</w:t>
            </w:r>
          </w:p>
        </w:tc>
        <w:tc>
          <w:tcPr>
            <w:tcW w:w="675" w:type="pct"/>
            <w:tcBorders>
              <w:top w:val="nil"/>
              <w:left w:val="nil"/>
              <w:bottom w:val="single" w:color="000000" w:sz="8" w:space="0"/>
              <w:right w:val="single" w:color="000000" w:sz="8" w:space="0"/>
            </w:tcBorders>
            <w:noWrap w:val="0"/>
            <w:vAlign w:val="center"/>
          </w:tcPr>
          <w:p w14:paraId="347AFEA3">
            <w:pPr>
              <w:keepNext w:val="0"/>
              <w:keepLines w:val="0"/>
              <w:widowControl/>
              <w:suppressLineNumbers w:val="0"/>
              <w:spacing w:line="240" w:lineRule="auto"/>
              <w:ind w:firstLine="0" w:firstLineChars="0"/>
              <w:jc w:val="center"/>
              <w:textAlignment w:val="center"/>
              <w:rPr>
                <w:rFonts w:hint="eastAsia" w:ascii="宋体" w:hAnsi="宋体" w:eastAsia="宋体" w:cs="宋体"/>
                <w:b/>
                <w:bCs/>
                <w:i w:val="0"/>
                <w:iCs w:val="0"/>
                <w:color w:val="000000"/>
                <w:sz w:val="18"/>
                <w:szCs w:val="18"/>
                <w:u w:val="none"/>
              </w:rPr>
            </w:pPr>
            <w:r>
              <w:rPr>
                <w:rFonts w:hint="eastAsia" w:ascii="宋体" w:hAnsi="宋体" w:eastAsia="宋体" w:cs="宋体"/>
                <w:b/>
                <w:bCs/>
                <w:i w:val="0"/>
                <w:iCs w:val="0"/>
                <w:color w:val="000000"/>
                <w:kern w:val="0"/>
                <w:sz w:val="18"/>
                <w:szCs w:val="18"/>
                <w:u w:val="none"/>
                <w:lang w:val="en-US" w:eastAsia="zh-CN" w:bidi="ar"/>
              </w:rPr>
              <w:t>工艺设备</w:t>
            </w:r>
          </w:p>
        </w:tc>
        <w:tc>
          <w:tcPr>
            <w:tcW w:w="398" w:type="pct"/>
            <w:tcBorders>
              <w:top w:val="nil"/>
              <w:left w:val="nil"/>
              <w:bottom w:val="single" w:color="000000" w:sz="8" w:space="0"/>
              <w:right w:val="single" w:color="000000" w:sz="8" w:space="0"/>
            </w:tcBorders>
            <w:noWrap w:val="0"/>
            <w:vAlign w:val="center"/>
          </w:tcPr>
          <w:p w14:paraId="3FAB6D4E">
            <w:pPr>
              <w:spacing w:line="240" w:lineRule="auto"/>
              <w:ind w:firstLine="0" w:firstLineChars="0"/>
              <w:jc w:val="center"/>
              <w:rPr>
                <w:rFonts w:hint="default" w:ascii="Times New Roman" w:hAnsi="Times New Roman" w:eastAsia="宋体" w:cs="Times New Roman"/>
                <w:b/>
                <w:bCs/>
                <w:i w:val="0"/>
                <w:iCs w:val="0"/>
                <w:color w:val="000000"/>
                <w:sz w:val="18"/>
                <w:szCs w:val="18"/>
                <w:u w:val="none"/>
              </w:rPr>
            </w:pPr>
          </w:p>
        </w:tc>
        <w:tc>
          <w:tcPr>
            <w:tcW w:w="398" w:type="pct"/>
            <w:tcBorders>
              <w:top w:val="nil"/>
              <w:left w:val="nil"/>
              <w:bottom w:val="single" w:color="000000" w:sz="8" w:space="0"/>
              <w:right w:val="single" w:color="000000" w:sz="8" w:space="0"/>
            </w:tcBorders>
            <w:noWrap w:val="0"/>
            <w:vAlign w:val="center"/>
          </w:tcPr>
          <w:p w14:paraId="784D41EE">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b/>
                <w:bCs/>
                <w:i w:val="0"/>
                <w:iCs w:val="0"/>
                <w:color w:val="000000"/>
                <w:sz w:val="18"/>
                <w:szCs w:val="18"/>
                <w:u w:val="none"/>
              </w:rPr>
            </w:pPr>
            <w:r>
              <w:rPr>
                <w:rFonts w:hint="default" w:ascii="Times New Roman" w:hAnsi="Times New Roman" w:eastAsia="宋体" w:cs="Times New Roman"/>
                <w:b/>
                <w:bCs/>
                <w:i w:val="0"/>
                <w:iCs w:val="0"/>
                <w:color w:val="000000"/>
                <w:kern w:val="0"/>
                <w:sz w:val="18"/>
                <w:szCs w:val="18"/>
                <w:u w:val="none"/>
                <w:lang w:val="en-US" w:eastAsia="zh-CN" w:bidi="ar"/>
              </w:rPr>
              <w:t>3442.6</w:t>
            </w:r>
          </w:p>
        </w:tc>
        <w:tc>
          <w:tcPr>
            <w:tcW w:w="398" w:type="pct"/>
            <w:tcBorders>
              <w:top w:val="nil"/>
              <w:left w:val="nil"/>
              <w:bottom w:val="single" w:color="000000" w:sz="8" w:space="0"/>
              <w:right w:val="single" w:color="000000" w:sz="8" w:space="0"/>
            </w:tcBorders>
            <w:noWrap w:val="0"/>
            <w:vAlign w:val="center"/>
          </w:tcPr>
          <w:p w14:paraId="2421A4AD">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b/>
                <w:bCs/>
                <w:i w:val="0"/>
                <w:iCs w:val="0"/>
                <w:color w:val="000000"/>
                <w:sz w:val="18"/>
                <w:szCs w:val="18"/>
                <w:u w:val="none"/>
              </w:rPr>
            </w:pPr>
            <w:r>
              <w:rPr>
                <w:rFonts w:hint="default" w:ascii="Times New Roman" w:hAnsi="Times New Roman" w:eastAsia="宋体" w:cs="Times New Roman"/>
                <w:b/>
                <w:bCs/>
                <w:i w:val="0"/>
                <w:iCs w:val="0"/>
                <w:color w:val="000000"/>
                <w:kern w:val="0"/>
                <w:sz w:val="18"/>
                <w:szCs w:val="18"/>
                <w:u w:val="none"/>
                <w:lang w:val="en-US" w:eastAsia="zh-CN" w:bidi="ar"/>
              </w:rPr>
              <w:t>614.86</w:t>
            </w:r>
          </w:p>
        </w:tc>
        <w:tc>
          <w:tcPr>
            <w:tcW w:w="346" w:type="pct"/>
            <w:tcBorders>
              <w:top w:val="nil"/>
              <w:left w:val="nil"/>
              <w:bottom w:val="single" w:color="000000" w:sz="8" w:space="0"/>
              <w:right w:val="single" w:color="000000" w:sz="8" w:space="0"/>
            </w:tcBorders>
            <w:noWrap w:val="0"/>
            <w:vAlign w:val="center"/>
          </w:tcPr>
          <w:p w14:paraId="389580B5">
            <w:pPr>
              <w:spacing w:line="240" w:lineRule="auto"/>
              <w:ind w:firstLine="0" w:firstLineChars="0"/>
              <w:jc w:val="center"/>
              <w:rPr>
                <w:rFonts w:hint="default" w:ascii="Times New Roman" w:hAnsi="Times New Roman" w:eastAsia="宋体" w:cs="Times New Roman"/>
                <w:b/>
                <w:bCs/>
                <w:i w:val="0"/>
                <w:iCs w:val="0"/>
                <w:color w:val="000000"/>
                <w:sz w:val="18"/>
                <w:szCs w:val="18"/>
                <w:u w:val="none"/>
              </w:rPr>
            </w:pPr>
          </w:p>
        </w:tc>
        <w:tc>
          <w:tcPr>
            <w:tcW w:w="326" w:type="pct"/>
            <w:tcBorders>
              <w:top w:val="nil"/>
              <w:left w:val="nil"/>
              <w:bottom w:val="single" w:color="000000" w:sz="8" w:space="0"/>
              <w:right w:val="single" w:color="000000" w:sz="8" w:space="0"/>
            </w:tcBorders>
            <w:noWrap w:val="0"/>
            <w:vAlign w:val="center"/>
          </w:tcPr>
          <w:p w14:paraId="38102800">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color w:val="000000"/>
                <w:kern w:val="0"/>
                <w:sz w:val="18"/>
                <w:szCs w:val="18"/>
                <w:u w:val="none"/>
                <w:lang w:val="en-US" w:eastAsia="zh-CN" w:bidi="ar"/>
              </w:rPr>
              <w:t>4057.46</w:t>
            </w:r>
          </w:p>
        </w:tc>
        <w:tc>
          <w:tcPr>
            <w:tcW w:w="148" w:type="pct"/>
            <w:tcBorders>
              <w:top w:val="nil"/>
              <w:left w:val="nil"/>
              <w:bottom w:val="single" w:color="000000" w:sz="8" w:space="0"/>
              <w:right w:val="single" w:color="000000" w:sz="8" w:space="0"/>
            </w:tcBorders>
            <w:noWrap w:val="0"/>
            <w:vAlign w:val="center"/>
          </w:tcPr>
          <w:p w14:paraId="576EF866">
            <w:pPr>
              <w:spacing w:line="240" w:lineRule="auto"/>
              <w:ind w:firstLine="0" w:firstLineChars="0"/>
              <w:jc w:val="center"/>
              <w:rPr>
                <w:rFonts w:hint="default" w:ascii="Times New Roman" w:hAnsi="Times New Roman" w:eastAsia="宋体" w:cs="Times New Roman"/>
                <w:b/>
                <w:bCs/>
                <w:i w:val="0"/>
                <w:iCs w:val="0"/>
                <w:color w:val="000000"/>
                <w:sz w:val="18"/>
                <w:szCs w:val="18"/>
                <w:u w:val="none"/>
              </w:rPr>
            </w:pPr>
          </w:p>
        </w:tc>
        <w:tc>
          <w:tcPr>
            <w:tcW w:w="211" w:type="pct"/>
            <w:tcBorders>
              <w:top w:val="nil"/>
              <w:left w:val="nil"/>
              <w:bottom w:val="single" w:color="000000" w:sz="8" w:space="0"/>
              <w:right w:val="single" w:color="000000" w:sz="8" w:space="0"/>
            </w:tcBorders>
            <w:noWrap w:val="0"/>
            <w:vAlign w:val="center"/>
          </w:tcPr>
          <w:p w14:paraId="7DE50C4C">
            <w:pPr>
              <w:spacing w:line="240" w:lineRule="auto"/>
              <w:ind w:firstLine="0" w:firstLineChars="0"/>
              <w:jc w:val="center"/>
              <w:rPr>
                <w:rFonts w:hint="default" w:ascii="Times New Roman" w:hAnsi="Times New Roman" w:eastAsia="宋体" w:cs="Times New Roman"/>
                <w:b/>
                <w:bCs/>
                <w:i w:val="0"/>
                <w:iCs w:val="0"/>
                <w:color w:val="000000"/>
                <w:sz w:val="18"/>
                <w:szCs w:val="18"/>
                <w:u w:val="none"/>
              </w:rPr>
            </w:pPr>
          </w:p>
        </w:tc>
        <w:tc>
          <w:tcPr>
            <w:tcW w:w="478" w:type="pct"/>
            <w:tcBorders>
              <w:top w:val="nil"/>
              <w:left w:val="nil"/>
              <w:bottom w:val="single" w:color="000000" w:sz="8" w:space="0"/>
              <w:right w:val="single" w:color="000000" w:sz="8" w:space="0"/>
            </w:tcBorders>
            <w:noWrap w:val="0"/>
            <w:vAlign w:val="center"/>
          </w:tcPr>
          <w:p w14:paraId="5F5624C6">
            <w:pPr>
              <w:spacing w:line="240" w:lineRule="auto"/>
              <w:ind w:firstLine="0" w:firstLineChars="0"/>
              <w:jc w:val="center"/>
              <w:rPr>
                <w:rFonts w:hint="default" w:ascii="Times New Roman" w:hAnsi="Times New Roman" w:eastAsia="宋体" w:cs="Times New Roman"/>
                <w:b/>
                <w:bCs/>
                <w:i w:val="0"/>
                <w:iCs w:val="0"/>
                <w:color w:val="000000"/>
                <w:sz w:val="18"/>
                <w:szCs w:val="18"/>
                <w:u w:val="none"/>
              </w:rPr>
            </w:pPr>
          </w:p>
        </w:tc>
        <w:tc>
          <w:tcPr>
            <w:tcW w:w="329" w:type="pct"/>
            <w:tcBorders>
              <w:top w:val="nil"/>
              <w:left w:val="nil"/>
              <w:bottom w:val="single" w:color="000000" w:sz="8" w:space="0"/>
              <w:right w:val="single" w:color="000000" w:sz="8" w:space="0"/>
            </w:tcBorders>
            <w:noWrap w:val="0"/>
            <w:vAlign w:val="center"/>
          </w:tcPr>
          <w:p w14:paraId="435C0509">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b/>
                <w:bCs/>
                <w:i w:val="0"/>
                <w:iCs w:val="0"/>
                <w:color w:val="000000"/>
                <w:sz w:val="18"/>
                <w:szCs w:val="18"/>
                <w:u w:val="none"/>
              </w:rPr>
            </w:pPr>
            <w:r>
              <w:rPr>
                <w:rFonts w:hint="default" w:ascii="Times New Roman" w:hAnsi="Times New Roman" w:eastAsia="宋体" w:cs="Times New Roman"/>
                <w:b/>
                <w:bCs/>
                <w:i w:val="0"/>
                <w:iCs w:val="0"/>
                <w:color w:val="000000"/>
                <w:kern w:val="0"/>
                <w:sz w:val="18"/>
                <w:szCs w:val="18"/>
                <w:u w:val="none"/>
                <w:lang w:val="en-US" w:eastAsia="zh-CN" w:bidi="ar"/>
              </w:rPr>
              <w:t>39.78%</w:t>
            </w:r>
          </w:p>
        </w:tc>
        <w:tc>
          <w:tcPr>
            <w:tcW w:w="1013" w:type="pct"/>
            <w:tcBorders>
              <w:top w:val="nil"/>
              <w:left w:val="nil"/>
              <w:bottom w:val="single" w:color="000000" w:sz="8" w:space="0"/>
              <w:right w:val="single" w:color="000000" w:sz="8" w:space="0"/>
            </w:tcBorders>
            <w:noWrap w:val="0"/>
            <w:vAlign w:val="center"/>
          </w:tcPr>
          <w:p w14:paraId="3FB92FD7">
            <w:pPr>
              <w:spacing w:line="240" w:lineRule="auto"/>
              <w:ind w:firstLine="0" w:firstLineChars="0"/>
              <w:jc w:val="center"/>
              <w:rPr>
                <w:rFonts w:hint="default" w:ascii="Times New Roman" w:hAnsi="Times New Roman" w:eastAsia="宋体" w:cs="Times New Roman"/>
                <w:b/>
                <w:bCs/>
                <w:i w:val="0"/>
                <w:iCs w:val="0"/>
                <w:color w:val="000000"/>
                <w:sz w:val="18"/>
                <w:szCs w:val="18"/>
                <w:u w:val="none"/>
              </w:rPr>
            </w:pPr>
          </w:p>
        </w:tc>
      </w:tr>
      <w:tr w14:paraId="2637380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3" w:hRule="atLeast"/>
        </w:trPr>
        <w:tc>
          <w:tcPr>
            <w:tcW w:w="273" w:type="pct"/>
            <w:tcBorders>
              <w:top w:val="nil"/>
              <w:left w:val="single" w:color="000000" w:sz="8" w:space="0"/>
              <w:bottom w:val="single" w:color="000000" w:sz="8" w:space="0"/>
              <w:right w:val="single" w:color="000000" w:sz="8" w:space="0"/>
            </w:tcBorders>
            <w:noWrap w:val="0"/>
            <w:vAlign w:val="center"/>
          </w:tcPr>
          <w:p w14:paraId="6E0DB77D">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一</w:t>
            </w:r>
          </w:p>
        </w:tc>
        <w:tc>
          <w:tcPr>
            <w:tcW w:w="675" w:type="pct"/>
            <w:tcBorders>
              <w:top w:val="nil"/>
              <w:left w:val="nil"/>
              <w:bottom w:val="single" w:color="000000" w:sz="8" w:space="0"/>
              <w:right w:val="single" w:color="000000" w:sz="8" w:space="0"/>
            </w:tcBorders>
            <w:noWrap w:val="0"/>
            <w:vAlign w:val="center"/>
          </w:tcPr>
          <w:p w14:paraId="16A14BD8">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大件垃圾压缩转运设备</w:t>
            </w:r>
          </w:p>
        </w:tc>
        <w:tc>
          <w:tcPr>
            <w:tcW w:w="398" w:type="pct"/>
            <w:tcBorders>
              <w:top w:val="nil"/>
              <w:left w:val="nil"/>
              <w:bottom w:val="single" w:color="000000" w:sz="8" w:space="0"/>
              <w:right w:val="single" w:color="000000" w:sz="8" w:space="0"/>
            </w:tcBorders>
            <w:noWrap w:val="0"/>
            <w:vAlign w:val="center"/>
          </w:tcPr>
          <w:p w14:paraId="5A5C08F6">
            <w:pPr>
              <w:spacing w:line="240" w:lineRule="auto"/>
              <w:ind w:firstLine="0" w:firstLineChars="0"/>
              <w:jc w:val="center"/>
              <w:rPr>
                <w:rFonts w:hint="default" w:ascii="Times New Roman" w:hAnsi="Times New Roman" w:eastAsia="宋体" w:cs="Times New Roman"/>
                <w:i w:val="0"/>
                <w:iCs w:val="0"/>
                <w:color w:val="000000"/>
                <w:sz w:val="18"/>
                <w:szCs w:val="18"/>
                <w:u w:val="none"/>
              </w:rPr>
            </w:pPr>
          </w:p>
        </w:tc>
        <w:tc>
          <w:tcPr>
            <w:tcW w:w="398" w:type="pct"/>
            <w:tcBorders>
              <w:top w:val="nil"/>
              <w:left w:val="nil"/>
              <w:bottom w:val="single" w:color="000000" w:sz="8" w:space="0"/>
              <w:right w:val="single" w:color="000000" w:sz="8" w:space="0"/>
            </w:tcBorders>
            <w:noWrap w:val="0"/>
            <w:vAlign w:val="center"/>
          </w:tcPr>
          <w:p w14:paraId="08ABDCFD">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color w:val="000000"/>
                <w:kern w:val="0"/>
                <w:sz w:val="18"/>
                <w:szCs w:val="18"/>
                <w:u w:val="none"/>
                <w:lang w:val="en-US" w:eastAsia="zh-CN" w:bidi="ar"/>
              </w:rPr>
              <w:t>1670.2</w:t>
            </w:r>
          </w:p>
        </w:tc>
        <w:tc>
          <w:tcPr>
            <w:tcW w:w="398" w:type="pct"/>
            <w:tcBorders>
              <w:top w:val="nil"/>
              <w:left w:val="nil"/>
              <w:bottom w:val="single" w:color="000000" w:sz="8" w:space="0"/>
              <w:right w:val="single" w:color="000000" w:sz="8" w:space="0"/>
            </w:tcBorders>
            <w:noWrap w:val="0"/>
            <w:vAlign w:val="center"/>
          </w:tcPr>
          <w:p w14:paraId="24DD5195">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color w:val="000000"/>
                <w:kern w:val="0"/>
                <w:sz w:val="18"/>
                <w:szCs w:val="18"/>
                <w:u w:val="none"/>
                <w:lang w:val="en-US" w:eastAsia="zh-CN" w:bidi="ar"/>
              </w:rPr>
              <w:t>295.83</w:t>
            </w:r>
          </w:p>
        </w:tc>
        <w:tc>
          <w:tcPr>
            <w:tcW w:w="346" w:type="pct"/>
            <w:tcBorders>
              <w:top w:val="nil"/>
              <w:left w:val="nil"/>
              <w:bottom w:val="single" w:color="000000" w:sz="8" w:space="0"/>
              <w:right w:val="single" w:color="000000" w:sz="8" w:space="0"/>
            </w:tcBorders>
            <w:noWrap w:val="0"/>
            <w:vAlign w:val="center"/>
          </w:tcPr>
          <w:p w14:paraId="106C3E3F">
            <w:pPr>
              <w:spacing w:line="240" w:lineRule="auto"/>
              <w:ind w:firstLine="0" w:firstLineChars="0"/>
              <w:jc w:val="center"/>
              <w:rPr>
                <w:rFonts w:hint="default" w:ascii="Times New Roman" w:hAnsi="Times New Roman" w:eastAsia="宋体" w:cs="Times New Roman"/>
                <w:i w:val="0"/>
                <w:iCs w:val="0"/>
                <w:color w:val="000000"/>
                <w:sz w:val="18"/>
                <w:szCs w:val="18"/>
                <w:u w:val="none"/>
              </w:rPr>
            </w:pPr>
          </w:p>
        </w:tc>
        <w:tc>
          <w:tcPr>
            <w:tcW w:w="326" w:type="pct"/>
            <w:tcBorders>
              <w:top w:val="nil"/>
              <w:left w:val="nil"/>
              <w:bottom w:val="single" w:color="000000" w:sz="8" w:space="0"/>
              <w:right w:val="single" w:color="000000" w:sz="8" w:space="0"/>
            </w:tcBorders>
            <w:noWrap w:val="0"/>
            <w:vAlign w:val="center"/>
          </w:tcPr>
          <w:p w14:paraId="36F08F39">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color w:val="000000"/>
                <w:kern w:val="0"/>
                <w:sz w:val="18"/>
                <w:szCs w:val="18"/>
                <w:u w:val="none"/>
                <w:lang w:val="en-US" w:eastAsia="zh-CN" w:bidi="ar"/>
              </w:rPr>
              <w:t>1966.03</w:t>
            </w:r>
          </w:p>
        </w:tc>
        <w:tc>
          <w:tcPr>
            <w:tcW w:w="148" w:type="pct"/>
            <w:tcBorders>
              <w:top w:val="nil"/>
              <w:left w:val="nil"/>
              <w:bottom w:val="single" w:color="000000" w:sz="8" w:space="0"/>
              <w:right w:val="single" w:color="000000" w:sz="8" w:space="0"/>
            </w:tcBorders>
            <w:noWrap w:val="0"/>
            <w:vAlign w:val="center"/>
          </w:tcPr>
          <w:p w14:paraId="61706939">
            <w:pPr>
              <w:spacing w:line="240" w:lineRule="auto"/>
              <w:ind w:firstLine="0" w:firstLineChars="0"/>
              <w:jc w:val="center"/>
              <w:rPr>
                <w:rFonts w:hint="default" w:ascii="Times New Roman" w:hAnsi="Times New Roman" w:eastAsia="宋体" w:cs="Times New Roman"/>
                <w:i w:val="0"/>
                <w:iCs w:val="0"/>
                <w:color w:val="000000"/>
                <w:sz w:val="18"/>
                <w:szCs w:val="18"/>
                <w:u w:val="none"/>
              </w:rPr>
            </w:pPr>
          </w:p>
        </w:tc>
        <w:tc>
          <w:tcPr>
            <w:tcW w:w="211" w:type="pct"/>
            <w:tcBorders>
              <w:top w:val="nil"/>
              <w:left w:val="nil"/>
              <w:bottom w:val="single" w:color="000000" w:sz="8" w:space="0"/>
              <w:right w:val="single" w:color="000000" w:sz="8" w:space="0"/>
            </w:tcBorders>
            <w:noWrap w:val="0"/>
            <w:vAlign w:val="center"/>
          </w:tcPr>
          <w:p w14:paraId="441D5FEC">
            <w:pPr>
              <w:spacing w:line="240" w:lineRule="auto"/>
              <w:ind w:firstLine="0" w:firstLineChars="0"/>
              <w:jc w:val="center"/>
              <w:rPr>
                <w:rFonts w:hint="default" w:ascii="Times New Roman" w:hAnsi="Times New Roman" w:eastAsia="宋体" w:cs="Times New Roman"/>
                <w:i w:val="0"/>
                <w:iCs w:val="0"/>
                <w:color w:val="000000"/>
                <w:sz w:val="18"/>
                <w:szCs w:val="18"/>
                <w:u w:val="none"/>
              </w:rPr>
            </w:pPr>
          </w:p>
        </w:tc>
        <w:tc>
          <w:tcPr>
            <w:tcW w:w="478" w:type="pct"/>
            <w:tcBorders>
              <w:top w:val="nil"/>
              <w:left w:val="nil"/>
              <w:bottom w:val="single" w:color="000000" w:sz="8" w:space="0"/>
              <w:right w:val="single" w:color="000000" w:sz="8" w:space="0"/>
            </w:tcBorders>
            <w:noWrap w:val="0"/>
            <w:vAlign w:val="center"/>
          </w:tcPr>
          <w:p w14:paraId="08D21611">
            <w:pPr>
              <w:spacing w:line="240" w:lineRule="auto"/>
              <w:ind w:firstLine="0" w:firstLineChars="0"/>
              <w:jc w:val="center"/>
              <w:rPr>
                <w:rFonts w:hint="default" w:ascii="Times New Roman" w:hAnsi="Times New Roman" w:eastAsia="宋体" w:cs="Times New Roman"/>
                <w:i w:val="0"/>
                <w:iCs w:val="0"/>
                <w:color w:val="000000"/>
                <w:sz w:val="18"/>
                <w:szCs w:val="18"/>
                <w:u w:val="none"/>
              </w:rPr>
            </w:pPr>
          </w:p>
        </w:tc>
        <w:tc>
          <w:tcPr>
            <w:tcW w:w="329" w:type="pct"/>
            <w:tcBorders>
              <w:top w:val="nil"/>
              <w:left w:val="nil"/>
              <w:bottom w:val="single" w:color="000000" w:sz="8" w:space="0"/>
              <w:right w:val="single" w:color="000000" w:sz="8" w:space="0"/>
            </w:tcBorders>
            <w:noWrap w:val="0"/>
            <w:vAlign w:val="center"/>
          </w:tcPr>
          <w:p w14:paraId="37776A2A">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b/>
                <w:bCs/>
                <w:i w:val="0"/>
                <w:iCs w:val="0"/>
                <w:color w:val="000000"/>
                <w:sz w:val="18"/>
                <w:szCs w:val="18"/>
                <w:u w:val="none"/>
              </w:rPr>
            </w:pPr>
            <w:r>
              <w:rPr>
                <w:rFonts w:hint="default" w:ascii="Times New Roman" w:hAnsi="Times New Roman" w:eastAsia="宋体" w:cs="Times New Roman"/>
                <w:b/>
                <w:bCs/>
                <w:i w:val="0"/>
                <w:iCs w:val="0"/>
                <w:color w:val="000000"/>
                <w:kern w:val="0"/>
                <w:sz w:val="18"/>
                <w:szCs w:val="18"/>
                <w:u w:val="none"/>
                <w:lang w:val="en-US" w:eastAsia="zh-CN" w:bidi="ar"/>
              </w:rPr>
              <w:t>19.27%</w:t>
            </w:r>
          </w:p>
        </w:tc>
        <w:tc>
          <w:tcPr>
            <w:tcW w:w="1013" w:type="pct"/>
            <w:tcBorders>
              <w:top w:val="nil"/>
              <w:left w:val="nil"/>
              <w:bottom w:val="single" w:color="000000" w:sz="8" w:space="0"/>
              <w:right w:val="single" w:color="000000" w:sz="8" w:space="0"/>
            </w:tcBorders>
            <w:noWrap w:val="0"/>
            <w:vAlign w:val="center"/>
          </w:tcPr>
          <w:p w14:paraId="60DF763F">
            <w:pPr>
              <w:spacing w:line="240" w:lineRule="auto"/>
              <w:ind w:firstLine="0" w:firstLineChars="0"/>
              <w:jc w:val="center"/>
              <w:rPr>
                <w:rFonts w:hint="default" w:ascii="Times New Roman" w:hAnsi="Times New Roman" w:eastAsia="宋体" w:cs="Times New Roman"/>
                <w:i w:val="0"/>
                <w:iCs w:val="0"/>
                <w:color w:val="000000"/>
                <w:sz w:val="18"/>
                <w:szCs w:val="18"/>
                <w:u w:val="none"/>
              </w:rPr>
            </w:pPr>
          </w:p>
        </w:tc>
      </w:tr>
      <w:tr w14:paraId="5EF6624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3" w:hRule="atLeast"/>
        </w:trPr>
        <w:tc>
          <w:tcPr>
            <w:tcW w:w="273" w:type="pct"/>
            <w:tcBorders>
              <w:top w:val="nil"/>
              <w:left w:val="single" w:color="000000" w:sz="8" w:space="0"/>
              <w:bottom w:val="single" w:color="000000" w:sz="8" w:space="0"/>
              <w:right w:val="single" w:color="000000" w:sz="8" w:space="0"/>
            </w:tcBorders>
            <w:noWrap w:val="0"/>
            <w:vAlign w:val="center"/>
          </w:tcPr>
          <w:p w14:paraId="0A5FB2DF">
            <w:pPr>
              <w:spacing w:line="240" w:lineRule="auto"/>
              <w:ind w:firstLine="0" w:firstLineChars="0"/>
              <w:jc w:val="center"/>
              <w:rPr>
                <w:rFonts w:hint="default" w:ascii="Times New Roman" w:hAnsi="Times New Roman" w:eastAsia="宋体" w:cs="Times New Roman"/>
                <w:i w:val="0"/>
                <w:iCs w:val="0"/>
                <w:color w:val="000000"/>
                <w:sz w:val="18"/>
                <w:szCs w:val="18"/>
                <w:u w:val="none"/>
              </w:rPr>
            </w:pPr>
          </w:p>
        </w:tc>
        <w:tc>
          <w:tcPr>
            <w:tcW w:w="675" w:type="pct"/>
            <w:tcBorders>
              <w:top w:val="nil"/>
              <w:left w:val="nil"/>
              <w:bottom w:val="single" w:color="000000" w:sz="8" w:space="0"/>
              <w:right w:val="single" w:color="000000" w:sz="8" w:space="0"/>
            </w:tcBorders>
            <w:noWrap w:val="0"/>
            <w:vAlign w:val="center"/>
          </w:tcPr>
          <w:p w14:paraId="7280831F">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大型勾臂式垃圾车</w:t>
            </w:r>
          </w:p>
        </w:tc>
        <w:tc>
          <w:tcPr>
            <w:tcW w:w="398" w:type="pct"/>
            <w:tcBorders>
              <w:top w:val="nil"/>
              <w:left w:val="nil"/>
              <w:bottom w:val="single" w:color="000000" w:sz="8" w:space="0"/>
              <w:right w:val="single" w:color="000000" w:sz="8" w:space="0"/>
            </w:tcBorders>
            <w:noWrap w:val="0"/>
            <w:vAlign w:val="center"/>
          </w:tcPr>
          <w:p w14:paraId="71240A32">
            <w:pPr>
              <w:spacing w:line="240" w:lineRule="auto"/>
              <w:ind w:firstLine="0" w:firstLineChars="0"/>
              <w:jc w:val="center"/>
              <w:rPr>
                <w:rFonts w:hint="default" w:ascii="Times New Roman" w:hAnsi="Times New Roman" w:eastAsia="宋体" w:cs="Times New Roman"/>
                <w:i w:val="0"/>
                <w:iCs w:val="0"/>
                <w:color w:val="000000"/>
                <w:sz w:val="18"/>
                <w:szCs w:val="18"/>
                <w:u w:val="none"/>
              </w:rPr>
            </w:pPr>
          </w:p>
        </w:tc>
        <w:tc>
          <w:tcPr>
            <w:tcW w:w="398" w:type="pct"/>
            <w:tcBorders>
              <w:top w:val="nil"/>
              <w:left w:val="nil"/>
              <w:bottom w:val="single" w:color="000000" w:sz="8" w:space="0"/>
              <w:right w:val="single" w:color="000000" w:sz="8" w:space="0"/>
            </w:tcBorders>
            <w:noWrap w:val="0"/>
            <w:vAlign w:val="center"/>
          </w:tcPr>
          <w:p w14:paraId="4118F4EB">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color w:val="000000"/>
                <w:kern w:val="0"/>
                <w:sz w:val="18"/>
                <w:szCs w:val="18"/>
                <w:u w:val="none"/>
                <w:lang w:val="en-US" w:eastAsia="zh-CN" w:bidi="ar"/>
              </w:rPr>
              <w:t>157</w:t>
            </w:r>
          </w:p>
        </w:tc>
        <w:tc>
          <w:tcPr>
            <w:tcW w:w="398" w:type="pct"/>
            <w:tcBorders>
              <w:top w:val="nil"/>
              <w:left w:val="nil"/>
              <w:bottom w:val="single" w:color="000000" w:sz="8" w:space="0"/>
              <w:right w:val="single" w:color="000000" w:sz="8" w:space="0"/>
            </w:tcBorders>
            <w:noWrap w:val="0"/>
            <w:vAlign w:val="center"/>
          </w:tcPr>
          <w:p w14:paraId="3EF4486C">
            <w:pPr>
              <w:spacing w:line="240" w:lineRule="auto"/>
              <w:ind w:firstLine="0" w:firstLineChars="0"/>
              <w:jc w:val="center"/>
              <w:rPr>
                <w:rFonts w:hint="default" w:ascii="Times New Roman" w:hAnsi="Times New Roman" w:eastAsia="宋体" w:cs="Times New Roman"/>
                <w:i w:val="0"/>
                <w:iCs w:val="0"/>
                <w:color w:val="000000"/>
                <w:sz w:val="18"/>
                <w:szCs w:val="18"/>
                <w:u w:val="none"/>
              </w:rPr>
            </w:pPr>
          </w:p>
        </w:tc>
        <w:tc>
          <w:tcPr>
            <w:tcW w:w="346" w:type="pct"/>
            <w:tcBorders>
              <w:top w:val="nil"/>
              <w:left w:val="nil"/>
              <w:bottom w:val="single" w:color="000000" w:sz="8" w:space="0"/>
              <w:right w:val="single" w:color="000000" w:sz="8" w:space="0"/>
            </w:tcBorders>
            <w:noWrap w:val="0"/>
            <w:vAlign w:val="center"/>
          </w:tcPr>
          <w:p w14:paraId="529AE7A4">
            <w:pPr>
              <w:spacing w:line="240" w:lineRule="auto"/>
              <w:ind w:firstLine="0" w:firstLineChars="0"/>
              <w:jc w:val="center"/>
              <w:rPr>
                <w:rFonts w:hint="default" w:ascii="Times New Roman" w:hAnsi="Times New Roman" w:eastAsia="宋体" w:cs="Times New Roman"/>
                <w:i w:val="0"/>
                <w:iCs w:val="0"/>
                <w:color w:val="000000"/>
                <w:sz w:val="18"/>
                <w:szCs w:val="18"/>
                <w:u w:val="none"/>
              </w:rPr>
            </w:pPr>
          </w:p>
        </w:tc>
        <w:tc>
          <w:tcPr>
            <w:tcW w:w="326" w:type="pct"/>
            <w:tcBorders>
              <w:top w:val="nil"/>
              <w:left w:val="nil"/>
              <w:bottom w:val="single" w:color="000000" w:sz="8" w:space="0"/>
              <w:right w:val="single" w:color="000000" w:sz="8" w:space="0"/>
            </w:tcBorders>
            <w:noWrap w:val="0"/>
            <w:vAlign w:val="center"/>
          </w:tcPr>
          <w:p w14:paraId="6C0B405B">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color w:val="000000"/>
                <w:kern w:val="0"/>
                <w:sz w:val="18"/>
                <w:szCs w:val="18"/>
                <w:u w:val="none"/>
                <w:lang w:val="en-US" w:eastAsia="zh-CN" w:bidi="ar"/>
              </w:rPr>
              <w:t>157</w:t>
            </w:r>
          </w:p>
        </w:tc>
        <w:tc>
          <w:tcPr>
            <w:tcW w:w="148" w:type="pct"/>
            <w:tcBorders>
              <w:top w:val="nil"/>
              <w:left w:val="nil"/>
              <w:bottom w:val="single" w:color="000000" w:sz="8" w:space="0"/>
              <w:right w:val="single" w:color="000000" w:sz="8" w:space="0"/>
            </w:tcBorders>
            <w:noWrap w:val="0"/>
            <w:vAlign w:val="center"/>
          </w:tcPr>
          <w:p w14:paraId="3742E556">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辆</w:t>
            </w:r>
          </w:p>
        </w:tc>
        <w:tc>
          <w:tcPr>
            <w:tcW w:w="211" w:type="pct"/>
            <w:tcBorders>
              <w:top w:val="nil"/>
              <w:left w:val="nil"/>
              <w:bottom w:val="single" w:color="000000" w:sz="8" w:space="0"/>
              <w:right w:val="single" w:color="000000" w:sz="8" w:space="0"/>
            </w:tcBorders>
            <w:noWrap w:val="0"/>
            <w:vAlign w:val="center"/>
          </w:tcPr>
          <w:p w14:paraId="4244FFDB">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color w:val="000000"/>
                <w:kern w:val="0"/>
                <w:sz w:val="18"/>
                <w:szCs w:val="18"/>
                <w:u w:val="none"/>
                <w:lang w:val="en-US" w:eastAsia="zh-CN" w:bidi="ar"/>
              </w:rPr>
              <w:t>2</w:t>
            </w:r>
          </w:p>
        </w:tc>
        <w:tc>
          <w:tcPr>
            <w:tcW w:w="478" w:type="pct"/>
            <w:tcBorders>
              <w:top w:val="nil"/>
              <w:left w:val="nil"/>
              <w:bottom w:val="single" w:color="000000" w:sz="8" w:space="0"/>
              <w:right w:val="single" w:color="000000" w:sz="8" w:space="0"/>
            </w:tcBorders>
            <w:noWrap w:val="0"/>
            <w:vAlign w:val="center"/>
          </w:tcPr>
          <w:p w14:paraId="3A368A79">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20"/>
                <w:szCs w:val="20"/>
                <w:u w:val="none"/>
              </w:rPr>
            </w:pPr>
            <w:r>
              <w:rPr>
                <w:rFonts w:hint="default" w:ascii="Times New Roman" w:hAnsi="Times New Roman" w:eastAsia="宋体" w:cs="Times New Roman"/>
                <w:i w:val="0"/>
                <w:iCs w:val="0"/>
                <w:color w:val="000000"/>
                <w:kern w:val="0"/>
                <w:sz w:val="20"/>
                <w:szCs w:val="20"/>
                <w:u w:val="none"/>
                <w:lang w:val="en-US" w:eastAsia="zh-CN" w:bidi="ar"/>
              </w:rPr>
              <w:t>785000</w:t>
            </w:r>
          </w:p>
        </w:tc>
        <w:tc>
          <w:tcPr>
            <w:tcW w:w="329" w:type="pct"/>
            <w:tcBorders>
              <w:top w:val="nil"/>
              <w:left w:val="nil"/>
              <w:bottom w:val="single" w:color="000000" w:sz="8" w:space="0"/>
              <w:right w:val="single" w:color="000000" w:sz="8" w:space="0"/>
            </w:tcBorders>
            <w:noWrap w:val="0"/>
            <w:vAlign w:val="center"/>
          </w:tcPr>
          <w:p w14:paraId="31A4C953">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b/>
                <w:bCs/>
                <w:i w:val="0"/>
                <w:iCs w:val="0"/>
                <w:color w:val="000000"/>
                <w:sz w:val="18"/>
                <w:szCs w:val="18"/>
                <w:u w:val="none"/>
              </w:rPr>
            </w:pPr>
            <w:r>
              <w:rPr>
                <w:rFonts w:hint="default" w:ascii="Times New Roman" w:hAnsi="Times New Roman" w:eastAsia="宋体" w:cs="Times New Roman"/>
                <w:b/>
                <w:bCs/>
                <w:i w:val="0"/>
                <w:iCs w:val="0"/>
                <w:color w:val="000000"/>
                <w:kern w:val="0"/>
                <w:sz w:val="18"/>
                <w:szCs w:val="18"/>
                <w:u w:val="none"/>
                <w:lang w:val="en-US" w:eastAsia="zh-CN" w:bidi="ar"/>
              </w:rPr>
              <w:t>1.54%</w:t>
            </w:r>
          </w:p>
        </w:tc>
        <w:tc>
          <w:tcPr>
            <w:tcW w:w="1013" w:type="pct"/>
            <w:tcBorders>
              <w:top w:val="nil"/>
              <w:left w:val="nil"/>
              <w:bottom w:val="single" w:color="000000" w:sz="8" w:space="0"/>
              <w:right w:val="single" w:color="000000" w:sz="8" w:space="0"/>
            </w:tcBorders>
            <w:noWrap w:val="0"/>
            <w:vAlign w:val="center"/>
          </w:tcPr>
          <w:p w14:paraId="477679F6">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总质量</w:t>
            </w:r>
            <w:r>
              <w:rPr>
                <w:rFonts w:hint="default" w:ascii="Times New Roman" w:hAnsi="Times New Roman" w:eastAsia="宋体" w:cs="Times New Roman"/>
                <w:i w:val="0"/>
                <w:iCs w:val="0"/>
                <w:color w:val="000000"/>
                <w:kern w:val="0"/>
                <w:sz w:val="18"/>
                <w:szCs w:val="18"/>
                <w:u w:val="none"/>
                <w:lang w:val="en-US" w:eastAsia="zh-CN" w:bidi="ar"/>
              </w:rPr>
              <w:t>25</w:t>
            </w:r>
            <w:r>
              <w:rPr>
                <w:rFonts w:hint="eastAsia" w:ascii="宋体" w:hAnsi="宋体" w:eastAsia="宋体" w:cs="宋体"/>
                <w:i w:val="0"/>
                <w:iCs w:val="0"/>
                <w:color w:val="000000"/>
                <w:kern w:val="0"/>
                <w:sz w:val="18"/>
                <w:szCs w:val="18"/>
                <w:u w:val="none"/>
                <w:lang w:val="en-US" w:eastAsia="zh-CN" w:bidi="ar"/>
              </w:rPr>
              <w:t>吨，国六排放燃油车</w:t>
            </w:r>
          </w:p>
        </w:tc>
      </w:tr>
      <w:tr w14:paraId="17C9355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3" w:hRule="atLeast"/>
        </w:trPr>
        <w:tc>
          <w:tcPr>
            <w:tcW w:w="273" w:type="pct"/>
            <w:tcBorders>
              <w:top w:val="nil"/>
              <w:left w:val="single" w:color="000000" w:sz="8" w:space="0"/>
              <w:bottom w:val="single" w:color="000000" w:sz="8" w:space="0"/>
              <w:right w:val="single" w:color="000000" w:sz="8" w:space="0"/>
            </w:tcBorders>
            <w:noWrap w:val="0"/>
            <w:vAlign w:val="center"/>
          </w:tcPr>
          <w:p w14:paraId="303ACD5C">
            <w:pPr>
              <w:spacing w:line="240" w:lineRule="auto"/>
              <w:ind w:firstLine="0" w:firstLineChars="0"/>
              <w:jc w:val="center"/>
              <w:rPr>
                <w:rFonts w:hint="default" w:ascii="Times New Roman" w:hAnsi="Times New Roman" w:eastAsia="宋体" w:cs="Times New Roman"/>
                <w:i w:val="0"/>
                <w:iCs w:val="0"/>
                <w:color w:val="000000"/>
                <w:sz w:val="18"/>
                <w:szCs w:val="18"/>
                <w:u w:val="none"/>
              </w:rPr>
            </w:pPr>
          </w:p>
        </w:tc>
        <w:tc>
          <w:tcPr>
            <w:tcW w:w="675" w:type="pct"/>
            <w:tcBorders>
              <w:top w:val="nil"/>
              <w:left w:val="nil"/>
              <w:bottom w:val="single" w:color="000000" w:sz="8" w:space="0"/>
              <w:right w:val="single" w:color="000000" w:sz="8" w:space="0"/>
            </w:tcBorders>
            <w:noWrap w:val="0"/>
            <w:vAlign w:val="center"/>
          </w:tcPr>
          <w:p w14:paraId="593BD9FD">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洗扫车</w:t>
            </w:r>
          </w:p>
        </w:tc>
        <w:tc>
          <w:tcPr>
            <w:tcW w:w="398" w:type="pct"/>
            <w:tcBorders>
              <w:top w:val="nil"/>
              <w:left w:val="nil"/>
              <w:bottom w:val="single" w:color="000000" w:sz="8" w:space="0"/>
              <w:right w:val="single" w:color="000000" w:sz="8" w:space="0"/>
            </w:tcBorders>
            <w:noWrap w:val="0"/>
            <w:vAlign w:val="center"/>
          </w:tcPr>
          <w:p w14:paraId="010A76E7">
            <w:pPr>
              <w:spacing w:line="240" w:lineRule="auto"/>
              <w:ind w:firstLine="0" w:firstLineChars="0"/>
              <w:jc w:val="center"/>
              <w:rPr>
                <w:rFonts w:hint="default" w:ascii="Times New Roman" w:hAnsi="Times New Roman" w:eastAsia="宋体" w:cs="Times New Roman"/>
                <w:i w:val="0"/>
                <w:iCs w:val="0"/>
                <w:color w:val="000000"/>
                <w:sz w:val="18"/>
                <w:szCs w:val="18"/>
                <w:u w:val="none"/>
              </w:rPr>
            </w:pPr>
          </w:p>
        </w:tc>
        <w:tc>
          <w:tcPr>
            <w:tcW w:w="398" w:type="pct"/>
            <w:tcBorders>
              <w:top w:val="nil"/>
              <w:left w:val="nil"/>
              <w:bottom w:val="single" w:color="000000" w:sz="8" w:space="0"/>
              <w:right w:val="single" w:color="000000" w:sz="8" w:space="0"/>
            </w:tcBorders>
            <w:noWrap w:val="0"/>
            <w:vAlign w:val="center"/>
          </w:tcPr>
          <w:p w14:paraId="27C9F813">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color w:val="000000"/>
                <w:kern w:val="0"/>
                <w:sz w:val="18"/>
                <w:szCs w:val="18"/>
                <w:u w:val="none"/>
                <w:lang w:val="en-US" w:eastAsia="zh-CN" w:bidi="ar"/>
              </w:rPr>
              <w:t>318</w:t>
            </w:r>
          </w:p>
        </w:tc>
        <w:tc>
          <w:tcPr>
            <w:tcW w:w="398" w:type="pct"/>
            <w:tcBorders>
              <w:top w:val="nil"/>
              <w:left w:val="nil"/>
              <w:bottom w:val="single" w:color="000000" w:sz="8" w:space="0"/>
              <w:right w:val="single" w:color="000000" w:sz="8" w:space="0"/>
            </w:tcBorders>
            <w:noWrap w:val="0"/>
            <w:vAlign w:val="center"/>
          </w:tcPr>
          <w:p w14:paraId="73B0547F">
            <w:pPr>
              <w:spacing w:line="240" w:lineRule="auto"/>
              <w:ind w:firstLine="0" w:firstLineChars="0"/>
              <w:jc w:val="center"/>
              <w:rPr>
                <w:rFonts w:hint="default" w:ascii="Times New Roman" w:hAnsi="Times New Roman" w:eastAsia="宋体" w:cs="Times New Roman"/>
                <w:i w:val="0"/>
                <w:iCs w:val="0"/>
                <w:color w:val="000000"/>
                <w:sz w:val="18"/>
                <w:szCs w:val="18"/>
                <w:u w:val="none"/>
              </w:rPr>
            </w:pPr>
          </w:p>
        </w:tc>
        <w:tc>
          <w:tcPr>
            <w:tcW w:w="346" w:type="pct"/>
            <w:tcBorders>
              <w:top w:val="nil"/>
              <w:left w:val="nil"/>
              <w:bottom w:val="single" w:color="000000" w:sz="8" w:space="0"/>
              <w:right w:val="single" w:color="000000" w:sz="8" w:space="0"/>
            </w:tcBorders>
            <w:noWrap w:val="0"/>
            <w:vAlign w:val="center"/>
          </w:tcPr>
          <w:p w14:paraId="6039E7F5">
            <w:pPr>
              <w:spacing w:line="240" w:lineRule="auto"/>
              <w:ind w:firstLine="0" w:firstLineChars="0"/>
              <w:jc w:val="center"/>
              <w:rPr>
                <w:rFonts w:hint="default" w:ascii="Times New Roman" w:hAnsi="Times New Roman" w:eastAsia="宋体" w:cs="Times New Roman"/>
                <w:i w:val="0"/>
                <w:iCs w:val="0"/>
                <w:color w:val="000000"/>
                <w:sz w:val="18"/>
                <w:szCs w:val="18"/>
                <w:u w:val="none"/>
              </w:rPr>
            </w:pPr>
          </w:p>
        </w:tc>
        <w:tc>
          <w:tcPr>
            <w:tcW w:w="326" w:type="pct"/>
            <w:tcBorders>
              <w:top w:val="nil"/>
              <w:left w:val="nil"/>
              <w:bottom w:val="single" w:color="000000" w:sz="8" w:space="0"/>
              <w:right w:val="single" w:color="000000" w:sz="8" w:space="0"/>
            </w:tcBorders>
            <w:noWrap w:val="0"/>
            <w:vAlign w:val="center"/>
          </w:tcPr>
          <w:p w14:paraId="4CA8AB20">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color w:val="000000"/>
                <w:kern w:val="0"/>
                <w:sz w:val="18"/>
                <w:szCs w:val="18"/>
                <w:u w:val="none"/>
                <w:lang w:val="en-US" w:eastAsia="zh-CN" w:bidi="ar"/>
              </w:rPr>
              <w:t>318</w:t>
            </w:r>
          </w:p>
        </w:tc>
        <w:tc>
          <w:tcPr>
            <w:tcW w:w="148" w:type="pct"/>
            <w:tcBorders>
              <w:top w:val="nil"/>
              <w:left w:val="nil"/>
              <w:bottom w:val="single" w:color="000000" w:sz="8" w:space="0"/>
              <w:right w:val="single" w:color="000000" w:sz="8" w:space="0"/>
            </w:tcBorders>
            <w:noWrap w:val="0"/>
            <w:vAlign w:val="center"/>
          </w:tcPr>
          <w:p w14:paraId="7C23C129">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辆</w:t>
            </w:r>
          </w:p>
        </w:tc>
        <w:tc>
          <w:tcPr>
            <w:tcW w:w="211" w:type="pct"/>
            <w:tcBorders>
              <w:top w:val="nil"/>
              <w:left w:val="nil"/>
              <w:bottom w:val="single" w:color="000000" w:sz="8" w:space="0"/>
              <w:right w:val="single" w:color="000000" w:sz="8" w:space="0"/>
            </w:tcBorders>
            <w:noWrap w:val="0"/>
            <w:vAlign w:val="center"/>
          </w:tcPr>
          <w:p w14:paraId="6E0804FF">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color w:val="000000"/>
                <w:kern w:val="0"/>
                <w:sz w:val="18"/>
                <w:szCs w:val="18"/>
                <w:u w:val="none"/>
                <w:lang w:val="en-US" w:eastAsia="zh-CN" w:bidi="ar"/>
              </w:rPr>
              <w:t>6</w:t>
            </w:r>
          </w:p>
        </w:tc>
        <w:tc>
          <w:tcPr>
            <w:tcW w:w="478" w:type="pct"/>
            <w:tcBorders>
              <w:top w:val="nil"/>
              <w:left w:val="nil"/>
              <w:bottom w:val="single" w:color="000000" w:sz="8" w:space="0"/>
              <w:right w:val="single" w:color="000000" w:sz="8" w:space="0"/>
            </w:tcBorders>
            <w:noWrap w:val="0"/>
            <w:vAlign w:val="center"/>
          </w:tcPr>
          <w:p w14:paraId="6A513CB4">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20"/>
                <w:szCs w:val="20"/>
                <w:u w:val="none"/>
              </w:rPr>
            </w:pPr>
            <w:r>
              <w:rPr>
                <w:rFonts w:hint="default" w:ascii="Times New Roman" w:hAnsi="Times New Roman" w:eastAsia="宋体" w:cs="Times New Roman"/>
                <w:i w:val="0"/>
                <w:iCs w:val="0"/>
                <w:color w:val="000000"/>
                <w:kern w:val="0"/>
                <w:sz w:val="20"/>
                <w:szCs w:val="20"/>
                <w:u w:val="none"/>
                <w:lang w:val="en-US" w:eastAsia="zh-CN" w:bidi="ar"/>
              </w:rPr>
              <w:t>530000</w:t>
            </w:r>
          </w:p>
        </w:tc>
        <w:tc>
          <w:tcPr>
            <w:tcW w:w="329" w:type="pct"/>
            <w:tcBorders>
              <w:top w:val="nil"/>
              <w:left w:val="nil"/>
              <w:bottom w:val="single" w:color="000000" w:sz="8" w:space="0"/>
              <w:right w:val="single" w:color="000000" w:sz="8" w:space="0"/>
            </w:tcBorders>
            <w:noWrap w:val="0"/>
            <w:vAlign w:val="center"/>
          </w:tcPr>
          <w:p w14:paraId="7F224ADA">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b/>
                <w:bCs/>
                <w:i w:val="0"/>
                <w:iCs w:val="0"/>
                <w:color w:val="000000"/>
                <w:sz w:val="18"/>
                <w:szCs w:val="18"/>
                <w:u w:val="none"/>
              </w:rPr>
            </w:pPr>
            <w:r>
              <w:rPr>
                <w:rFonts w:hint="default" w:ascii="Times New Roman" w:hAnsi="Times New Roman" w:eastAsia="宋体" w:cs="Times New Roman"/>
                <w:b/>
                <w:bCs/>
                <w:i w:val="0"/>
                <w:iCs w:val="0"/>
                <w:color w:val="000000"/>
                <w:kern w:val="0"/>
                <w:sz w:val="18"/>
                <w:szCs w:val="18"/>
                <w:u w:val="none"/>
                <w:lang w:val="en-US" w:eastAsia="zh-CN" w:bidi="ar"/>
              </w:rPr>
              <w:t>3.12%</w:t>
            </w:r>
          </w:p>
        </w:tc>
        <w:tc>
          <w:tcPr>
            <w:tcW w:w="1013" w:type="pct"/>
            <w:tcBorders>
              <w:top w:val="nil"/>
              <w:left w:val="nil"/>
              <w:bottom w:val="single" w:color="000000" w:sz="8" w:space="0"/>
              <w:right w:val="single" w:color="000000" w:sz="8" w:space="0"/>
            </w:tcBorders>
            <w:noWrap w:val="0"/>
            <w:vAlign w:val="center"/>
          </w:tcPr>
          <w:p w14:paraId="4A812FCB">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总质量</w:t>
            </w:r>
            <w:r>
              <w:rPr>
                <w:rFonts w:hint="default" w:ascii="Times New Roman" w:hAnsi="Times New Roman" w:eastAsia="宋体" w:cs="Times New Roman"/>
                <w:i w:val="0"/>
                <w:iCs w:val="0"/>
                <w:color w:val="000000"/>
                <w:kern w:val="0"/>
                <w:sz w:val="18"/>
                <w:szCs w:val="18"/>
                <w:u w:val="none"/>
                <w:lang w:val="en-US" w:eastAsia="zh-CN" w:bidi="ar"/>
              </w:rPr>
              <w:t>18</w:t>
            </w:r>
            <w:r>
              <w:rPr>
                <w:rFonts w:hint="eastAsia" w:ascii="宋体" w:hAnsi="宋体" w:eastAsia="宋体" w:cs="宋体"/>
                <w:i w:val="0"/>
                <w:iCs w:val="0"/>
                <w:color w:val="000000"/>
                <w:kern w:val="0"/>
                <w:sz w:val="18"/>
                <w:szCs w:val="18"/>
                <w:u w:val="none"/>
                <w:lang w:val="en-US" w:eastAsia="zh-CN" w:bidi="ar"/>
              </w:rPr>
              <w:t>吨，国六排放燃油车</w:t>
            </w:r>
          </w:p>
        </w:tc>
      </w:tr>
      <w:tr w14:paraId="0CD0499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95" w:hRule="atLeast"/>
        </w:trPr>
        <w:tc>
          <w:tcPr>
            <w:tcW w:w="273" w:type="pct"/>
            <w:tcBorders>
              <w:top w:val="nil"/>
              <w:left w:val="single" w:color="000000" w:sz="8" w:space="0"/>
              <w:bottom w:val="single" w:color="000000" w:sz="8" w:space="0"/>
              <w:right w:val="single" w:color="000000" w:sz="8" w:space="0"/>
            </w:tcBorders>
            <w:noWrap w:val="0"/>
            <w:vAlign w:val="center"/>
          </w:tcPr>
          <w:p w14:paraId="038CBEBA">
            <w:pPr>
              <w:spacing w:line="240" w:lineRule="auto"/>
              <w:ind w:firstLine="0" w:firstLineChars="0"/>
              <w:jc w:val="center"/>
              <w:rPr>
                <w:rFonts w:hint="default" w:ascii="Times New Roman" w:hAnsi="Times New Roman" w:eastAsia="宋体" w:cs="Times New Roman"/>
                <w:i w:val="0"/>
                <w:iCs w:val="0"/>
                <w:color w:val="000000"/>
                <w:sz w:val="18"/>
                <w:szCs w:val="18"/>
                <w:u w:val="none"/>
              </w:rPr>
            </w:pPr>
          </w:p>
        </w:tc>
        <w:tc>
          <w:tcPr>
            <w:tcW w:w="675" w:type="pct"/>
            <w:tcBorders>
              <w:top w:val="nil"/>
              <w:left w:val="nil"/>
              <w:bottom w:val="single" w:color="000000" w:sz="8" w:space="0"/>
              <w:right w:val="single" w:color="000000" w:sz="8" w:space="0"/>
            </w:tcBorders>
            <w:noWrap w:val="0"/>
            <w:vAlign w:val="center"/>
          </w:tcPr>
          <w:p w14:paraId="3208BDDB">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雾炮车</w:t>
            </w:r>
          </w:p>
        </w:tc>
        <w:tc>
          <w:tcPr>
            <w:tcW w:w="398" w:type="pct"/>
            <w:tcBorders>
              <w:top w:val="nil"/>
              <w:left w:val="nil"/>
              <w:bottom w:val="single" w:color="000000" w:sz="8" w:space="0"/>
              <w:right w:val="single" w:color="000000" w:sz="8" w:space="0"/>
            </w:tcBorders>
            <w:noWrap w:val="0"/>
            <w:vAlign w:val="center"/>
          </w:tcPr>
          <w:p w14:paraId="2BBCA733">
            <w:pPr>
              <w:spacing w:line="240" w:lineRule="auto"/>
              <w:ind w:firstLine="0" w:firstLineChars="0"/>
              <w:jc w:val="center"/>
              <w:rPr>
                <w:rFonts w:hint="default" w:ascii="Times New Roman" w:hAnsi="Times New Roman" w:eastAsia="宋体" w:cs="Times New Roman"/>
                <w:i w:val="0"/>
                <w:iCs w:val="0"/>
                <w:color w:val="000000"/>
                <w:sz w:val="18"/>
                <w:szCs w:val="18"/>
                <w:u w:val="none"/>
              </w:rPr>
            </w:pPr>
          </w:p>
        </w:tc>
        <w:tc>
          <w:tcPr>
            <w:tcW w:w="398" w:type="pct"/>
            <w:tcBorders>
              <w:top w:val="nil"/>
              <w:left w:val="nil"/>
              <w:bottom w:val="single" w:color="000000" w:sz="8" w:space="0"/>
              <w:right w:val="single" w:color="000000" w:sz="8" w:space="0"/>
            </w:tcBorders>
            <w:noWrap w:val="0"/>
            <w:vAlign w:val="center"/>
          </w:tcPr>
          <w:p w14:paraId="53BC7FA9">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color w:val="000000"/>
                <w:kern w:val="0"/>
                <w:sz w:val="18"/>
                <w:szCs w:val="18"/>
                <w:u w:val="none"/>
                <w:lang w:val="en-US" w:eastAsia="zh-CN" w:bidi="ar"/>
              </w:rPr>
              <w:t>146.4</w:t>
            </w:r>
          </w:p>
        </w:tc>
        <w:tc>
          <w:tcPr>
            <w:tcW w:w="398" w:type="pct"/>
            <w:tcBorders>
              <w:top w:val="nil"/>
              <w:left w:val="nil"/>
              <w:bottom w:val="single" w:color="000000" w:sz="8" w:space="0"/>
              <w:right w:val="single" w:color="000000" w:sz="8" w:space="0"/>
            </w:tcBorders>
            <w:noWrap w:val="0"/>
            <w:vAlign w:val="center"/>
          </w:tcPr>
          <w:p w14:paraId="52A14562">
            <w:pPr>
              <w:spacing w:line="240" w:lineRule="auto"/>
              <w:ind w:firstLine="0" w:firstLineChars="0"/>
              <w:jc w:val="center"/>
              <w:rPr>
                <w:rFonts w:hint="default" w:ascii="Times New Roman" w:hAnsi="Times New Roman" w:eastAsia="宋体" w:cs="Times New Roman"/>
                <w:i w:val="0"/>
                <w:iCs w:val="0"/>
                <w:color w:val="000000"/>
                <w:sz w:val="18"/>
                <w:szCs w:val="18"/>
                <w:u w:val="none"/>
              </w:rPr>
            </w:pPr>
          </w:p>
        </w:tc>
        <w:tc>
          <w:tcPr>
            <w:tcW w:w="346" w:type="pct"/>
            <w:tcBorders>
              <w:top w:val="nil"/>
              <w:left w:val="nil"/>
              <w:bottom w:val="single" w:color="000000" w:sz="8" w:space="0"/>
              <w:right w:val="single" w:color="000000" w:sz="8" w:space="0"/>
            </w:tcBorders>
            <w:noWrap w:val="0"/>
            <w:vAlign w:val="center"/>
          </w:tcPr>
          <w:p w14:paraId="38E0984A">
            <w:pPr>
              <w:spacing w:line="240" w:lineRule="auto"/>
              <w:ind w:firstLine="0" w:firstLineChars="0"/>
              <w:jc w:val="center"/>
              <w:rPr>
                <w:rFonts w:hint="default" w:ascii="Times New Roman" w:hAnsi="Times New Roman" w:eastAsia="宋体" w:cs="Times New Roman"/>
                <w:i w:val="0"/>
                <w:iCs w:val="0"/>
                <w:color w:val="000000"/>
                <w:sz w:val="18"/>
                <w:szCs w:val="18"/>
                <w:u w:val="none"/>
              </w:rPr>
            </w:pPr>
          </w:p>
        </w:tc>
        <w:tc>
          <w:tcPr>
            <w:tcW w:w="326" w:type="pct"/>
            <w:tcBorders>
              <w:top w:val="nil"/>
              <w:left w:val="nil"/>
              <w:bottom w:val="single" w:color="000000" w:sz="8" w:space="0"/>
              <w:right w:val="single" w:color="000000" w:sz="8" w:space="0"/>
            </w:tcBorders>
            <w:noWrap w:val="0"/>
            <w:vAlign w:val="center"/>
          </w:tcPr>
          <w:p w14:paraId="7D278EE3">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color w:val="000000"/>
                <w:kern w:val="0"/>
                <w:sz w:val="18"/>
                <w:szCs w:val="18"/>
                <w:u w:val="none"/>
                <w:lang w:val="en-US" w:eastAsia="zh-CN" w:bidi="ar"/>
              </w:rPr>
              <w:t>146.4</w:t>
            </w:r>
          </w:p>
        </w:tc>
        <w:tc>
          <w:tcPr>
            <w:tcW w:w="148" w:type="pct"/>
            <w:tcBorders>
              <w:top w:val="nil"/>
              <w:left w:val="nil"/>
              <w:bottom w:val="single" w:color="000000" w:sz="8" w:space="0"/>
              <w:right w:val="single" w:color="000000" w:sz="8" w:space="0"/>
            </w:tcBorders>
            <w:noWrap w:val="0"/>
            <w:vAlign w:val="center"/>
          </w:tcPr>
          <w:p w14:paraId="460455C5">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辆</w:t>
            </w:r>
          </w:p>
        </w:tc>
        <w:tc>
          <w:tcPr>
            <w:tcW w:w="211" w:type="pct"/>
            <w:tcBorders>
              <w:top w:val="nil"/>
              <w:left w:val="nil"/>
              <w:bottom w:val="single" w:color="000000" w:sz="8" w:space="0"/>
              <w:right w:val="single" w:color="000000" w:sz="8" w:space="0"/>
            </w:tcBorders>
            <w:noWrap w:val="0"/>
            <w:vAlign w:val="center"/>
          </w:tcPr>
          <w:p w14:paraId="475AD3BC">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color w:val="000000"/>
                <w:kern w:val="0"/>
                <w:sz w:val="18"/>
                <w:szCs w:val="18"/>
                <w:u w:val="none"/>
                <w:lang w:val="en-US" w:eastAsia="zh-CN" w:bidi="ar"/>
              </w:rPr>
              <w:t>3</w:t>
            </w:r>
          </w:p>
        </w:tc>
        <w:tc>
          <w:tcPr>
            <w:tcW w:w="478" w:type="pct"/>
            <w:tcBorders>
              <w:top w:val="nil"/>
              <w:left w:val="nil"/>
              <w:bottom w:val="single" w:color="000000" w:sz="8" w:space="0"/>
              <w:right w:val="single" w:color="000000" w:sz="8" w:space="0"/>
            </w:tcBorders>
            <w:noWrap w:val="0"/>
            <w:vAlign w:val="center"/>
          </w:tcPr>
          <w:p w14:paraId="1B3532C2">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20"/>
                <w:szCs w:val="20"/>
                <w:u w:val="none"/>
              </w:rPr>
            </w:pPr>
            <w:r>
              <w:rPr>
                <w:rFonts w:hint="default" w:ascii="Times New Roman" w:hAnsi="Times New Roman" w:eastAsia="宋体" w:cs="Times New Roman"/>
                <w:i w:val="0"/>
                <w:iCs w:val="0"/>
                <w:color w:val="000000"/>
                <w:kern w:val="0"/>
                <w:sz w:val="20"/>
                <w:szCs w:val="20"/>
                <w:u w:val="none"/>
                <w:lang w:val="en-US" w:eastAsia="zh-CN" w:bidi="ar"/>
              </w:rPr>
              <w:t>488000</w:t>
            </w:r>
          </w:p>
        </w:tc>
        <w:tc>
          <w:tcPr>
            <w:tcW w:w="329" w:type="pct"/>
            <w:tcBorders>
              <w:top w:val="nil"/>
              <w:left w:val="nil"/>
              <w:bottom w:val="single" w:color="000000" w:sz="8" w:space="0"/>
              <w:right w:val="single" w:color="000000" w:sz="8" w:space="0"/>
            </w:tcBorders>
            <w:noWrap w:val="0"/>
            <w:vAlign w:val="center"/>
          </w:tcPr>
          <w:p w14:paraId="362231B3">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b/>
                <w:bCs/>
                <w:i w:val="0"/>
                <w:iCs w:val="0"/>
                <w:color w:val="000000"/>
                <w:sz w:val="18"/>
                <w:szCs w:val="18"/>
                <w:u w:val="none"/>
              </w:rPr>
            </w:pPr>
            <w:r>
              <w:rPr>
                <w:rFonts w:hint="default" w:ascii="Times New Roman" w:hAnsi="Times New Roman" w:eastAsia="宋体" w:cs="Times New Roman"/>
                <w:b/>
                <w:bCs/>
                <w:i w:val="0"/>
                <w:iCs w:val="0"/>
                <w:color w:val="000000"/>
                <w:kern w:val="0"/>
                <w:sz w:val="18"/>
                <w:szCs w:val="18"/>
                <w:u w:val="none"/>
                <w:lang w:val="en-US" w:eastAsia="zh-CN" w:bidi="ar"/>
              </w:rPr>
              <w:t>1.44%</w:t>
            </w:r>
          </w:p>
        </w:tc>
        <w:tc>
          <w:tcPr>
            <w:tcW w:w="1013" w:type="pct"/>
            <w:tcBorders>
              <w:top w:val="nil"/>
              <w:left w:val="nil"/>
              <w:bottom w:val="single" w:color="000000" w:sz="8" w:space="0"/>
              <w:right w:val="single" w:color="000000" w:sz="8" w:space="0"/>
            </w:tcBorders>
            <w:noWrap w:val="0"/>
            <w:vAlign w:val="center"/>
          </w:tcPr>
          <w:p w14:paraId="12B018B8">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总质量</w:t>
            </w:r>
            <w:r>
              <w:rPr>
                <w:rFonts w:hint="default" w:ascii="Times New Roman" w:hAnsi="Times New Roman" w:eastAsia="宋体" w:cs="Times New Roman"/>
                <w:i w:val="0"/>
                <w:iCs w:val="0"/>
                <w:color w:val="000000"/>
                <w:kern w:val="0"/>
                <w:sz w:val="18"/>
                <w:szCs w:val="18"/>
                <w:u w:val="none"/>
                <w:lang w:val="en-US" w:eastAsia="zh-CN" w:bidi="ar"/>
              </w:rPr>
              <w:t>18</w:t>
            </w:r>
            <w:r>
              <w:rPr>
                <w:rFonts w:hint="eastAsia" w:ascii="宋体" w:hAnsi="宋体" w:eastAsia="宋体" w:cs="宋体"/>
                <w:i w:val="0"/>
                <w:iCs w:val="0"/>
                <w:color w:val="000000"/>
                <w:kern w:val="0"/>
                <w:sz w:val="18"/>
                <w:szCs w:val="18"/>
                <w:u w:val="none"/>
                <w:lang w:val="en-US" w:eastAsia="zh-CN" w:bidi="ar"/>
              </w:rPr>
              <w:t>吨，国六排放燃油车，水箱容积</w:t>
            </w:r>
            <w:r>
              <w:rPr>
                <w:rFonts w:hint="default" w:ascii="Times New Roman" w:hAnsi="Times New Roman" w:eastAsia="宋体" w:cs="Times New Roman"/>
                <w:i w:val="0"/>
                <w:iCs w:val="0"/>
                <w:color w:val="000000"/>
                <w:kern w:val="0"/>
                <w:sz w:val="18"/>
                <w:szCs w:val="18"/>
                <w:u w:val="none"/>
                <w:lang w:val="en-US" w:eastAsia="zh-CN" w:bidi="ar"/>
              </w:rPr>
              <w:t>≥8</w:t>
            </w:r>
            <w:r>
              <w:rPr>
                <w:rFonts w:hint="eastAsia" w:ascii="宋体" w:hAnsi="宋体" w:eastAsia="宋体" w:cs="宋体"/>
                <w:i w:val="0"/>
                <w:iCs w:val="0"/>
                <w:color w:val="000000"/>
                <w:kern w:val="0"/>
                <w:sz w:val="18"/>
                <w:szCs w:val="18"/>
                <w:u w:val="none"/>
                <w:lang w:val="en-US" w:eastAsia="zh-CN" w:bidi="ar"/>
              </w:rPr>
              <w:t>立方</w:t>
            </w:r>
          </w:p>
        </w:tc>
      </w:tr>
      <w:tr w14:paraId="1AFA8C9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71" w:hRule="atLeast"/>
        </w:trPr>
        <w:tc>
          <w:tcPr>
            <w:tcW w:w="273" w:type="pct"/>
            <w:tcBorders>
              <w:top w:val="nil"/>
              <w:left w:val="single" w:color="000000" w:sz="8" w:space="0"/>
              <w:bottom w:val="single" w:color="000000" w:sz="8" w:space="0"/>
              <w:right w:val="single" w:color="000000" w:sz="8" w:space="0"/>
            </w:tcBorders>
            <w:noWrap w:val="0"/>
            <w:vAlign w:val="center"/>
          </w:tcPr>
          <w:p w14:paraId="29858CAA">
            <w:pPr>
              <w:spacing w:line="240" w:lineRule="auto"/>
              <w:ind w:firstLine="0" w:firstLineChars="0"/>
              <w:jc w:val="center"/>
              <w:rPr>
                <w:rFonts w:hint="default" w:ascii="Times New Roman" w:hAnsi="Times New Roman" w:eastAsia="宋体" w:cs="Times New Roman"/>
                <w:i w:val="0"/>
                <w:iCs w:val="0"/>
                <w:color w:val="000000"/>
                <w:sz w:val="18"/>
                <w:szCs w:val="18"/>
                <w:u w:val="none"/>
              </w:rPr>
            </w:pPr>
          </w:p>
        </w:tc>
        <w:tc>
          <w:tcPr>
            <w:tcW w:w="675" w:type="pct"/>
            <w:tcBorders>
              <w:top w:val="nil"/>
              <w:left w:val="nil"/>
              <w:bottom w:val="single" w:color="000000" w:sz="8" w:space="0"/>
              <w:right w:val="single" w:color="000000" w:sz="8" w:space="0"/>
            </w:tcBorders>
            <w:noWrap w:val="0"/>
            <w:vAlign w:val="center"/>
          </w:tcPr>
          <w:p w14:paraId="7F0CF535">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洒水车</w:t>
            </w:r>
          </w:p>
        </w:tc>
        <w:tc>
          <w:tcPr>
            <w:tcW w:w="398" w:type="pct"/>
            <w:tcBorders>
              <w:top w:val="nil"/>
              <w:left w:val="nil"/>
              <w:bottom w:val="single" w:color="000000" w:sz="8" w:space="0"/>
              <w:right w:val="single" w:color="000000" w:sz="8" w:space="0"/>
            </w:tcBorders>
            <w:noWrap w:val="0"/>
            <w:vAlign w:val="center"/>
          </w:tcPr>
          <w:p w14:paraId="552C4BC1">
            <w:pPr>
              <w:spacing w:line="240" w:lineRule="auto"/>
              <w:ind w:firstLine="0" w:firstLineChars="0"/>
              <w:jc w:val="center"/>
              <w:rPr>
                <w:rFonts w:hint="default" w:ascii="Times New Roman" w:hAnsi="Times New Roman" w:eastAsia="宋体" w:cs="Times New Roman"/>
                <w:i w:val="0"/>
                <w:iCs w:val="0"/>
                <w:color w:val="000000"/>
                <w:sz w:val="18"/>
                <w:szCs w:val="18"/>
                <w:u w:val="none"/>
              </w:rPr>
            </w:pPr>
          </w:p>
        </w:tc>
        <w:tc>
          <w:tcPr>
            <w:tcW w:w="398" w:type="pct"/>
            <w:tcBorders>
              <w:top w:val="nil"/>
              <w:left w:val="nil"/>
              <w:bottom w:val="single" w:color="000000" w:sz="8" w:space="0"/>
              <w:right w:val="single" w:color="000000" w:sz="8" w:space="0"/>
            </w:tcBorders>
            <w:noWrap w:val="0"/>
            <w:vAlign w:val="center"/>
          </w:tcPr>
          <w:p w14:paraId="301A6E5E">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color w:val="000000"/>
                <w:kern w:val="0"/>
                <w:sz w:val="18"/>
                <w:szCs w:val="18"/>
                <w:u w:val="none"/>
                <w:lang w:val="en-US" w:eastAsia="zh-CN" w:bidi="ar"/>
              </w:rPr>
              <w:t>112.8</w:t>
            </w:r>
          </w:p>
        </w:tc>
        <w:tc>
          <w:tcPr>
            <w:tcW w:w="398" w:type="pct"/>
            <w:tcBorders>
              <w:top w:val="nil"/>
              <w:left w:val="nil"/>
              <w:bottom w:val="single" w:color="000000" w:sz="8" w:space="0"/>
              <w:right w:val="single" w:color="000000" w:sz="8" w:space="0"/>
            </w:tcBorders>
            <w:noWrap w:val="0"/>
            <w:vAlign w:val="center"/>
          </w:tcPr>
          <w:p w14:paraId="38472A96">
            <w:pPr>
              <w:spacing w:line="240" w:lineRule="auto"/>
              <w:ind w:firstLine="0" w:firstLineChars="0"/>
              <w:jc w:val="center"/>
              <w:rPr>
                <w:rFonts w:hint="default" w:ascii="Times New Roman" w:hAnsi="Times New Roman" w:eastAsia="宋体" w:cs="Times New Roman"/>
                <w:i w:val="0"/>
                <w:iCs w:val="0"/>
                <w:color w:val="000000"/>
                <w:sz w:val="18"/>
                <w:szCs w:val="18"/>
                <w:u w:val="none"/>
              </w:rPr>
            </w:pPr>
          </w:p>
        </w:tc>
        <w:tc>
          <w:tcPr>
            <w:tcW w:w="346" w:type="pct"/>
            <w:tcBorders>
              <w:top w:val="nil"/>
              <w:left w:val="nil"/>
              <w:bottom w:val="single" w:color="000000" w:sz="8" w:space="0"/>
              <w:right w:val="single" w:color="000000" w:sz="8" w:space="0"/>
            </w:tcBorders>
            <w:noWrap w:val="0"/>
            <w:vAlign w:val="center"/>
          </w:tcPr>
          <w:p w14:paraId="31B811B1">
            <w:pPr>
              <w:spacing w:line="240" w:lineRule="auto"/>
              <w:ind w:firstLine="0" w:firstLineChars="0"/>
              <w:jc w:val="center"/>
              <w:rPr>
                <w:rFonts w:hint="default" w:ascii="Times New Roman" w:hAnsi="Times New Roman" w:eastAsia="宋体" w:cs="Times New Roman"/>
                <w:i w:val="0"/>
                <w:iCs w:val="0"/>
                <w:color w:val="000000"/>
                <w:sz w:val="18"/>
                <w:szCs w:val="18"/>
                <w:u w:val="none"/>
              </w:rPr>
            </w:pPr>
          </w:p>
        </w:tc>
        <w:tc>
          <w:tcPr>
            <w:tcW w:w="326" w:type="pct"/>
            <w:tcBorders>
              <w:top w:val="nil"/>
              <w:left w:val="nil"/>
              <w:bottom w:val="single" w:color="000000" w:sz="8" w:space="0"/>
              <w:right w:val="single" w:color="000000" w:sz="8" w:space="0"/>
            </w:tcBorders>
            <w:noWrap w:val="0"/>
            <w:vAlign w:val="center"/>
          </w:tcPr>
          <w:p w14:paraId="1A8E48E3">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color w:val="000000"/>
                <w:kern w:val="0"/>
                <w:sz w:val="18"/>
                <w:szCs w:val="18"/>
                <w:u w:val="none"/>
                <w:lang w:val="en-US" w:eastAsia="zh-CN" w:bidi="ar"/>
              </w:rPr>
              <w:t>112.8</w:t>
            </w:r>
          </w:p>
        </w:tc>
        <w:tc>
          <w:tcPr>
            <w:tcW w:w="148" w:type="pct"/>
            <w:tcBorders>
              <w:top w:val="nil"/>
              <w:left w:val="nil"/>
              <w:bottom w:val="single" w:color="000000" w:sz="8" w:space="0"/>
              <w:right w:val="single" w:color="000000" w:sz="8" w:space="0"/>
            </w:tcBorders>
            <w:noWrap w:val="0"/>
            <w:vAlign w:val="center"/>
          </w:tcPr>
          <w:p w14:paraId="1E10ED27">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辆</w:t>
            </w:r>
          </w:p>
        </w:tc>
        <w:tc>
          <w:tcPr>
            <w:tcW w:w="211" w:type="pct"/>
            <w:tcBorders>
              <w:top w:val="nil"/>
              <w:left w:val="nil"/>
              <w:bottom w:val="single" w:color="000000" w:sz="8" w:space="0"/>
              <w:right w:val="single" w:color="000000" w:sz="8" w:space="0"/>
            </w:tcBorders>
            <w:noWrap w:val="0"/>
            <w:vAlign w:val="center"/>
          </w:tcPr>
          <w:p w14:paraId="35C4596B">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color w:val="000000"/>
                <w:kern w:val="0"/>
                <w:sz w:val="18"/>
                <w:szCs w:val="18"/>
                <w:u w:val="none"/>
                <w:lang w:val="en-US" w:eastAsia="zh-CN" w:bidi="ar"/>
              </w:rPr>
              <w:t>4</w:t>
            </w:r>
          </w:p>
        </w:tc>
        <w:tc>
          <w:tcPr>
            <w:tcW w:w="478" w:type="pct"/>
            <w:tcBorders>
              <w:top w:val="nil"/>
              <w:left w:val="nil"/>
              <w:bottom w:val="single" w:color="000000" w:sz="8" w:space="0"/>
              <w:right w:val="single" w:color="000000" w:sz="8" w:space="0"/>
            </w:tcBorders>
            <w:noWrap w:val="0"/>
            <w:vAlign w:val="center"/>
          </w:tcPr>
          <w:p w14:paraId="7B46C96E">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20"/>
                <w:szCs w:val="20"/>
                <w:u w:val="none"/>
              </w:rPr>
            </w:pPr>
            <w:r>
              <w:rPr>
                <w:rFonts w:hint="default" w:ascii="Times New Roman" w:hAnsi="Times New Roman" w:eastAsia="宋体" w:cs="Times New Roman"/>
                <w:i w:val="0"/>
                <w:iCs w:val="0"/>
                <w:color w:val="000000"/>
                <w:kern w:val="0"/>
                <w:sz w:val="20"/>
                <w:szCs w:val="20"/>
                <w:u w:val="none"/>
                <w:lang w:val="en-US" w:eastAsia="zh-CN" w:bidi="ar"/>
              </w:rPr>
              <w:t>282000</w:t>
            </w:r>
          </w:p>
        </w:tc>
        <w:tc>
          <w:tcPr>
            <w:tcW w:w="329" w:type="pct"/>
            <w:tcBorders>
              <w:top w:val="nil"/>
              <w:left w:val="nil"/>
              <w:bottom w:val="single" w:color="000000" w:sz="8" w:space="0"/>
              <w:right w:val="single" w:color="000000" w:sz="8" w:space="0"/>
            </w:tcBorders>
            <w:noWrap w:val="0"/>
            <w:vAlign w:val="center"/>
          </w:tcPr>
          <w:p w14:paraId="19023760">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b/>
                <w:bCs/>
                <w:i w:val="0"/>
                <w:iCs w:val="0"/>
                <w:color w:val="000000"/>
                <w:sz w:val="18"/>
                <w:szCs w:val="18"/>
                <w:u w:val="none"/>
              </w:rPr>
            </w:pPr>
            <w:r>
              <w:rPr>
                <w:rFonts w:hint="default" w:ascii="Times New Roman" w:hAnsi="Times New Roman" w:eastAsia="宋体" w:cs="Times New Roman"/>
                <w:b/>
                <w:bCs/>
                <w:i w:val="0"/>
                <w:iCs w:val="0"/>
                <w:color w:val="000000"/>
                <w:kern w:val="0"/>
                <w:sz w:val="18"/>
                <w:szCs w:val="18"/>
                <w:u w:val="none"/>
                <w:lang w:val="en-US" w:eastAsia="zh-CN" w:bidi="ar"/>
              </w:rPr>
              <w:t>1.11%</w:t>
            </w:r>
          </w:p>
        </w:tc>
        <w:tc>
          <w:tcPr>
            <w:tcW w:w="1013" w:type="pct"/>
            <w:tcBorders>
              <w:top w:val="nil"/>
              <w:left w:val="nil"/>
              <w:bottom w:val="single" w:color="000000" w:sz="8" w:space="0"/>
              <w:right w:val="single" w:color="000000" w:sz="8" w:space="0"/>
            </w:tcBorders>
            <w:noWrap w:val="0"/>
            <w:vAlign w:val="center"/>
          </w:tcPr>
          <w:p w14:paraId="109041F4">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总质量</w:t>
            </w:r>
            <w:r>
              <w:rPr>
                <w:rFonts w:hint="default" w:ascii="Times New Roman" w:hAnsi="Times New Roman" w:eastAsia="宋体" w:cs="Times New Roman"/>
                <w:i w:val="0"/>
                <w:iCs w:val="0"/>
                <w:color w:val="000000"/>
                <w:kern w:val="0"/>
                <w:sz w:val="18"/>
                <w:szCs w:val="18"/>
                <w:u w:val="none"/>
                <w:lang w:val="en-US" w:eastAsia="zh-CN" w:bidi="ar"/>
              </w:rPr>
              <w:t>11995kg</w:t>
            </w:r>
            <w:r>
              <w:rPr>
                <w:rFonts w:hint="eastAsia" w:ascii="宋体" w:hAnsi="宋体" w:eastAsia="宋体" w:cs="宋体"/>
                <w:i w:val="0"/>
                <w:iCs w:val="0"/>
                <w:color w:val="000000"/>
                <w:kern w:val="0"/>
                <w:sz w:val="18"/>
                <w:szCs w:val="18"/>
                <w:u w:val="none"/>
                <w:lang w:val="en-US" w:eastAsia="zh-CN" w:bidi="ar"/>
              </w:rPr>
              <w:t>，罐体总容量</w:t>
            </w:r>
            <w:r>
              <w:rPr>
                <w:rFonts w:hint="default" w:ascii="Times New Roman" w:hAnsi="Times New Roman" w:eastAsia="宋体" w:cs="Times New Roman"/>
                <w:i w:val="0"/>
                <w:iCs w:val="0"/>
                <w:color w:val="000000"/>
                <w:kern w:val="0"/>
                <w:sz w:val="18"/>
                <w:szCs w:val="18"/>
                <w:u w:val="none"/>
                <w:lang w:val="en-US" w:eastAsia="zh-CN" w:bidi="ar"/>
              </w:rPr>
              <w:t>≥7.5m³</w:t>
            </w:r>
            <w:r>
              <w:rPr>
                <w:rFonts w:hint="eastAsia" w:ascii="宋体" w:hAnsi="宋体" w:eastAsia="宋体" w:cs="宋体"/>
                <w:i w:val="0"/>
                <w:iCs w:val="0"/>
                <w:color w:val="000000"/>
                <w:kern w:val="0"/>
                <w:sz w:val="18"/>
                <w:szCs w:val="18"/>
                <w:u w:val="none"/>
                <w:lang w:val="en-US" w:eastAsia="zh-CN" w:bidi="ar"/>
              </w:rPr>
              <w:t>，国六排放燃油车</w:t>
            </w:r>
          </w:p>
        </w:tc>
      </w:tr>
      <w:tr w14:paraId="169D2A2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3" w:hRule="atLeast"/>
        </w:trPr>
        <w:tc>
          <w:tcPr>
            <w:tcW w:w="273" w:type="pct"/>
            <w:tcBorders>
              <w:top w:val="nil"/>
              <w:left w:val="single" w:color="000000" w:sz="8" w:space="0"/>
              <w:bottom w:val="single" w:color="000000" w:sz="8" w:space="0"/>
              <w:right w:val="single" w:color="000000" w:sz="8" w:space="0"/>
            </w:tcBorders>
            <w:noWrap w:val="0"/>
            <w:vAlign w:val="center"/>
          </w:tcPr>
          <w:p w14:paraId="4DB02E83">
            <w:pPr>
              <w:spacing w:line="240" w:lineRule="auto"/>
              <w:ind w:firstLine="0" w:firstLineChars="0"/>
              <w:jc w:val="center"/>
              <w:rPr>
                <w:rFonts w:hint="default" w:ascii="Times New Roman" w:hAnsi="Times New Roman" w:eastAsia="宋体" w:cs="Times New Roman"/>
                <w:i w:val="0"/>
                <w:iCs w:val="0"/>
                <w:color w:val="000000"/>
                <w:sz w:val="18"/>
                <w:szCs w:val="18"/>
                <w:u w:val="none"/>
              </w:rPr>
            </w:pPr>
          </w:p>
        </w:tc>
        <w:tc>
          <w:tcPr>
            <w:tcW w:w="675" w:type="pct"/>
            <w:tcBorders>
              <w:top w:val="nil"/>
              <w:left w:val="nil"/>
              <w:bottom w:val="single" w:color="000000" w:sz="8" w:space="0"/>
              <w:right w:val="single" w:color="000000" w:sz="8" w:space="0"/>
            </w:tcBorders>
            <w:noWrap w:val="0"/>
            <w:vAlign w:val="center"/>
          </w:tcPr>
          <w:p w14:paraId="6D739CE6">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垃圾压缩设备</w:t>
            </w:r>
          </w:p>
        </w:tc>
        <w:tc>
          <w:tcPr>
            <w:tcW w:w="398" w:type="pct"/>
            <w:tcBorders>
              <w:top w:val="nil"/>
              <w:left w:val="nil"/>
              <w:bottom w:val="single" w:color="000000" w:sz="8" w:space="0"/>
              <w:right w:val="single" w:color="000000" w:sz="8" w:space="0"/>
            </w:tcBorders>
            <w:noWrap w:val="0"/>
            <w:vAlign w:val="center"/>
          </w:tcPr>
          <w:p w14:paraId="2FF44DEC">
            <w:pPr>
              <w:spacing w:line="240" w:lineRule="auto"/>
              <w:ind w:firstLine="0" w:firstLineChars="0"/>
              <w:jc w:val="center"/>
              <w:rPr>
                <w:rFonts w:hint="default" w:ascii="Times New Roman" w:hAnsi="Times New Roman" w:eastAsia="宋体" w:cs="Times New Roman"/>
                <w:i w:val="0"/>
                <w:iCs w:val="0"/>
                <w:color w:val="000000"/>
                <w:sz w:val="18"/>
                <w:szCs w:val="18"/>
                <w:u w:val="none"/>
              </w:rPr>
            </w:pPr>
          </w:p>
        </w:tc>
        <w:tc>
          <w:tcPr>
            <w:tcW w:w="398" w:type="pct"/>
            <w:tcBorders>
              <w:top w:val="nil"/>
              <w:left w:val="nil"/>
              <w:bottom w:val="single" w:color="000000" w:sz="8" w:space="0"/>
              <w:right w:val="single" w:color="000000" w:sz="8" w:space="0"/>
            </w:tcBorders>
            <w:noWrap w:val="0"/>
            <w:vAlign w:val="center"/>
          </w:tcPr>
          <w:p w14:paraId="1700E664">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color w:val="000000"/>
                <w:kern w:val="0"/>
                <w:sz w:val="18"/>
                <w:szCs w:val="18"/>
                <w:u w:val="none"/>
                <w:lang w:val="en-US" w:eastAsia="zh-CN" w:bidi="ar"/>
              </w:rPr>
              <w:t>761</w:t>
            </w:r>
          </w:p>
        </w:tc>
        <w:tc>
          <w:tcPr>
            <w:tcW w:w="398" w:type="pct"/>
            <w:tcBorders>
              <w:top w:val="nil"/>
              <w:left w:val="nil"/>
              <w:bottom w:val="single" w:color="000000" w:sz="8" w:space="0"/>
              <w:right w:val="single" w:color="000000" w:sz="8" w:space="0"/>
            </w:tcBorders>
            <w:noWrap w:val="0"/>
            <w:vAlign w:val="center"/>
          </w:tcPr>
          <w:p w14:paraId="655E5892">
            <w:pPr>
              <w:spacing w:line="240" w:lineRule="auto"/>
              <w:ind w:firstLine="0" w:firstLineChars="0"/>
              <w:jc w:val="center"/>
              <w:rPr>
                <w:rFonts w:hint="default" w:ascii="Times New Roman" w:hAnsi="Times New Roman" w:eastAsia="宋体" w:cs="Times New Roman"/>
                <w:i w:val="0"/>
                <w:iCs w:val="0"/>
                <w:color w:val="000000"/>
                <w:sz w:val="18"/>
                <w:szCs w:val="18"/>
                <w:u w:val="none"/>
              </w:rPr>
            </w:pPr>
          </w:p>
        </w:tc>
        <w:tc>
          <w:tcPr>
            <w:tcW w:w="346" w:type="pct"/>
            <w:tcBorders>
              <w:top w:val="nil"/>
              <w:left w:val="nil"/>
              <w:bottom w:val="single" w:color="000000" w:sz="8" w:space="0"/>
              <w:right w:val="single" w:color="000000" w:sz="8" w:space="0"/>
            </w:tcBorders>
            <w:noWrap w:val="0"/>
            <w:vAlign w:val="center"/>
          </w:tcPr>
          <w:p w14:paraId="323536CF">
            <w:pPr>
              <w:spacing w:line="240" w:lineRule="auto"/>
              <w:ind w:firstLine="0" w:firstLineChars="0"/>
              <w:jc w:val="center"/>
              <w:rPr>
                <w:rFonts w:hint="default" w:ascii="Times New Roman" w:hAnsi="Times New Roman" w:eastAsia="宋体" w:cs="Times New Roman"/>
                <w:i w:val="0"/>
                <w:iCs w:val="0"/>
                <w:color w:val="000000"/>
                <w:sz w:val="18"/>
                <w:szCs w:val="18"/>
                <w:u w:val="none"/>
              </w:rPr>
            </w:pPr>
          </w:p>
        </w:tc>
        <w:tc>
          <w:tcPr>
            <w:tcW w:w="326" w:type="pct"/>
            <w:tcBorders>
              <w:top w:val="nil"/>
              <w:left w:val="nil"/>
              <w:bottom w:val="single" w:color="000000" w:sz="8" w:space="0"/>
              <w:right w:val="single" w:color="000000" w:sz="8" w:space="0"/>
            </w:tcBorders>
            <w:noWrap w:val="0"/>
            <w:vAlign w:val="center"/>
          </w:tcPr>
          <w:p w14:paraId="6087ACDB">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color w:val="000000"/>
                <w:kern w:val="0"/>
                <w:sz w:val="18"/>
                <w:szCs w:val="18"/>
                <w:u w:val="none"/>
                <w:lang w:val="en-US" w:eastAsia="zh-CN" w:bidi="ar"/>
              </w:rPr>
              <w:t>761</w:t>
            </w:r>
          </w:p>
        </w:tc>
        <w:tc>
          <w:tcPr>
            <w:tcW w:w="148" w:type="pct"/>
            <w:tcBorders>
              <w:top w:val="nil"/>
              <w:left w:val="nil"/>
              <w:bottom w:val="single" w:color="000000" w:sz="8" w:space="0"/>
              <w:right w:val="single" w:color="000000" w:sz="8" w:space="0"/>
            </w:tcBorders>
            <w:noWrap w:val="0"/>
            <w:vAlign w:val="center"/>
          </w:tcPr>
          <w:p w14:paraId="227EA88F">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批</w:t>
            </w:r>
          </w:p>
        </w:tc>
        <w:tc>
          <w:tcPr>
            <w:tcW w:w="211" w:type="pct"/>
            <w:tcBorders>
              <w:top w:val="nil"/>
              <w:left w:val="nil"/>
              <w:bottom w:val="single" w:color="000000" w:sz="8" w:space="0"/>
              <w:right w:val="single" w:color="000000" w:sz="8" w:space="0"/>
            </w:tcBorders>
            <w:noWrap w:val="0"/>
            <w:vAlign w:val="center"/>
          </w:tcPr>
          <w:p w14:paraId="2A201ECC">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color w:val="000000"/>
                <w:kern w:val="0"/>
                <w:sz w:val="18"/>
                <w:szCs w:val="18"/>
                <w:u w:val="none"/>
                <w:lang w:val="en-US" w:eastAsia="zh-CN" w:bidi="ar"/>
              </w:rPr>
              <w:t>1</w:t>
            </w:r>
          </w:p>
        </w:tc>
        <w:tc>
          <w:tcPr>
            <w:tcW w:w="478" w:type="pct"/>
            <w:tcBorders>
              <w:top w:val="nil"/>
              <w:left w:val="nil"/>
              <w:bottom w:val="single" w:color="000000" w:sz="8" w:space="0"/>
              <w:right w:val="single" w:color="000000" w:sz="8" w:space="0"/>
            </w:tcBorders>
            <w:noWrap w:val="0"/>
            <w:vAlign w:val="center"/>
          </w:tcPr>
          <w:p w14:paraId="205C8265">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20"/>
                <w:szCs w:val="20"/>
                <w:u w:val="none"/>
              </w:rPr>
            </w:pPr>
            <w:r>
              <w:rPr>
                <w:rFonts w:hint="default" w:ascii="Times New Roman" w:hAnsi="Times New Roman" w:eastAsia="宋体" w:cs="Times New Roman"/>
                <w:i w:val="0"/>
                <w:iCs w:val="0"/>
                <w:color w:val="000000"/>
                <w:kern w:val="0"/>
                <w:sz w:val="20"/>
                <w:szCs w:val="20"/>
                <w:u w:val="none"/>
                <w:lang w:val="en-US" w:eastAsia="zh-CN" w:bidi="ar"/>
              </w:rPr>
              <w:t>7610000</w:t>
            </w:r>
          </w:p>
        </w:tc>
        <w:tc>
          <w:tcPr>
            <w:tcW w:w="329" w:type="pct"/>
            <w:tcBorders>
              <w:top w:val="nil"/>
              <w:left w:val="nil"/>
              <w:bottom w:val="single" w:color="000000" w:sz="8" w:space="0"/>
              <w:right w:val="single" w:color="000000" w:sz="8" w:space="0"/>
            </w:tcBorders>
            <w:noWrap w:val="0"/>
            <w:vAlign w:val="center"/>
          </w:tcPr>
          <w:p w14:paraId="57A2E75F">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b/>
                <w:bCs/>
                <w:i w:val="0"/>
                <w:iCs w:val="0"/>
                <w:color w:val="000000"/>
                <w:sz w:val="18"/>
                <w:szCs w:val="18"/>
                <w:u w:val="none"/>
              </w:rPr>
            </w:pPr>
            <w:r>
              <w:rPr>
                <w:rFonts w:hint="default" w:ascii="Times New Roman" w:hAnsi="Times New Roman" w:eastAsia="宋体" w:cs="Times New Roman"/>
                <w:b/>
                <w:bCs/>
                <w:i w:val="0"/>
                <w:iCs w:val="0"/>
                <w:color w:val="000000"/>
                <w:kern w:val="0"/>
                <w:sz w:val="18"/>
                <w:szCs w:val="18"/>
                <w:u w:val="none"/>
                <w:lang w:val="en-US" w:eastAsia="zh-CN" w:bidi="ar"/>
              </w:rPr>
              <w:t>7.46%</w:t>
            </w:r>
          </w:p>
        </w:tc>
        <w:tc>
          <w:tcPr>
            <w:tcW w:w="1013" w:type="pct"/>
            <w:tcBorders>
              <w:top w:val="nil"/>
              <w:left w:val="nil"/>
              <w:bottom w:val="single" w:color="000000" w:sz="8" w:space="0"/>
              <w:right w:val="single" w:color="000000" w:sz="8" w:space="0"/>
            </w:tcBorders>
            <w:noWrap w:val="0"/>
            <w:vAlign w:val="center"/>
          </w:tcPr>
          <w:p w14:paraId="0A81BCE9">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日处理规模</w:t>
            </w:r>
            <w:r>
              <w:rPr>
                <w:rFonts w:hint="default" w:ascii="Times New Roman" w:hAnsi="Times New Roman" w:eastAsia="宋体" w:cs="Times New Roman"/>
                <w:i w:val="0"/>
                <w:iCs w:val="0"/>
                <w:color w:val="000000"/>
                <w:kern w:val="0"/>
                <w:sz w:val="18"/>
                <w:szCs w:val="18"/>
                <w:u w:val="none"/>
                <w:lang w:val="en-US" w:eastAsia="zh-CN" w:bidi="ar"/>
              </w:rPr>
              <w:t>140</w:t>
            </w:r>
            <w:r>
              <w:rPr>
                <w:rFonts w:hint="eastAsia" w:ascii="宋体" w:hAnsi="宋体" w:eastAsia="宋体" w:cs="宋体"/>
                <w:i w:val="0"/>
                <w:iCs w:val="0"/>
                <w:color w:val="000000"/>
                <w:kern w:val="0"/>
                <w:sz w:val="18"/>
                <w:szCs w:val="18"/>
                <w:u w:val="none"/>
                <w:lang w:val="en-US" w:eastAsia="zh-CN" w:bidi="ar"/>
              </w:rPr>
              <w:t>吨及以上处理能力</w:t>
            </w:r>
          </w:p>
        </w:tc>
      </w:tr>
      <w:tr w14:paraId="43DB5D5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3" w:hRule="atLeast"/>
        </w:trPr>
        <w:tc>
          <w:tcPr>
            <w:tcW w:w="273" w:type="pct"/>
            <w:tcBorders>
              <w:top w:val="nil"/>
              <w:left w:val="single" w:color="000000" w:sz="8" w:space="0"/>
              <w:bottom w:val="single" w:color="000000" w:sz="8" w:space="0"/>
              <w:right w:val="single" w:color="000000" w:sz="8" w:space="0"/>
            </w:tcBorders>
            <w:noWrap w:val="0"/>
            <w:vAlign w:val="center"/>
          </w:tcPr>
          <w:p w14:paraId="28880C20">
            <w:pPr>
              <w:spacing w:line="240" w:lineRule="auto"/>
              <w:ind w:firstLine="0" w:firstLineChars="0"/>
              <w:jc w:val="center"/>
              <w:rPr>
                <w:rFonts w:hint="default" w:ascii="Times New Roman" w:hAnsi="Times New Roman" w:eastAsia="宋体" w:cs="Times New Roman"/>
                <w:i w:val="0"/>
                <w:iCs w:val="0"/>
                <w:color w:val="000000"/>
                <w:sz w:val="18"/>
                <w:szCs w:val="18"/>
                <w:u w:val="none"/>
              </w:rPr>
            </w:pPr>
          </w:p>
        </w:tc>
        <w:tc>
          <w:tcPr>
            <w:tcW w:w="675" w:type="pct"/>
            <w:tcBorders>
              <w:top w:val="nil"/>
              <w:left w:val="nil"/>
              <w:bottom w:val="single" w:color="000000" w:sz="8" w:space="0"/>
              <w:right w:val="single" w:color="000000" w:sz="8" w:space="0"/>
            </w:tcBorders>
            <w:noWrap w:val="0"/>
            <w:vAlign w:val="center"/>
          </w:tcPr>
          <w:p w14:paraId="69FA07C6">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垃圾称重设备</w:t>
            </w:r>
          </w:p>
        </w:tc>
        <w:tc>
          <w:tcPr>
            <w:tcW w:w="398" w:type="pct"/>
            <w:tcBorders>
              <w:top w:val="nil"/>
              <w:left w:val="nil"/>
              <w:bottom w:val="single" w:color="000000" w:sz="8" w:space="0"/>
              <w:right w:val="single" w:color="000000" w:sz="8" w:space="0"/>
            </w:tcBorders>
            <w:noWrap w:val="0"/>
            <w:vAlign w:val="center"/>
          </w:tcPr>
          <w:p w14:paraId="0A45A5A8">
            <w:pPr>
              <w:spacing w:line="240" w:lineRule="auto"/>
              <w:ind w:firstLine="0" w:firstLineChars="0"/>
              <w:jc w:val="center"/>
              <w:rPr>
                <w:rFonts w:hint="default" w:ascii="Times New Roman" w:hAnsi="Times New Roman" w:eastAsia="宋体" w:cs="Times New Roman"/>
                <w:i w:val="0"/>
                <w:iCs w:val="0"/>
                <w:color w:val="000000"/>
                <w:sz w:val="18"/>
                <w:szCs w:val="18"/>
                <w:u w:val="none"/>
              </w:rPr>
            </w:pPr>
          </w:p>
        </w:tc>
        <w:tc>
          <w:tcPr>
            <w:tcW w:w="398" w:type="pct"/>
            <w:tcBorders>
              <w:top w:val="nil"/>
              <w:left w:val="nil"/>
              <w:bottom w:val="single" w:color="000000" w:sz="8" w:space="0"/>
              <w:right w:val="single" w:color="000000" w:sz="8" w:space="0"/>
            </w:tcBorders>
            <w:noWrap w:val="0"/>
            <w:vAlign w:val="center"/>
          </w:tcPr>
          <w:p w14:paraId="44AC5E06">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color w:val="000000"/>
                <w:kern w:val="0"/>
                <w:sz w:val="18"/>
                <w:szCs w:val="18"/>
                <w:u w:val="none"/>
                <w:lang w:val="en-US" w:eastAsia="zh-CN" w:bidi="ar"/>
              </w:rPr>
              <w:t>27</w:t>
            </w:r>
          </w:p>
        </w:tc>
        <w:tc>
          <w:tcPr>
            <w:tcW w:w="398" w:type="pct"/>
            <w:tcBorders>
              <w:top w:val="nil"/>
              <w:left w:val="nil"/>
              <w:bottom w:val="single" w:color="000000" w:sz="8" w:space="0"/>
              <w:right w:val="single" w:color="000000" w:sz="8" w:space="0"/>
            </w:tcBorders>
            <w:noWrap w:val="0"/>
            <w:vAlign w:val="center"/>
          </w:tcPr>
          <w:p w14:paraId="439F96D9">
            <w:pPr>
              <w:spacing w:line="240" w:lineRule="auto"/>
              <w:ind w:firstLine="0" w:firstLineChars="0"/>
              <w:jc w:val="center"/>
              <w:rPr>
                <w:rFonts w:hint="default" w:ascii="Times New Roman" w:hAnsi="Times New Roman" w:eastAsia="宋体" w:cs="Times New Roman"/>
                <w:i w:val="0"/>
                <w:iCs w:val="0"/>
                <w:color w:val="000000"/>
                <w:sz w:val="18"/>
                <w:szCs w:val="18"/>
                <w:u w:val="none"/>
              </w:rPr>
            </w:pPr>
          </w:p>
        </w:tc>
        <w:tc>
          <w:tcPr>
            <w:tcW w:w="346" w:type="pct"/>
            <w:tcBorders>
              <w:top w:val="nil"/>
              <w:left w:val="nil"/>
              <w:bottom w:val="single" w:color="000000" w:sz="8" w:space="0"/>
              <w:right w:val="single" w:color="000000" w:sz="8" w:space="0"/>
            </w:tcBorders>
            <w:noWrap w:val="0"/>
            <w:vAlign w:val="center"/>
          </w:tcPr>
          <w:p w14:paraId="16501449">
            <w:pPr>
              <w:spacing w:line="240" w:lineRule="auto"/>
              <w:ind w:firstLine="0" w:firstLineChars="0"/>
              <w:jc w:val="center"/>
              <w:rPr>
                <w:rFonts w:hint="default" w:ascii="Times New Roman" w:hAnsi="Times New Roman" w:eastAsia="宋体" w:cs="Times New Roman"/>
                <w:i w:val="0"/>
                <w:iCs w:val="0"/>
                <w:color w:val="000000"/>
                <w:sz w:val="18"/>
                <w:szCs w:val="18"/>
                <w:u w:val="none"/>
              </w:rPr>
            </w:pPr>
          </w:p>
        </w:tc>
        <w:tc>
          <w:tcPr>
            <w:tcW w:w="326" w:type="pct"/>
            <w:tcBorders>
              <w:top w:val="nil"/>
              <w:left w:val="nil"/>
              <w:bottom w:val="single" w:color="000000" w:sz="8" w:space="0"/>
              <w:right w:val="single" w:color="000000" w:sz="8" w:space="0"/>
            </w:tcBorders>
            <w:noWrap w:val="0"/>
            <w:vAlign w:val="center"/>
          </w:tcPr>
          <w:p w14:paraId="21B23BFF">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color w:val="000000"/>
                <w:kern w:val="0"/>
                <w:sz w:val="18"/>
                <w:szCs w:val="18"/>
                <w:u w:val="none"/>
                <w:lang w:val="en-US" w:eastAsia="zh-CN" w:bidi="ar"/>
              </w:rPr>
              <w:t>27</w:t>
            </w:r>
          </w:p>
        </w:tc>
        <w:tc>
          <w:tcPr>
            <w:tcW w:w="148" w:type="pct"/>
            <w:tcBorders>
              <w:top w:val="nil"/>
              <w:left w:val="nil"/>
              <w:bottom w:val="single" w:color="000000" w:sz="8" w:space="0"/>
              <w:right w:val="single" w:color="000000" w:sz="8" w:space="0"/>
            </w:tcBorders>
            <w:noWrap w:val="0"/>
            <w:vAlign w:val="center"/>
          </w:tcPr>
          <w:p w14:paraId="12CDE878">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套</w:t>
            </w:r>
          </w:p>
        </w:tc>
        <w:tc>
          <w:tcPr>
            <w:tcW w:w="211" w:type="pct"/>
            <w:tcBorders>
              <w:top w:val="nil"/>
              <w:left w:val="nil"/>
              <w:bottom w:val="single" w:color="000000" w:sz="8" w:space="0"/>
              <w:right w:val="single" w:color="000000" w:sz="8" w:space="0"/>
            </w:tcBorders>
            <w:noWrap w:val="0"/>
            <w:vAlign w:val="center"/>
          </w:tcPr>
          <w:p w14:paraId="469F85D0">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color w:val="000000"/>
                <w:kern w:val="0"/>
                <w:sz w:val="18"/>
                <w:szCs w:val="18"/>
                <w:u w:val="none"/>
                <w:lang w:val="en-US" w:eastAsia="zh-CN" w:bidi="ar"/>
              </w:rPr>
              <w:t>1</w:t>
            </w:r>
          </w:p>
        </w:tc>
        <w:tc>
          <w:tcPr>
            <w:tcW w:w="478" w:type="pct"/>
            <w:tcBorders>
              <w:top w:val="nil"/>
              <w:left w:val="nil"/>
              <w:bottom w:val="single" w:color="000000" w:sz="8" w:space="0"/>
              <w:right w:val="single" w:color="000000" w:sz="8" w:space="0"/>
            </w:tcBorders>
            <w:noWrap w:val="0"/>
            <w:vAlign w:val="center"/>
          </w:tcPr>
          <w:p w14:paraId="51BE4819">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20"/>
                <w:szCs w:val="20"/>
                <w:u w:val="none"/>
              </w:rPr>
            </w:pPr>
            <w:r>
              <w:rPr>
                <w:rFonts w:hint="default" w:ascii="Times New Roman" w:hAnsi="Times New Roman" w:eastAsia="宋体" w:cs="Times New Roman"/>
                <w:i w:val="0"/>
                <w:iCs w:val="0"/>
                <w:color w:val="000000"/>
                <w:kern w:val="0"/>
                <w:sz w:val="20"/>
                <w:szCs w:val="20"/>
                <w:u w:val="none"/>
                <w:lang w:val="en-US" w:eastAsia="zh-CN" w:bidi="ar"/>
              </w:rPr>
              <w:t>270000</w:t>
            </w:r>
          </w:p>
        </w:tc>
        <w:tc>
          <w:tcPr>
            <w:tcW w:w="329" w:type="pct"/>
            <w:tcBorders>
              <w:top w:val="nil"/>
              <w:left w:val="nil"/>
              <w:bottom w:val="single" w:color="000000" w:sz="8" w:space="0"/>
              <w:right w:val="single" w:color="000000" w:sz="8" w:space="0"/>
            </w:tcBorders>
            <w:noWrap w:val="0"/>
            <w:vAlign w:val="center"/>
          </w:tcPr>
          <w:p w14:paraId="7BAB5442">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b/>
                <w:bCs/>
                <w:i w:val="0"/>
                <w:iCs w:val="0"/>
                <w:color w:val="000000"/>
                <w:sz w:val="18"/>
                <w:szCs w:val="18"/>
                <w:u w:val="none"/>
              </w:rPr>
            </w:pPr>
            <w:r>
              <w:rPr>
                <w:rFonts w:hint="default" w:ascii="Times New Roman" w:hAnsi="Times New Roman" w:eastAsia="宋体" w:cs="Times New Roman"/>
                <w:b/>
                <w:bCs/>
                <w:i w:val="0"/>
                <w:iCs w:val="0"/>
                <w:color w:val="000000"/>
                <w:kern w:val="0"/>
                <w:sz w:val="18"/>
                <w:szCs w:val="18"/>
                <w:u w:val="none"/>
                <w:lang w:val="en-US" w:eastAsia="zh-CN" w:bidi="ar"/>
              </w:rPr>
              <w:t>0.26%</w:t>
            </w:r>
          </w:p>
        </w:tc>
        <w:tc>
          <w:tcPr>
            <w:tcW w:w="1013" w:type="pct"/>
            <w:tcBorders>
              <w:top w:val="nil"/>
              <w:left w:val="nil"/>
              <w:bottom w:val="single" w:color="000000" w:sz="8" w:space="0"/>
              <w:right w:val="single" w:color="000000" w:sz="8" w:space="0"/>
            </w:tcBorders>
            <w:noWrap w:val="0"/>
            <w:vAlign w:val="center"/>
          </w:tcPr>
          <w:p w14:paraId="7342DE34">
            <w:pPr>
              <w:spacing w:line="240" w:lineRule="auto"/>
              <w:ind w:firstLine="0" w:firstLineChars="0"/>
              <w:jc w:val="center"/>
              <w:rPr>
                <w:rFonts w:hint="default" w:ascii="Times New Roman" w:hAnsi="Times New Roman" w:eastAsia="宋体" w:cs="Times New Roman"/>
                <w:i w:val="0"/>
                <w:iCs w:val="0"/>
                <w:color w:val="000000"/>
                <w:sz w:val="18"/>
                <w:szCs w:val="18"/>
                <w:u w:val="none"/>
              </w:rPr>
            </w:pPr>
          </w:p>
        </w:tc>
      </w:tr>
      <w:tr w14:paraId="43D70A2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3" w:hRule="atLeast"/>
        </w:trPr>
        <w:tc>
          <w:tcPr>
            <w:tcW w:w="273" w:type="pct"/>
            <w:tcBorders>
              <w:top w:val="nil"/>
              <w:left w:val="single" w:color="000000" w:sz="8" w:space="0"/>
              <w:bottom w:val="single" w:color="000000" w:sz="8" w:space="0"/>
              <w:right w:val="single" w:color="000000" w:sz="8" w:space="0"/>
            </w:tcBorders>
            <w:noWrap w:val="0"/>
            <w:vAlign w:val="center"/>
          </w:tcPr>
          <w:p w14:paraId="5627CC8D">
            <w:pPr>
              <w:spacing w:line="240" w:lineRule="auto"/>
              <w:ind w:firstLine="0" w:firstLineChars="0"/>
              <w:jc w:val="center"/>
              <w:rPr>
                <w:rFonts w:hint="default" w:ascii="Times New Roman" w:hAnsi="Times New Roman" w:eastAsia="宋体" w:cs="Times New Roman"/>
                <w:i w:val="0"/>
                <w:iCs w:val="0"/>
                <w:color w:val="000000"/>
                <w:sz w:val="18"/>
                <w:szCs w:val="18"/>
                <w:u w:val="none"/>
              </w:rPr>
            </w:pPr>
          </w:p>
        </w:tc>
        <w:tc>
          <w:tcPr>
            <w:tcW w:w="675" w:type="pct"/>
            <w:tcBorders>
              <w:top w:val="nil"/>
              <w:left w:val="nil"/>
              <w:bottom w:val="single" w:color="000000" w:sz="8" w:space="0"/>
              <w:right w:val="single" w:color="000000" w:sz="8" w:space="0"/>
            </w:tcBorders>
            <w:noWrap w:val="0"/>
            <w:vAlign w:val="center"/>
          </w:tcPr>
          <w:p w14:paraId="264AD547">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洗车设备</w:t>
            </w:r>
          </w:p>
        </w:tc>
        <w:tc>
          <w:tcPr>
            <w:tcW w:w="398" w:type="pct"/>
            <w:tcBorders>
              <w:top w:val="nil"/>
              <w:left w:val="nil"/>
              <w:bottom w:val="single" w:color="000000" w:sz="8" w:space="0"/>
              <w:right w:val="single" w:color="000000" w:sz="8" w:space="0"/>
            </w:tcBorders>
            <w:noWrap w:val="0"/>
            <w:vAlign w:val="center"/>
          </w:tcPr>
          <w:p w14:paraId="6D0B51CC">
            <w:pPr>
              <w:spacing w:line="240" w:lineRule="auto"/>
              <w:ind w:firstLine="0" w:firstLineChars="0"/>
              <w:jc w:val="center"/>
              <w:rPr>
                <w:rFonts w:hint="default" w:ascii="Times New Roman" w:hAnsi="Times New Roman" w:eastAsia="宋体" w:cs="Times New Roman"/>
                <w:i w:val="0"/>
                <w:iCs w:val="0"/>
                <w:color w:val="000000"/>
                <w:sz w:val="18"/>
                <w:szCs w:val="18"/>
                <w:u w:val="none"/>
              </w:rPr>
            </w:pPr>
          </w:p>
        </w:tc>
        <w:tc>
          <w:tcPr>
            <w:tcW w:w="398" w:type="pct"/>
            <w:tcBorders>
              <w:top w:val="nil"/>
              <w:left w:val="nil"/>
              <w:bottom w:val="single" w:color="000000" w:sz="8" w:space="0"/>
              <w:right w:val="single" w:color="000000" w:sz="8" w:space="0"/>
            </w:tcBorders>
            <w:noWrap w:val="0"/>
            <w:vAlign w:val="center"/>
          </w:tcPr>
          <w:p w14:paraId="00C0D85D">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color w:val="000000"/>
                <w:kern w:val="0"/>
                <w:sz w:val="18"/>
                <w:szCs w:val="18"/>
                <w:u w:val="none"/>
                <w:lang w:val="en-US" w:eastAsia="zh-CN" w:bidi="ar"/>
              </w:rPr>
              <w:t>28</w:t>
            </w:r>
          </w:p>
        </w:tc>
        <w:tc>
          <w:tcPr>
            <w:tcW w:w="398" w:type="pct"/>
            <w:tcBorders>
              <w:top w:val="nil"/>
              <w:left w:val="nil"/>
              <w:bottom w:val="single" w:color="000000" w:sz="8" w:space="0"/>
              <w:right w:val="single" w:color="000000" w:sz="8" w:space="0"/>
            </w:tcBorders>
            <w:noWrap w:val="0"/>
            <w:vAlign w:val="center"/>
          </w:tcPr>
          <w:p w14:paraId="3C9D56F1">
            <w:pPr>
              <w:spacing w:line="240" w:lineRule="auto"/>
              <w:ind w:firstLine="0" w:firstLineChars="0"/>
              <w:jc w:val="center"/>
              <w:rPr>
                <w:rFonts w:hint="default" w:ascii="Times New Roman" w:hAnsi="Times New Roman" w:eastAsia="宋体" w:cs="Times New Roman"/>
                <w:i w:val="0"/>
                <w:iCs w:val="0"/>
                <w:color w:val="000000"/>
                <w:sz w:val="18"/>
                <w:szCs w:val="18"/>
                <w:u w:val="none"/>
              </w:rPr>
            </w:pPr>
          </w:p>
        </w:tc>
        <w:tc>
          <w:tcPr>
            <w:tcW w:w="346" w:type="pct"/>
            <w:tcBorders>
              <w:top w:val="nil"/>
              <w:left w:val="nil"/>
              <w:bottom w:val="single" w:color="000000" w:sz="8" w:space="0"/>
              <w:right w:val="single" w:color="000000" w:sz="8" w:space="0"/>
            </w:tcBorders>
            <w:noWrap w:val="0"/>
            <w:vAlign w:val="center"/>
          </w:tcPr>
          <w:p w14:paraId="0589EFF4">
            <w:pPr>
              <w:spacing w:line="240" w:lineRule="auto"/>
              <w:ind w:firstLine="0" w:firstLineChars="0"/>
              <w:jc w:val="center"/>
              <w:rPr>
                <w:rFonts w:hint="default" w:ascii="Times New Roman" w:hAnsi="Times New Roman" w:eastAsia="宋体" w:cs="Times New Roman"/>
                <w:i w:val="0"/>
                <w:iCs w:val="0"/>
                <w:color w:val="000000"/>
                <w:sz w:val="18"/>
                <w:szCs w:val="18"/>
                <w:u w:val="none"/>
              </w:rPr>
            </w:pPr>
          </w:p>
        </w:tc>
        <w:tc>
          <w:tcPr>
            <w:tcW w:w="326" w:type="pct"/>
            <w:tcBorders>
              <w:top w:val="nil"/>
              <w:left w:val="nil"/>
              <w:bottom w:val="single" w:color="000000" w:sz="8" w:space="0"/>
              <w:right w:val="single" w:color="000000" w:sz="8" w:space="0"/>
            </w:tcBorders>
            <w:noWrap w:val="0"/>
            <w:vAlign w:val="center"/>
          </w:tcPr>
          <w:p w14:paraId="7DEFC4D6">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color w:val="000000"/>
                <w:kern w:val="0"/>
                <w:sz w:val="18"/>
                <w:szCs w:val="18"/>
                <w:u w:val="none"/>
                <w:lang w:val="en-US" w:eastAsia="zh-CN" w:bidi="ar"/>
              </w:rPr>
              <w:t>28</w:t>
            </w:r>
          </w:p>
        </w:tc>
        <w:tc>
          <w:tcPr>
            <w:tcW w:w="148" w:type="pct"/>
            <w:tcBorders>
              <w:top w:val="nil"/>
              <w:left w:val="nil"/>
              <w:bottom w:val="single" w:color="000000" w:sz="8" w:space="0"/>
              <w:right w:val="single" w:color="000000" w:sz="8" w:space="0"/>
            </w:tcBorders>
            <w:noWrap w:val="0"/>
            <w:vAlign w:val="center"/>
          </w:tcPr>
          <w:p w14:paraId="70CFF921">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套</w:t>
            </w:r>
          </w:p>
        </w:tc>
        <w:tc>
          <w:tcPr>
            <w:tcW w:w="211" w:type="pct"/>
            <w:tcBorders>
              <w:top w:val="nil"/>
              <w:left w:val="nil"/>
              <w:bottom w:val="single" w:color="000000" w:sz="8" w:space="0"/>
              <w:right w:val="single" w:color="000000" w:sz="8" w:space="0"/>
            </w:tcBorders>
            <w:noWrap w:val="0"/>
            <w:vAlign w:val="center"/>
          </w:tcPr>
          <w:p w14:paraId="7F1CED35">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color w:val="000000"/>
                <w:kern w:val="0"/>
                <w:sz w:val="18"/>
                <w:szCs w:val="18"/>
                <w:u w:val="none"/>
                <w:lang w:val="en-US" w:eastAsia="zh-CN" w:bidi="ar"/>
              </w:rPr>
              <w:t>1</w:t>
            </w:r>
          </w:p>
        </w:tc>
        <w:tc>
          <w:tcPr>
            <w:tcW w:w="478" w:type="pct"/>
            <w:tcBorders>
              <w:top w:val="nil"/>
              <w:left w:val="nil"/>
              <w:bottom w:val="single" w:color="000000" w:sz="8" w:space="0"/>
              <w:right w:val="single" w:color="000000" w:sz="8" w:space="0"/>
            </w:tcBorders>
            <w:noWrap w:val="0"/>
            <w:vAlign w:val="center"/>
          </w:tcPr>
          <w:p w14:paraId="628742A9">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20"/>
                <w:szCs w:val="20"/>
                <w:u w:val="none"/>
              </w:rPr>
            </w:pPr>
            <w:r>
              <w:rPr>
                <w:rFonts w:hint="default" w:ascii="Times New Roman" w:hAnsi="Times New Roman" w:eastAsia="宋体" w:cs="Times New Roman"/>
                <w:i w:val="0"/>
                <w:iCs w:val="0"/>
                <w:color w:val="000000"/>
                <w:kern w:val="0"/>
                <w:sz w:val="20"/>
                <w:szCs w:val="20"/>
                <w:u w:val="none"/>
                <w:lang w:val="en-US" w:eastAsia="zh-CN" w:bidi="ar"/>
              </w:rPr>
              <w:t>280000</w:t>
            </w:r>
          </w:p>
        </w:tc>
        <w:tc>
          <w:tcPr>
            <w:tcW w:w="329" w:type="pct"/>
            <w:tcBorders>
              <w:top w:val="nil"/>
              <w:left w:val="nil"/>
              <w:bottom w:val="single" w:color="000000" w:sz="8" w:space="0"/>
              <w:right w:val="single" w:color="000000" w:sz="8" w:space="0"/>
            </w:tcBorders>
            <w:noWrap w:val="0"/>
            <w:vAlign w:val="center"/>
          </w:tcPr>
          <w:p w14:paraId="79B80110">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b/>
                <w:bCs/>
                <w:i w:val="0"/>
                <w:iCs w:val="0"/>
                <w:color w:val="000000"/>
                <w:sz w:val="18"/>
                <w:szCs w:val="18"/>
                <w:u w:val="none"/>
              </w:rPr>
            </w:pPr>
            <w:r>
              <w:rPr>
                <w:rFonts w:hint="default" w:ascii="Times New Roman" w:hAnsi="Times New Roman" w:eastAsia="宋体" w:cs="Times New Roman"/>
                <w:b/>
                <w:bCs/>
                <w:i w:val="0"/>
                <w:iCs w:val="0"/>
                <w:color w:val="000000"/>
                <w:kern w:val="0"/>
                <w:sz w:val="18"/>
                <w:szCs w:val="18"/>
                <w:u w:val="none"/>
                <w:lang w:val="en-US" w:eastAsia="zh-CN" w:bidi="ar"/>
              </w:rPr>
              <w:t>0.27%</w:t>
            </w:r>
          </w:p>
        </w:tc>
        <w:tc>
          <w:tcPr>
            <w:tcW w:w="1013" w:type="pct"/>
            <w:tcBorders>
              <w:top w:val="nil"/>
              <w:left w:val="nil"/>
              <w:bottom w:val="single" w:color="000000" w:sz="8" w:space="0"/>
              <w:right w:val="single" w:color="000000" w:sz="8" w:space="0"/>
            </w:tcBorders>
            <w:noWrap w:val="0"/>
            <w:vAlign w:val="center"/>
          </w:tcPr>
          <w:p w14:paraId="1B534B90">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可清洗总质量</w:t>
            </w:r>
            <w:r>
              <w:rPr>
                <w:rFonts w:hint="default" w:ascii="Times New Roman" w:hAnsi="Times New Roman" w:eastAsia="宋体" w:cs="Times New Roman"/>
                <w:i w:val="0"/>
                <w:iCs w:val="0"/>
                <w:color w:val="000000"/>
                <w:kern w:val="0"/>
                <w:sz w:val="18"/>
                <w:szCs w:val="18"/>
                <w:u w:val="none"/>
                <w:lang w:val="en-US" w:eastAsia="zh-CN" w:bidi="ar"/>
              </w:rPr>
              <w:t>31</w:t>
            </w:r>
            <w:r>
              <w:rPr>
                <w:rFonts w:hint="eastAsia" w:ascii="宋体" w:hAnsi="宋体" w:eastAsia="宋体" w:cs="宋体"/>
                <w:i w:val="0"/>
                <w:iCs w:val="0"/>
                <w:color w:val="000000"/>
                <w:kern w:val="0"/>
                <w:sz w:val="18"/>
                <w:szCs w:val="18"/>
                <w:u w:val="none"/>
                <w:lang w:val="en-US" w:eastAsia="zh-CN" w:bidi="ar"/>
              </w:rPr>
              <w:t>吨勾臂车等多种车型</w:t>
            </w:r>
          </w:p>
        </w:tc>
      </w:tr>
      <w:tr w14:paraId="09FBB73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3" w:hRule="atLeast"/>
        </w:trPr>
        <w:tc>
          <w:tcPr>
            <w:tcW w:w="273" w:type="pct"/>
            <w:tcBorders>
              <w:top w:val="nil"/>
              <w:left w:val="single" w:color="000000" w:sz="8" w:space="0"/>
              <w:bottom w:val="single" w:color="000000" w:sz="8" w:space="0"/>
              <w:right w:val="single" w:color="000000" w:sz="8" w:space="0"/>
            </w:tcBorders>
            <w:noWrap w:val="0"/>
            <w:vAlign w:val="center"/>
          </w:tcPr>
          <w:p w14:paraId="765B2AA9">
            <w:pPr>
              <w:spacing w:line="240" w:lineRule="auto"/>
              <w:ind w:firstLine="0" w:firstLineChars="0"/>
              <w:jc w:val="center"/>
              <w:rPr>
                <w:rFonts w:hint="default" w:ascii="Times New Roman" w:hAnsi="Times New Roman" w:eastAsia="宋体" w:cs="Times New Roman"/>
                <w:i w:val="0"/>
                <w:iCs w:val="0"/>
                <w:color w:val="000000"/>
                <w:sz w:val="18"/>
                <w:szCs w:val="18"/>
                <w:u w:val="none"/>
              </w:rPr>
            </w:pPr>
          </w:p>
        </w:tc>
        <w:tc>
          <w:tcPr>
            <w:tcW w:w="675" w:type="pct"/>
            <w:tcBorders>
              <w:top w:val="nil"/>
              <w:left w:val="nil"/>
              <w:bottom w:val="single" w:color="000000" w:sz="8" w:space="0"/>
              <w:right w:val="single" w:color="000000" w:sz="8" w:space="0"/>
            </w:tcBorders>
            <w:noWrap w:val="0"/>
            <w:vAlign w:val="center"/>
          </w:tcPr>
          <w:p w14:paraId="0DF124E9">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充电设施</w:t>
            </w:r>
          </w:p>
        </w:tc>
        <w:tc>
          <w:tcPr>
            <w:tcW w:w="398" w:type="pct"/>
            <w:tcBorders>
              <w:top w:val="nil"/>
              <w:left w:val="nil"/>
              <w:bottom w:val="single" w:color="000000" w:sz="8" w:space="0"/>
              <w:right w:val="single" w:color="000000" w:sz="8" w:space="0"/>
            </w:tcBorders>
            <w:noWrap w:val="0"/>
            <w:vAlign w:val="center"/>
          </w:tcPr>
          <w:p w14:paraId="7255D1A1">
            <w:pPr>
              <w:spacing w:line="240" w:lineRule="auto"/>
              <w:ind w:firstLine="0" w:firstLineChars="0"/>
              <w:jc w:val="center"/>
              <w:rPr>
                <w:rFonts w:hint="default" w:ascii="Times New Roman" w:hAnsi="Times New Roman" w:eastAsia="宋体" w:cs="Times New Roman"/>
                <w:i w:val="0"/>
                <w:iCs w:val="0"/>
                <w:color w:val="000000"/>
                <w:sz w:val="18"/>
                <w:szCs w:val="18"/>
                <w:u w:val="none"/>
              </w:rPr>
            </w:pPr>
          </w:p>
        </w:tc>
        <w:tc>
          <w:tcPr>
            <w:tcW w:w="398" w:type="pct"/>
            <w:tcBorders>
              <w:top w:val="nil"/>
              <w:left w:val="nil"/>
              <w:bottom w:val="single" w:color="000000" w:sz="8" w:space="0"/>
              <w:right w:val="single" w:color="000000" w:sz="8" w:space="0"/>
            </w:tcBorders>
            <w:noWrap w:val="0"/>
            <w:vAlign w:val="center"/>
          </w:tcPr>
          <w:p w14:paraId="73CD7C50">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color w:val="000000"/>
                <w:kern w:val="0"/>
                <w:sz w:val="18"/>
                <w:szCs w:val="18"/>
                <w:u w:val="none"/>
                <w:lang w:val="en-US" w:eastAsia="zh-CN" w:bidi="ar"/>
              </w:rPr>
              <w:t>44</w:t>
            </w:r>
          </w:p>
        </w:tc>
        <w:tc>
          <w:tcPr>
            <w:tcW w:w="398" w:type="pct"/>
            <w:tcBorders>
              <w:top w:val="nil"/>
              <w:left w:val="nil"/>
              <w:bottom w:val="single" w:color="000000" w:sz="8" w:space="0"/>
              <w:right w:val="single" w:color="000000" w:sz="8" w:space="0"/>
            </w:tcBorders>
            <w:noWrap w:val="0"/>
            <w:vAlign w:val="center"/>
          </w:tcPr>
          <w:p w14:paraId="7C23CD80">
            <w:pPr>
              <w:spacing w:line="240" w:lineRule="auto"/>
              <w:ind w:firstLine="0" w:firstLineChars="0"/>
              <w:jc w:val="center"/>
              <w:rPr>
                <w:rFonts w:hint="default" w:ascii="Times New Roman" w:hAnsi="Times New Roman" w:eastAsia="宋体" w:cs="Times New Roman"/>
                <w:i w:val="0"/>
                <w:iCs w:val="0"/>
                <w:color w:val="000000"/>
                <w:sz w:val="18"/>
                <w:szCs w:val="18"/>
                <w:u w:val="none"/>
              </w:rPr>
            </w:pPr>
          </w:p>
        </w:tc>
        <w:tc>
          <w:tcPr>
            <w:tcW w:w="346" w:type="pct"/>
            <w:tcBorders>
              <w:top w:val="nil"/>
              <w:left w:val="nil"/>
              <w:bottom w:val="single" w:color="000000" w:sz="8" w:space="0"/>
              <w:right w:val="single" w:color="000000" w:sz="8" w:space="0"/>
            </w:tcBorders>
            <w:noWrap w:val="0"/>
            <w:vAlign w:val="center"/>
          </w:tcPr>
          <w:p w14:paraId="2873447F">
            <w:pPr>
              <w:spacing w:line="240" w:lineRule="auto"/>
              <w:ind w:firstLine="0" w:firstLineChars="0"/>
              <w:jc w:val="center"/>
              <w:rPr>
                <w:rFonts w:hint="default" w:ascii="Times New Roman" w:hAnsi="Times New Roman" w:eastAsia="宋体" w:cs="Times New Roman"/>
                <w:i w:val="0"/>
                <w:iCs w:val="0"/>
                <w:color w:val="000000"/>
                <w:sz w:val="18"/>
                <w:szCs w:val="18"/>
                <w:u w:val="none"/>
              </w:rPr>
            </w:pPr>
          </w:p>
        </w:tc>
        <w:tc>
          <w:tcPr>
            <w:tcW w:w="326" w:type="pct"/>
            <w:tcBorders>
              <w:top w:val="nil"/>
              <w:left w:val="nil"/>
              <w:bottom w:val="single" w:color="000000" w:sz="8" w:space="0"/>
              <w:right w:val="single" w:color="000000" w:sz="8" w:space="0"/>
            </w:tcBorders>
            <w:noWrap w:val="0"/>
            <w:vAlign w:val="center"/>
          </w:tcPr>
          <w:p w14:paraId="0BF3D638">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color w:val="000000"/>
                <w:kern w:val="0"/>
                <w:sz w:val="18"/>
                <w:szCs w:val="18"/>
                <w:u w:val="none"/>
                <w:lang w:val="en-US" w:eastAsia="zh-CN" w:bidi="ar"/>
              </w:rPr>
              <w:t>44</w:t>
            </w:r>
          </w:p>
        </w:tc>
        <w:tc>
          <w:tcPr>
            <w:tcW w:w="148" w:type="pct"/>
            <w:tcBorders>
              <w:top w:val="nil"/>
              <w:left w:val="nil"/>
              <w:bottom w:val="single" w:color="000000" w:sz="8" w:space="0"/>
              <w:right w:val="single" w:color="000000" w:sz="8" w:space="0"/>
            </w:tcBorders>
            <w:noWrap w:val="0"/>
            <w:vAlign w:val="center"/>
          </w:tcPr>
          <w:p w14:paraId="0BBCB40F">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套</w:t>
            </w:r>
          </w:p>
        </w:tc>
        <w:tc>
          <w:tcPr>
            <w:tcW w:w="211" w:type="pct"/>
            <w:tcBorders>
              <w:top w:val="nil"/>
              <w:left w:val="nil"/>
              <w:bottom w:val="single" w:color="000000" w:sz="8" w:space="0"/>
              <w:right w:val="single" w:color="000000" w:sz="8" w:space="0"/>
            </w:tcBorders>
            <w:noWrap w:val="0"/>
            <w:vAlign w:val="center"/>
          </w:tcPr>
          <w:p w14:paraId="20A7220E">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color w:val="000000"/>
                <w:kern w:val="0"/>
                <w:sz w:val="18"/>
                <w:szCs w:val="18"/>
                <w:u w:val="none"/>
                <w:lang w:val="en-US" w:eastAsia="zh-CN" w:bidi="ar"/>
              </w:rPr>
              <w:t>5</w:t>
            </w:r>
          </w:p>
        </w:tc>
        <w:tc>
          <w:tcPr>
            <w:tcW w:w="478" w:type="pct"/>
            <w:tcBorders>
              <w:top w:val="nil"/>
              <w:left w:val="nil"/>
              <w:bottom w:val="single" w:color="000000" w:sz="8" w:space="0"/>
              <w:right w:val="single" w:color="000000" w:sz="8" w:space="0"/>
            </w:tcBorders>
            <w:noWrap w:val="0"/>
            <w:vAlign w:val="center"/>
          </w:tcPr>
          <w:p w14:paraId="433CB2CB">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20"/>
                <w:szCs w:val="20"/>
                <w:u w:val="none"/>
              </w:rPr>
            </w:pPr>
            <w:r>
              <w:rPr>
                <w:rFonts w:hint="default" w:ascii="Times New Roman" w:hAnsi="Times New Roman" w:eastAsia="宋体" w:cs="Times New Roman"/>
                <w:i w:val="0"/>
                <w:iCs w:val="0"/>
                <w:color w:val="000000"/>
                <w:kern w:val="0"/>
                <w:sz w:val="20"/>
                <w:szCs w:val="20"/>
                <w:u w:val="none"/>
                <w:lang w:val="en-US" w:eastAsia="zh-CN" w:bidi="ar"/>
              </w:rPr>
              <w:t>88000</w:t>
            </w:r>
          </w:p>
        </w:tc>
        <w:tc>
          <w:tcPr>
            <w:tcW w:w="329" w:type="pct"/>
            <w:tcBorders>
              <w:top w:val="nil"/>
              <w:left w:val="nil"/>
              <w:bottom w:val="single" w:color="000000" w:sz="8" w:space="0"/>
              <w:right w:val="single" w:color="000000" w:sz="8" w:space="0"/>
            </w:tcBorders>
            <w:noWrap w:val="0"/>
            <w:vAlign w:val="center"/>
          </w:tcPr>
          <w:p w14:paraId="14C00755">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b/>
                <w:bCs/>
                <w:i w:val="0"/>
                <w:iCs w:val="0"/>
                <w:color w:val="000000"/>
                <w:sz w:val="18"/>
                <w:szCs w:val="18"/>
                <w:u w:val="none"/>
              </w:rPr>
            </w:pPr>
            <w:r>
              <w:rPr>
                <w:rFonts w:hint="default" w:ascii="Times New Roman" w:hAnsi="Times New Roman" w:eastAsia="宋体" w:cs="Times New Roman"/>
                <w:b/>
                <w:bCs/>
                <w:i w:val="0"/>
                <w:iCs w:val="0"/>
                <w:color w:val="000000"/>
                <w:kern w:val="0"/>
                <w:sz w:val="18"/>
                <w:szCs w:val="18"/>
                <w:u w:val="none"/>
                <w:lang w:val="en-US" w:eastAsia="zh-CN" w:bidi="ar"/>
              </w:rPr>
              <w:t>0.43%</w:t>
            </w:r>
          </w:p>
        </w:tc>
        <w:tc>
          <w:tcPr>
            <w:tcW w:w="1013" w:type="pct"/>
            <w:tcBorders>
              <w:top w:val="nil"/>
              <w:left w:val="nil"/>
              <w:bottom w:val="single" w:color="000000" w:sz="8" w:space="0"/>
              <w:right w:val="single" w:color="000000" w:sz="8" w:space="0"/>
            </w:tcBorders>
            <w:noWrap w:val="0"/>
            <w:vAlign w:val="center"/>
          </w:tcPr>
          <w:p w14:paraId="0802F7B0">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快充</w:t>
            </w:r>
          </w:p>
        </w:tc>
      </w:tr>
      <w:tr w14:paraId="0BDC7AF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3" w:hRule="atLeast"/>
        </w:trPr>
        <w:tc>
          <w:tcPr>
            <w:tcW w:w="273" w:type="pct"/>
            <w:tcBorders>
              <w:top w:val="nil"/>
              <w:left w:val="single" w:color="000000" w:sz="8" w:space="0"/>
              <w:bottom w:val="single" w:color="000000" w:sz="8" w:space="0"/>
              <w:right w:val="single" w:color="000000" w:sz="8" w:space="0"/>
            </w:tcBorders>
            <w:noWrap w:val="0"/>
            <w:vAlign w:val="center"/>
          </w:tcPr>
          <w:p w14:paraId="2FC0261E">
            <w:pPr>
              <w:spacing w:line="240" w:lineRule="auto"/>
              <w:ind w:firstLine="0" w:firstLineChars="0"/>
              <w:jc w:val="center"/>
              <w:rPr>
                <w:rFonts w:hint="default" w:ascii="Times New Roman" w:hAnsi="Times New Roman" w:eastAsia="宋体" w:cs="Times New Roman"/>
                <w:i w:val="0"/>
                <w:iCs w:val="0"/>
                <w:color w:val="000000"/>
                <w:sz w:val="18"/>
                <w:szCs w:val="18"/>
                <w:u w:val="none"/>
              </w:rPr>
            </w:pPr>
          </w:p>
        </w:tc>
        <w:tc>
          <w:tcPr>
            <w:tcW w:w="675" w:type="pct"/>
            <w:tcBorders>
              <w:top w:val="nil"/>
              <w:left w:val="nil"/>
              <w:bottom w:val="single" w:color="000000" w:sz="8" w:space="0"/>
              <w:right w:val="single" w:color="000000" w:sz="8" w:space="0"/>
            </w:tcBorders>
            <w:noWrap w:val="0"/>
            <w:vAlign w:val="center"/>
          </w:tcPr>
          <w:p w14:paraId="02431DF2">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柴油发电机</w:t>
            </w:r>
          </w:p>
        </w:tc>
        <w:tc>
          <w:tcPr>
            <w:tcW w:w="398" w:type="pct"/>
            <w:tcBorders>
              <w:top w:val="nil"/>
              <w:left w:val="nil"/>
              <w:bottom w:val="single" w:color="000000" w:sz="8" w:space="0"/>
              <w:right w:val="single" w:color="000000" w:sz="8" w:space="0"/>
            </w:tcBorders>
            <w:noWrap w:val="0"/>
            <w:vAlign w:val="center"/>
          </w:tcPr>
          <w:p w14:paraId="4B71CE74">
            <w:pPr>
              <w:spacing w:line="240" w:lineRule="auto"/>
              <w:ind w:firstLine="0" w:firstLineChars="0"/>
              <w:jc w:val="center"/>
              <w:rPr>
                <w:rFonts w:hint="default" w:ascii="Times New Roman" w:hAnsi="Times New Roman" w:eastAsia="宋体" w:cs="Times New Roman"/>
                <w:i w:val="0"/>
                <w:iCs w:val="0"/>
                <w:color w:val="000000"/>
                <w:sz w:val="18"/>
                <w:szCs w:val="18"/>
                <w:u w:val="none"/>
              </w:rPr>
            </w:pPr>
          </w:p>
        </w:tc>
        <w:tc>
          <w:tcPr>
            <w:tcW w:w="398" w:type="pct"/>
            <w:tcBorders>
              <w:top w:val="nil"/>
              <w:left w:val="nil"/>
              <w:bottom w:val="single" w:color="000000" w:sz="8" w:space="0"/>
              <w:right w:val="single" w:color="000000" w:sz="8" w:space="0"/>
            </w:tcBorders>
            <w:noWrap w:val="0"/>
            <w:vAlign w:val="center"/>
          </w:tcPr>
          <w:p w14:paraId="00EDAC65">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color w:val="000000"/>
                <w:kern w:val="0"/>
                <w:sz w:val="18"/>
                <w:szCs w:val="18"/>
                <w:u w:val="none"/>
                <w:lang w:val="en-US" w:eastAsia="zh-CN" w:bidi="ar"/>
              </w:rPr>
              <w:t>22</w:t>
            </w:r>
          </w:p>
        </w:tc>
        <w:tc>
          <w:tcPr>
            <w:tcW w:w="398" w:type="pct"/>
            <w:tcBorders>
              <w:top w:val="nil"/>
              <w:left w:val="nil"/>
              <w:bottom w:val="single" w:color="000000" w:sz="8" w:space="0"/>
              <w:right w:val="single" w:color="000000" w:sz="8" w:space="0"/>
            </w:tcBorders>
            <w:noWrap w:val="0"/>
            <w:vAlign w:val="center"/>
          </w:tcPr>
          <w:p w14:paraId="36B47BF2">
            <w:pPr>
              <w:spacing w:line="240" w:lineRule="auto"/>
              <w:ind w:firstLine="0" w:firstLineChars="0"/>
              <w:jc w:val="center"/>
              <w:rPr>
                <w:rFonts w:hint="default" w:ascii="Times New Roman" w:hAnsi="Times New Roman" w:eastAsia="宋体" w:cs="Times New Roman"/>
                <w:i w:val="0"/>
                <w:iCs w:val="0"/>
                <w:color w:val="000000"/>
                <w:sz w:val="18"/>
                <w:szCs w:val="18"/>
                <w:u w:val="none"/>
              </w:rPr>
            </w:pPr>
          </w:p>
        </w:tc>
        <w:tc>
          <w:tcPr>
            <w:tcW w:w="346" w:type="pct"/>
            <w:tcBorders>
              <w:top w:val="nil"/>
              <w:left w:val="nil"/>
              <w:bottom w:val="single" w:color="000000" w:sz="8" w:space="0"/>
              <w:right w:val="single" w:color="000000" w:sz="8" w:space="0"/>
            </w:tcBorders>
            <w:noWrap w:val="0"/>
            <w:vAlign w:val="center"/>
          </w:tcPr>
          <w:p w14:paraId="0E5524D8">
            <w:pPr>
              <w:spacing w:line="240" w:lineRule="auto"/>
              <w:ind w:firstLine="0" w:firstLineChars="0"/>
              <w:jc w:val="center"/>
              <w:rPr>
                <w:rFonts w:hint="default" w:ascii="Times New Roman" w:hAnsi="Times New Roman" w:eastAsia="宋体" w:cs="Times New Roman"/>
                <w:i w:val="0"/>
                <w:iCs w:val="0"/>
                <w:color w:val="000000"/>
                <w:sz w:val="18"/>
                <w:szCs w:val="18"/>
                <w:u w:val="none"/>
              </w:rPr>
            </w:pPr>
          </w:p>
        </w:tc>
        <w:tc>
          <w:tcPr>
            <w:tcW w:w="326" w:type="pct"/>
            <w:tcBorders>
              <w:top w:val="nil"/>
              <w:left w:val="nil"/>
              <w:bottom w:val="single" w:color="000000" w:sz="8" w:space="0"/>
              <w:right w:val="single" w:color="000000" w:sz="8" w:space="0"/>
            </w:tcBorders>
            <w:noWrap w:val="0"/>
            <w:vAlign w:val="center"/>
          </w:tcPr>
          <w:p w14:paraId="610AE14B">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color w:val="000000"/>
                <w:kern w:val="0"/>
                <w:sz w:val="18"/>
                <w:szCs w:val="18"/>
                <w:u w:val="none"/>
                <w:lang w:val="en-US" w:eastAsia="zh-CN" w:bidi="ar"/>
              </w:rPr>
              <w:t>22</w:t>
            </w:r>
          </w:p>
        </w:tc>
        <w:tc>
          <w:tcPr>
            <w:tcW w:w="148" w:type="pct"/>
            <w:tcBorders>
              <w:top w:val="nil"/>
              <w:left w:val="nil"/>
              <w:bottom w:val="single" w:color="000000" w:sz="8" w:space="0"/>
              <w:right w:val="single" w:color="000000" w:sz="8" w:space="0"/>
            </w:tcBorders>
            <w:noWrap w:val="0"/>
            <w:vAlign w:val="center"/>
          </w:tcPr>
          <w:p w14:paraId="3168FFF3">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台</w:t>
            </w:r>
          </w:p>
        </w:tc>
        <w:tc>
          <w:tcPr>
            <w:tcW w:w="211" w:type="pct"/>
            <w:tcBorders>
              <w:top w:val="nil"/>
              <w:left w:val="nil"/>
              <w:bottom w:val="single" w:color="000000" w:sz="8" w:space="0"/>
              <w:right w:val="single" w:color="000000" w:sz="8" w:space="0"/>
            </w:tcBorders>
            <w:noWrap w:val="0"/>
            <w:vAlign w:val="center"/>
          </w:tcPr>
          <w:p w14:paraId="38159402">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color w:val="000000"/>
                <w:kern w:val="0"/>
                <w:sz w:val="18"/>
                <w:szCs w:val="18"/>
                <w:u w:val="none"/>
                <w:lang w:val="en-US" w:eastAsia="zh-CN" w:bidi="ar"/>
              </w:rPr>
              <w:t>1</w:t>
            </w:r>
          </w:p>
        </w:tc>
        <w:tc>
          <w:tcPr>
            <w:tcW w:w="478" w:type="pct"/>
            <w:tcBorders>
              <w:top w:val="nil"/>
              <w:left w:val="nil"/>
              <w:bottom w:val="single" w:color="000000" w:sz="8" w:space="0"/>
              <w:right w:val="single" w:color="000000" w:sz="8" w:space="0"/>
            </w:tcBorders>
            <w:noWrap w:val="0"/>
            <w:vAlign w:val="center"/>
          </w:tcPr>
          <w:p w14:paraId="36BA3A9F">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20"/>
                <w:szCs w:val="20"/>
                <w:u w:val="none"/>
              </w:rPr>
            </w:pPr>
            <w:r>
              <w:rPr>
                <w:rFonts w:hint="default" w:ascii="Times New Roman" w:hAnsi="Times New Roman" w:eastAsia="宋体" w:cs="Times New Roman"/>
                <w:i w:val="0"/>
                <w:iCs w:val="0"/>
                <w:color w:val="000000"/>
                <w:kern w:val="0"/>
                <w:sz w:val="20"/>
                <w:szCs w:val="20"/>
                <w:u w:val="none"/>
                <w:lang w:val="en-US" w:eastAsia="zh-CN" w:bidi="ar"/>
              </w:rPr>
              <w:t>220000</w:t>
            </w:r>
          </w:p>
        </w:tc>
        <w:tc>
          <w:tcPr>
            <w:tcW w:w="329" w:type="pct"/>
            <w:tcBorders>
              <w:top w:val="nil"/>
              <w:left w:val="nil"/>
              <w:bottom w:val="single" w:color="000000" w:sz="8" w:space="0"/>
              <w:right w:val="single" w:color="000000" w:sz="8" w:space="0"/>
            </w:tcBorders>
            <w:noWrap w:val="0"/>
            <w:vAlign w:val="center"/>
          </w:tcPr>
          <w:p w14:paraId="3E38B139">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b/>
                <w:bCs/>
                <w:i w:val="0"/>
                <w:iCs w:val="0"/>
                <w:color w:val="000000"/>
                <w:sz w:val="18"/>
                <w:szCs w:val="18"/>
                <w:u w:val="none"/>
              </w:rPr>
            </w:pPr>
            <w:r>
              <w:rPr>
                <w:rFonts w:hint="default" w:ascii="Times New Roman" w:hAnsi="Times New Roman" w:eastAsia="宋体" w:cs="Times New Roman"/>
                <w:b/>
                <w:bCs/>
                <w:i w:val="0"/>
                <w:iCs w:val="0"/>
                <w:color w:val="000000"/>
                <w:kern w:val="0"/>
                <w:sz w:val="18"/>
                <w:szCs w:val="18"/>
                <w:u w:val="none"/>
                <w:lang w:val="en-US" w:eastAsia="zh-CN" w:bidi="ar"/>
              </w:rPr>
              <w:t>0.22%</w:t>
            </w:r>
          </w:p>
        </w:tc>
        <w:tc>
          <w:tcPr>
            <w:tcW w:w="1013" w:type="pct"/>
            <w:tcBorders>
              <w:top w:val="nil"/>
              <w:left w:val="nil"/>
              <w:bottom w:val="single" w:color="000000" w:sz="8" w:space="0"/>
              <w:right w:val="single" w:color="000000" w:sz="8" w:space="0"/>
            </w:tcBorders>
            <w:noWrap w:val="0"/>
            <w:vAlign w:val="center"/>
          </w:tcPr>
          <w:p w14:paraId="37E6C0C9">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color w:val="000000"/>
                <w:kern w:val="0"/>
                <w:sz w:val="18"/>
                <w:szCs w:val="18"/>
                <w:u w:val="none"/>
                <w:lang w:val="en-US" w:eastAsia="zh-CN" w:bidi="ar"/>
              </w:rPr>
              <w:t>100kw</w:t>
            </w:r>
          </w:p>
        </w:tc>
      </w:tr>
      <w:tr w14:paraId="2264A95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3" w:hRule="atLeast"/>
        </w:trPr>
        <w:tc>
          <w:tcPr>
            <w:tcW w:w="273" w:type="pct"/>
            <w:tcBorders>
              <w:top w:val="nil"/>
              <w:left w:val="single" w:color="000000" w:sz="8" w:space="0"/>
              <w:bottom w:val="single" w:color="000000" w:sz="8" w:space="0"/>
              <w:right w:val="single" w:color="000000" w:sz="8" w:space="0"/>
            </w:tcBorders>
            <w:noWrap w:val="0"/>
            <w:vAlign w:val="center"/>
          </w:tcPr>
          <w:p w14:paraId="01514653">
            <w:pPr>
              <w:spacing w:line="240" w:lineRule="auto"/>
              <w:ind w:firstLine="0" w:firstLineChars="0"/>
              <w:jc w:val="center"/>
              <w:rPr>
                <w:rFonts w:hint="default" w:ascii="Times New Roman" w:hAnsi="Times New Roman" w:eastAsia="宋体" w:cs="Times New Roman"/>
                <w:i w:val="0"/>
                <w:iCs w:val="0"/>
                <w:color w:val="000000"/>
                <w:sz w:val="18"/>
                <w:szCs w:val="18"/>
                <w:u w:val="none"/>
              </w:rPr>
            </w:pPr>
          </w:p>
        </w:tc>
        <w:tc>
          <w:tcPr>
            <w:tcW w:w="675" w:type="pct"/>
            <w:tcBorders>
              <w:top w:val="nil"/>
              <w:left w:val="nil"/>
              <w:bottom w:val="single" w:color="000000" w:sz="8" w:space="0"/>
              <w:right w:val="single" w:color="000000" w:sz="8" w:space="0"/>
            </w:tcBorders>
            <w:noWrap w:val="0"/>
            <w:vAlign w:val="center"/>
          </w:tcPr>
          <w:p w14:paraId="11708428">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皮卡</w:t>
            </w:r>
          </w:p>
        </w:tc>
        <w:tc>
          <w:tcPr>
            <w:tcW w:w="398" w:type="pct"/>
            <w:tcBorders>
              <w:top w:val="nil"/>
              <w:left w:val="nil"/>
              <w:bottom w:val="single" w:color="000000" w:sz="8" w:space="0"/>
              <w:right w:val="single" w:color="000000" w:sz="8" w:space="0"/>
            </w:tcBorders>
            <w:noWrap w:val="0"/>
            <w:vAlign w:val="center"/>
          </w:tcPr>
          <w:p w14:paraId="403F4487">
            <w:pPr>
              <w:spacing w:line="240" w:lineRule="auto"/>
              <w:ind w:firstLine="0" w:firstLineChars="0"/>
              <w:jc w:val="center"/>
              <w:rPr>
                <w:rFonts w:hint="default" w:ascii="Times New Roman" w:hAnsi="Times New Roman" w:eastAsia="宋体" w:cs="Times New Roman"/>
                <w:i w:val="0"/>
                <w:iCs w:val="0"/>
                <w:color w:val="000000"/>
                <w:sz w:val="18"/>
                <w:szCs w:val="18"/>
                <w:u w:val="none"/>
              </w:rPr>
            </w:pPr>
          </w:p>
        </w:tc>
        <w:tc>
          <w:tcPr>
            <w:tcW w:w="398" w:type="pct"/>
            <w:tcBorders>
              <w:top w:val="nil"/>
              <w:left w:val="nil"/>
              <w:bottom w:val="single" w:color="000000" w:sz="8" w:space="0"/>
              <w:right w:val="single" w:color="000000" w:sz="8" w:space="0"/>
            </w:tcBorders>
            <w:noWrap w:val="0"/>
            <w:vAlign w:val="center"/>
          </w:tcPr>
          <w:p w14:paraId="4F4E7BC6">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color w:val="000000"/>
                <w:kern w:val="0"/>
                <w:sz w:val="18"/>
                <w:szCs w:val="18"/>
                <w:u w:val="none"/>
                <w:lang w:val="en-US" w:eastAsia="zh-CN" w:bidi="ar"/>
              </w:rPr>
              <w:t>27</w:t>
            </w:r>
          </w:p>
        </w:tc>
        <w:tc>
          <w:tcPr>
            <w:tcW w:w="398" w:type="pct"/>
            <w:tcBorders>
              <w:top w:val="nil"/>
              <w:left w:val="nil"/>
              <w:bottom w:val="single" w:color="000000" w:sz="8" w:space="0"/>
              <w:right w:val="single" w:color="000000" w:sz="8" w:space="0"/>
            </w:tcBorders>
            <w:noWrap w:val="0"/>
            <w:vAlign w:val="center"/>
          </w:tcPr>
          <w:p w14:paraId="69DC7DE9">
            <w:pPr>
              <w:spacing w:line="240" w:lineRule="auto"/>
              <w:ind w:firstLine="0" w:firstLineChars="0"/>
              <w:jc w:val="center"/>
              <w:rPr>
                <w:rFonts w:hint="default" w:ascii="Times New Roman" w:hAnsi="Times New Roman" w:eastAsia="宋体" w:cs="Times New Roman"/>
                <w:i w:val="0"/>
                <w:iCs w:val="0"/>
                <w:color w:val="000000"/>
                <w:sz w:val="18"/>
                <w:szCs w:val="18"/>
                <w:u w:val="none"/>
              </w:rPr>
            </w:pPr>
          </w:p>
        </w:tc>
        <w:tc>
          <w:tcPr>
            <w:tcW w:w="346" w:type="pct"/>
            <w:tcBorders>
              <w:top w:val="nil"/>
              <w:left w:val="nil"/>
              <w:bottom w:val="single" w:color="000000" w:sz="8" w:space="0"/>
              <w:right w:val="single" w:color="000000" w:sz="8" w:space="0"/>
            </w:tcBorders>
            <w:noWrap w:val="0"/>
            <w:vAlign w:val="center"/>
          </w:tcPr>
          <w:p w14:paraId="05DD225E">
            <w:pPr>
              <w:spacing w:line="240" w:lineRule="auto"/>
              <w:ind w:firstLine="0" w:firstLineChars="0"/>
              <w:jc w:val="center"/>
              <w:rPr>
                <w:rFonts w:hint="default" w:ascii="Times New Roman" w:hAnsi="Times New Roman" w:eastAsia="宋体" w:cs="Times New Roman"/>
                <w:i w:val="0"/>
                <w:iCs w:val="0"/>
                <w:color w:val="000000"/>
                <w:sz w:val="18"/>
                <w:szCs w:val="18"/>
                <w:u w:val="none"/>
              </w:rPr>
            </w:pPr>
          </w:p>
        </w:tc>
        <w:tc>
          <w:tcPr>
            <w:tcW w:w="326" w:type="pct"/>
            <w:tcBorders>
              <w:top w:val="nil"/>
              <w:left w:val="nil"/>
              <w:bottom w:val="single" w:color="000000" w:sz="8" w:space="0"/>
              <w:right w:val="single" w:color="000000" w:sz="8" w:space="0"/>
            </w:tcBorders>
            <w:noWrap w:val="0"/>
            <w:vAlign w:val="center"/>
          </w:tcPr>
          <w:p w14:paraId="0EF67DAC">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color w:val="000000"/>
                <w:kern w:val="0"/>
                <w:sz w:val="18"/>
                <w:szCs w:val="18"/>
                <w:u w:val="none"/>
                <w:lang w:val="en-US" w:eastAsia="zh-CN" w:bidi="ar"/>
              </w:rPr>
              <w:t>27</w:t>
            </w:r>
          </w:p>
        </w:tc>
        <w:tc>
          <w:tcPr>
            <w:tcW w:w="148" w:type="pct"/>
            <w:tcBorders>
              <w:top w:val="nil"/>
              <w:left w:val="nil"/>
              <w:bottom w:val="single" w:color="000000" w:sz="8" w:space="0"/>
              <w:right w:val="single" w:color="000000" w:sz="8" w:space="0"/>
            </w:tcBorders>
            <w:noWrap w:val="0"/>
            <w:vAlign w:val="center"/>
          </w:tcPr>
          <w:p w14:paraId="421EED92">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辆</w:t>
            </w:r>
          </w:p>
        </w:tc>
        <w:tc>
          <w:tcPr>
            <w:tcW w:w="211" w:type="pct"/>
            <w:tcBorders>
              <w:top w:val="nil"/>
              <w:left w:val="nil"/>
              <w:bottom w:val="single" w:color="000000" w:sz="8" w:space="0"/>
              <w:right w:val="single" w:color="000000" w:sz="8" w:space="0"/>
            </w:tcBorders>
            <w:noWrap w:val="0"/>
            <w:vAlign w:val="center"/>
          </w:tcPr>
          <w:p w14:paraId="1D061D25">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color w:val="000000"/>
                <w:kern w:val="0"/>
                <w:sz w:val="18"/>
                <w:szCs w:val="18"/>
                <w:u w:val="none"/>
                <w:lang w:val="en-US" w:eastAsia="zh-CN" w:bidi="ar"/>
              </w:rPr>
              <w:t>1</w:t>
            </w:r>
          </w:p>
        </w:tc>
        <w:tc>
          <w:tcPr>
            <w:tcW w:w="478" w:type="pct"/>
            <w:tcBorders>
              <w:top w:val="nil"/>
              <w:left w:val="nil"/>
              <w:bottom w:val="single" w:color="000000" w:sz="8" w:space="0"/>
              <w:right w:val="single" w:color="000000" w:sz="8" w:space="0"/>
            </w:tcBorders>
            <w:noWrap w:val="0"/>
            <w:vAlign w:val="center"/>
          </w:tcPr>
          <w:p w14:paraId="26934BB5">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20"/>
                <w:szCs w:val="20"/>
                <w:u w:val="none"/>
              </w:rPr>
            </w:pPr>
            <w:r>
              <w:rPr>
                <w:rFonts w:hint="default" w:ascii="Times New Roman" w:hAnsi="Times New Roman" w:eastAsia="宋体" w:cs="Times New Roman"/>
                <w:i w:val="0"/>
                <w:iCs w:val="0"/>
                <w:color w:val="000000"/>
                <w:kern w:val="0"/>
                <w:sz w:val="20"/>
                <w:szCs w:val="20"/>
                <w:u w:val="none"/>
                <w:lang w:val="en-US" w:eastAsia="zh-CN" w:bidi="ar"/>
              </w:rPr>
              <w:t>270000</w:t>
            </w:r>
          </w:p>
        </w:tc>
        <w:tc>
          <w:tcPr>
            <w:tcW w:w="329" w:type="pct"/>
            <w:tcBorders>
              <w:top w:val="nil"/>
              <w:left w:val="nil"/>
              <w:bottom w:val="single" w:color="000000" w:sz="8" w:space="0"/>
              <w:right w:val="single" w:color="000000" w:sz="8" w:space="0"/>
            </w:tcBorders>
            <w:noWrap w:val="0"/>
            <w:vAlign w:val="center"/>
          </w:tcPr>
          <w:p w14:paraId="6EEE7544">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b/>
                <w:bCs/>
                <w:i w:val="0"/>
                <w:iCs w:val="0"/>
                <w:color w:val="000000"/>
                <w:sz w:val="18"/>
                <w:szCs w:val="18"/>
                <w:u w:val="none"/>
              </w:rPr>
            </w:pPr>
            <w:r>
              <w:rPr>
                <w:rFonts w:hint="default" w:ascii="Times New Roman" w:hAnsi="Times New Roman" w:eastAsia="宋体" w:cs="Times New Roman"/>
                <w:b/>
                <w:bCs/>
                <w:i w:val="0"/>
                <w:iCs w:val="0"/>
                <w:color w:val="000000"/>
                <w:kern w:val="0"/>
                <w:sz w:val="18"/>
                <w:szCs w:val="18"/>
                <w:u w:val="none"/>
                <w:lang w:val="en-US" w:eastAsia="zh-CN" w:bidi="ar"/>
              </w:rPr>
              <w:t>0.26%</w:t>
            </w:r>
          </w:p>
        </w:tc>
        <w:tc>
          <w:tcPr>
            <w:tcW w:w="1013" w:type="pct"/>
            <w:tcBorders>
              <w:top w:val="nil"/>
              <w:left w:val="nil"/>
              <w:bottom w:val="single" w:color="000000" w:sz="8" w:space="0"/>
              <w:right w:val="single" w:color="000000" w:sz="8" w:space="0"/>
            </w:tcBorders>
            <w:noWrap w:val="0"/>
            <w:vAlign w:val="center"/>
          </w:tcPr>
          <w:p w14:paraId="12B0B6DD">
            <w:pPr>
              <w:spacing w:line="240" w:lineRule="auto"/>
              <w:ind w:firstLine="0" w:firstLineChars="0"/>
              <w:jc w:val="center"/>
              <w:rPr>
                <w:rFonts w:hint="default" w:ascii="Times New Roman" w:hAnsi="Times New Roman" w:eastAsia="宋体" w:cs="Times New Roman"/>
                <w:i w:val="0"/>
                <w:iCs w:val="0"/>
                <w:color w:val="000000"/>
                <w:sz w:val="18"/>
                <w:szCs w:val="18"/>
                <w:u w:val="none"/>
              </w:rPr>
            </w:pPr>
          </w:p>
        </w:tc>
      </w:tr>
      <w:tr w14:paraId="690C361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3" w:hRule="atLeast"/>
        </w:trPr>
        <w:tc>
          <w:tcPr>
            <w:tcW w:w="273" w:type="pct"/>
            <w:tcBorders>
              <w:top w:val="nil"/>
              <w:left w:val="single" w:color="000000" w:sz="8" w:space="0"/>
              <w:bottom w:val="single" w:color="000000" w:sz="8" w:space="0"/>
              <w:right w:val="single" w:color="000000" w:sz="8" w:space="0"/>
            </w:tcBorders>
            <w:noWrap w:val="0"/>
            <w:vAlign w:val="center"/>
          </w:tcPr>
          <w:p w14:paraId="55A3E7BB">
            <w:pPr>
              <w:spacing w:line="240" w:lineRule="auto"/>
              <w:ind w:firstLine="0" w:firstLineChars="0"/>
              <w:jc w:val="center"/>
              <w:rPr>
                <w:rFonts w:hint="default" w:ascii="Times New Roman" w:hAnsi="Times New Roman" w:eastAsia="宋体" w:cs="Times New Roman"/>
                <w:i w:val="0"/>
                <w:iCs w:val="0"/>
                <w:color w:val="000000"/>
                <w:sz w:val="18"/>
                <w:szCs w:val="18"/>
                <w:u w:val="none"/>
              </w:rPr>
            </w:pPr>
          </w:p>
        </w:tc>
        <w:tc>
          <w:tcPr>
            <w:tcW w:w="675" w:type="pct"/>
            <w:tcBorders>
              <w:top w:val="nil"/>
              <w:left w:val="nil"/>
              <w:bottom w:val="single" w:color="000000" w:sz="8" w:space="0"/>
              <w:right w:val="single" w:color="000000" w:sz="8" w:space="0"/>
            </w:tcBorders>
            <w:noWrap w:val="0"/>
            <w:vAlign w:val="center"/>
          </w:tcPr>
          <w:p w14:paraId="71F0DD6B">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作业车</w:t>
            </w:r>
          </w:p>
        </w:tc>
        <w:tc>
          <w:tcPr>
            <w:tcW w:w="398" w:type="pct"/>
            <w:tcBorders>
              <w:top w:val="nil"/>
              <w:left w:val="nil"/>
              <w:bottom w:val="single" w:color="000000" w:sz="8" w:space="0"/>
              <w:right w:val="single" w:color="000000" w:sz="8" w:space="0"/>
            </w:tcBorders>
            <w:noWrap w:val="0"/>
            <w:vAlign w:val="center"/>
          </w:tcPr>
          <w:p w14:paraId="044E488D">
            <w:pPr>
              <w:spacing w:line="240" w:lineRule="auto"/>
              <w:ind w:firstLine="0" w:firstLineChars="0"/>
              <w:jc w:val="center"/>
              <w:rPr>
                <w:rFonts w:hint="default" w:ascii="Times New Roman" w:hAnsi="Times New Roman" w:eastAsia="宋体" w:cs="Times New Roman"/>
                <w:i w:val="0"/>
                <w:iCs w:val="0"/>
                <w:color w:val="000000"/>
                <w:sz w:val="18"/>
                <w:szCs w:val="18"/>
                <w:u w:val="none"/>
              </w:rPr>
            </w:pPr>
          </w:p>
        </w:tc>
        <w:tc>
          <w:tcPr>
            <w:tcW w:w="398" w:type="pct"/>
            <w:tcBorders>
              <w:top w:val="nil"/>
              <w:left w:val="nil"/>
              <w:bottom w:val="single" w:color="000000" w:sz="8" w:space="0"/>
              <w:right w:val="single" w:color="000000" w:sz="8" w:space="0"/>
            </w:tcBorders>
            <w:noWrap w:val="0"/>
            <w:vAlign w:val="center"/>
          </w:tcPr>
          <w:p w14:paraId="7BAF20D6">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color w:val="000000"/>
                <w:kern w:val="0"/>
                <w:sz w:val="18"/>
                <w:szCs w:val="18"/>
                <w:u w:val="none"/>
                <w:lang w:val="en-US" w:eastAsia="zh-CN" w:bidi="ar"/>
              </w:rPr>
              <w:t>27</w:t>
            </w:r>
          </w:p>
        </w:tc>
        <w:tc>
          <w:tcPr>
            <w:tcW w:w="398" w:type="pct"/>
            <w:tcBorders>
              <w:top w:val="nil"/>
              <w:left w:val="nil"/>
              <w:bottom w:val="single" w:color="000000" w:sz="8" w:space="0"/>
              <w:right w:val="single" w:color="000000" w:sz="8" w:space="0"/>
            </w:tcBorders>
            <w:noWrap w:val="0"/>
            <w:vAlign w:val="center"/>
          </w:tcPr>
          <w:p w14:paraId="589D416C">
            <w:pPr>
              <w:spacing w:line="240" w:lineRule="auto"/>
              <w:ind w:firstLine="0" w:firstLineChars="0"/>
              <w:jc w:val="center"/>
              <w:rPr>
                <w:rFonts w:hint="default" w:ascii="Times New Roman" w:hAnsi="Times New Roman" w:eastAsia="宋体" w:cs="Times New Roman"/>
                <w:i w:val="0"/>
                <w:iCs w:val="0"/>
                <w:color w:val="000000"/>
                <w:sz w:val="18"/>
                <w:szCs w:val="18"/>
                <w:u w:val="none"/>
              </w:rPr>
            </w:pPr>
          </w:p>
        </w:tc>
        <w:tc>
          <w:tcPr>
            <w:tcW w:w="346" w:type="pct"/>
            <w:tcBorders>
              <w:top w:val="nil"/>
              <w:left w:val="nil"/>
              <w:bottom w:val="single" w:color="000000" w:sz="8" w:space="0"/>
              <w:right w:val="single" w:color="000000" w:sz="8" w:space="0"/>
            </w:tcBorders>
            <w:noWrap w:val="0"/>
            <w:vAlign w:val="center"/>
          </w:tcPr>
          <w:p w14:paraId="6FCE117E">
            <w:pPr>
              <w:spacing w:line="240" w:lineRule="auto"/>
              <w:ind w:firstLine="0" w:firstLineChars="0"/>
              <w:jc w:val="center"/>
              <w:rPr>
                <w:rFonts w:hint="default" w:ascii="Times New Roman" w:hAnsi="Times New Roman" w:eastAsia="宋体" w:cs="Times New Roman"/>
                <w:i w:val="0"/>
                <w:iCs w:val="0"/>
                <w:color w:val="000000"/>
                <w:sz w:val="18"/>
                <w:szCs w:val="18"/>
                <w:u w:val="none"/>
              </w:rPr>
            </w:pPr>
          </w:p>
        </w:tc>
        <w:tc>
          <w:tcPr>
            <w:tcW w:w="326" w:type="pct"/>
            <w:tcBorders>
              <w:top w:val="nil"/>
              <w:left w:val="nil"/>
              <w:bottom w:val="single" w:color="000000" w:sz="8" w:space="0"/>
              <w:right w:val="single" w:color="000000" w:sz="8" w:space="0"/>
            </w:tcBorders>
            <w:noWrap w:val="0"/>
            <w:vAlign w:val="center"/>
          </w:tcPr>
          <w:p w14:paraId="0187020F">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color w:val="000000"/>
                <w:kern w:val="0"/>
                <w:sz w:val="18"/>
                <w:szCs w:val="18"/>
                <w:u w:val="none"/>
                <w:lang w:val="en-US" w:eastAsia="zh-CN" w:bidi="ar"/>
              </w:rPr>
              <w:t>27</w:t>
            </w:r>
          </w:p>
        </w:tc>
        <w:tc>
          <w:tcPr>
            <w:tcW w:w="148" w:type="pct"/>
            <w:tcBorders>
              <w:top w:val="nil"/>
              <w:left w:val="nil"/>
              <w:bottom w:val="single" w:color="000000" w:sz="8" w:space="0"/>
              <w:right w:val="single" w:color="000000" w:sz="8" w:space="0"/>
            </w:tcBorders>
            <w:noWrap w:val="0"/>
            <w:vAlign w:val="center"/>
          </w:tcPr>
          <w:p w14:paraId="34508919">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套</w:t>
            </w:r>
          </w:p>
        </w:tc>
        <w:tc>
          <w:tcPr>
            <w:tcW w:w="211" w:type="pct"/>
            <w:tcBorders>
              <w:top w:val="nil"/>
              <w:left w:val="nil"/>
              <w:bottom w:val="single" w:color="000000" w:sz="8" w:space="0"/>
              <w:right w:val="single" w:color="000000" w:sz="8" w:space="0"/>
            </w:tcBorders>
            <w:noWrap w:val="0"/>
            <w:vAlign w:val="center"/>
          </w:tcPr>
          <w:p w14:paraId="61BBB129">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color w:val="000000"/>
                <w:kern w:val="0"/>
                <w:sz w:val="18"/>
                <w:szCs w:val="18"/>
                <w:u w:val="none"/>
                <w:lang w:val="en-US" w:eastAsia="zh-CN" w:bidi="ar"/>
              </w:rPr>
              <w:t>1</w:t>
            </w:r>
          </w:p>
        </w:tc>
        <w:tc>
          <w:tcPr>
            <w:tcW w:w="478" w:type="pct"/>
            <w:tcBorders>
              <w:top w:val="nil"/>
              <w:left w:val="nil"/>
              <w:bottom w:val="single" w:color="000000" w:sz="8" w:space="0"/>
              <w:right w:val="single" w:color="000000" w:sz="8" w:space="0"/>
            </w:tcBorders>
            <w:noWrap w:val="0"/>
            <w:vAlign w:val="center"/>
          </w:tcPr>
          <w:p w14:paraId="1DFE3BD6">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20"/>
                <w:szCs w:val="20"/>
                <w:u w:val="none"/>
              </w:rPr>
            </w:pPr>
            <w:r>
              <w:rPr>
                <w:rFonts w:hint="default" w:ascii="Times New Roman" w:hAnsi="Times New Roman" w:eastAsia="宋体" w:cs="Times New Roman"/>
                <w:i w:val="0"/>
                <w:iCs w:val="0"/>
                <w:color w:val="000000"/>
                <w:kern w:val="0"/>
                <w:sz w:val="20"/>
                <w:szCs w:val="20"/>
                <w:u w:val="none"/>
                <w:lang w:val="en-US" w:eastAsia="zh-CN" w:bidi="ar"/>
              </w:rPr>
              <w:t>270000</w:t>
            </w:r>
          </w:p>
        </w:tc>
        <w:tc>
          <w:tcPr>
            <w:tcW w:w="329" w:type="pct"/>
            <w:tcBorders>
              <w:top w:val="nil"/>
              <w:left w:val="nil"/>
              <w:bottom w:val="single" w:color="000000" w:sz="8" w:space="0"/>
              <w:right w:val="single" w:color="000000" w:sz="8" w:space="0"/>
            </w:tcBorders>
            <w:noWrap w:val="0"/>
            <w:vAlign w:val="center"/>
          </w:tcPr>
          <w:p w14:paraId="3EEF7D6A">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b/>
                <w:bCs/>
                <w:i w:val="0"/>
                <w:iCs w:val="0"/>
                <w:color w:val="000000"/>
                <w:sz w:val="18"/>
                <w:szCs w:val="18"/>
                <w:u w:val="none"/>
              </w:rPr>
            </w:pPr>
            <w:r>
              <w:rPr>
                <w:rFonts w:hint="default" w:ascii="Times New Roman" w:hAnsi="Times New Roman" w:eastAsia="宋体" w:cs="Times New Roman"/>
                <w:b/>
                <w:bCs/>
                <w:i w:val="0"/>
                <w:iCs w:val="0"/>
                <w:color w:val="000000"/>
                <w:kern w:val="0"/>
                <w:sz w:val="18"/>
                <w:szCs w:val="18"/>
                <w:u w:val="none"/>
                <w:lang w:val="en-US" w:eastAsia="zh-CN" w:bidi="ar"/>
              </w:rPr>
              <w:t>0.26%</w:t>
            </w:r>
          </w:p>
        </w:tc>
        <w:tc>
          <w:tcPr>
            <w:tcW w:w="1013" w:type="pct"/>
            <w:tcBorders>
              <w:top w:val="nil"/>
              <w:left w:val="nil"/>
              <w:bottom w:val="single" w:color="000000" w:sz="8" w:space="0"/>
              <w:right w:val="single" w:color="000000" w:sz="8" w:space="0"/>
            </w:tcBorders>
            <w:noWrap w:val="0"/>
            <w:vAlign w:val="center"/>
          </w:tcPr>
          <w:p w14:paraId="1832B9A8">
            <w:pPr>
              <w:spacing w:line="240" w:lineRule="auto"/>
              <w:ind w:firstLine="0" w:firstLineChars="0"/>
              <w:jc w:val="center"/>
              <w:rPr>
                <w:rFonts w:hint="default" w:ascii="Times New Roman" w:hAnsi="Times New Roman" w:eastAsia="宋体" w:cs="Times New Roman"/>
                <w:i w:val="0"/>
                <w:iCs w:val="0"/>
                <w:color w:val="000000"/>
                <w:sz w:val="18"/>
                <w:szCs w:val="18"/>
                <w:u w:val="none"/>
              </w:rPr>
            </w:pPr>
          </w:p>
        </w:tc>
      </w:tr>
      <w:tr w14:paraId="6E21C55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3" w:hRule="atLeast"/>
        </w:trPr>
        <w:tc>
          <w:tcPr>
            <w:tcW w:w="273" w:type="pct"/>
            <w:tcBorders>
              <w:top w:val="nil"/>
              <w:left w:val="single" w:color="000000" w:sz="8" w:space="0"/>
              <w:bottom w:val="single" w:color="000000" w:sz="8" w:space="0"/>
              <w:right w:val="single" w:color="000000" w:sz="8" w:space="0"/>
            </w:tcBorders>
            <w:noWrap w:val="0"/>
            <w:vAlign w:val="center"/>
          </w:tcPr>
          <w:p w14:paraId="33380773">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二</w:t>
            </w:r>
          </w:p>
        </w:tc>
        <w:tc>
          <w:tcPr>
            <w:tcW w:w="675" w:type="pct"/>
            <w:tcBorders>
              <w:top w:val="nil"/>
              <w:left w:val="nil"/>
              <w:bottom w:val="single" w:color="000000" w:sz="8" w:space="0"/>
              <w:right w:val="single" w:color="000000" w:sz="8" w:space="0"/>
            </w:tcBorders>
            <w:noWrap w:val="0"/>
            <w:vAlign w:val="center"/>
          </w:tcPr>
          <w:p w14:paraId="702A2936">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大件垃圾分解设备</w:t>
            </w:r>
          </w:p>
        </w:tc>
        <w:tc>
          <w:tcPr>
            <w:tcW w:w="398" w:type="pct"/>
            <w:tcBorders>
              <w:top w:val="nil"/>
              <w:left w:val="nil"/>
              <w:bottom w:val="single" w:color="000000" w:sz="8" w:space="0"/>
              <w:right w:val="single" w:color="000000" w:sz="8" w:space="0"/>
            </w:tcBorders>
            <w:noWrap w:val="0"/>
            <w:vAlign w:val="center"/>
          </w:tcPr>
          <w:p w14:paraId="14B1041D">
            <w:pPr>
              <w:spacing w:line="240" w:lineRule="auto"/>
              <w:ind w:firstLine="0" w:firstLineChars="0"/>
              <w:jc w:val="center"/>
              <w:rPr>
                <w:rFonts w:hint="default" w:ascii="Times New Roman" w:hAnsi="Times New Roman" w:eastAsia="宋体" w:cs="Times New Roman"/>
                <w:b/>
                <w:bCs/>
                <w:i w:val="0"/>
                <w:iCs w:val="0"/>
                <w:color w:val="000000"/>
                <w:sz w:val="18"/>
                <w:szCs w:val="18"/>
                <w:u w:val="none"/>
              </w:rPr>
            </w:pPr>
          </w:p>
        </w:tc>
        <w:tc>
          <w:tcPr>
            <w:tcW w:w="398" w:type="pct"/>
            <w:tcBorders>
              <w:top w:val="nil"/>
              <w:left w:val="nil"/>
              <w:bottom w:val="single" w:color="000000" w:sz="8" w:space="0"/>
              <w:right w:val="single" w:color="000000" w:sz="8" w:space="0"/>
            </w:tcBorders>
            <w:noWrap w:val="0"/>
            <w:vAlign w:val="center"/>
          </w:tcPr>
          <w:p w14:paraId="67993E31">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color w:val="000000"/>
                <w:kern w:val="0"/>
                <w:sz w:val="18"/>
                <w:szCs w:val="18"/>
                <w:u w:val="none"/>
                <w:lang w:val="en-US" w:eastAsia="zh-CN" w:bidi="ar"/>
              </w:rPr>
              <w:t>1411.1</w:t>
            </w:r>
          </w:p>
        </w:tc>
        <w:tc>
          <w:tcPr>
            <w:tcW w:w="398" w:type="pct"/>
            <w:tcBorders>
              <w:top w:val="nil"/>
              <w:left w:val="nil"/>
              <w:bottom w:val="single" w:color="000000" w:sz="8" w:space="0"/>
              <w:right w:val="single" w:color="000000" w:sz="8" w:space="0"/>
            </w:tcBorders>
            <w:noWrap w:val="0"/>
            <w:vAlign w:val="center"/>
          </w:tcPr>
          <w:p w14:paraId="52C67220">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color w:val="000000"/>
                <w:kern w:val="0"/>
                <w:sz w:val="18"/>
                <w:szCs w:val="18"/>
                <w:u w:val="none"/>
                <w:lang w:val="en-US" w:eastAsia="zh-CN" w:bidi="ar"/>
              </w:rPr>
              <w:t>254</w:t>
            </w:r>
          </w:p>
        </w:tc>
        <w:tc>
          <w:tcPr>
            <w:tcW w:w="346" w:type="pct"/>
            <w:tcBorders>
              <w:top w:val="nil"/>
              <w:left w:val="nil"/>
              <w:bottom w:val="single" w:color="000000" w:sz="8" w:space="0"/>
              <w:right w:val="single" w:color="000000" w:sz="8" w:space="0"/>
            </w:tcBorders>
            <w:noWrap w:val="0"/>
            <w:vAlign w:val="center"/>
          </w:tcPr>
          <w:p w14:paraId="56A2BE3F">
            <w:pPr>
              <w:spacing w:line="240" w:lineRule="auto"/>
              <w:ind w:firstLine="0" w:firstLineChars="0"/>
              <w:jc w:val="center"/>
              <w:rPr>
                <w:rFonts w:hint="default" w:ascii="Times New Roman" w:hAnsi="Times New Roman" w:eastAsia="宋体" w:cs="Times New Roman"/>
                <w:b/>
                <w:bCs/>
                <w:i w:val="0"/>
                <w:iCs w:val="0"/>
                <w:color w:val="000000"/>
                <w:sz w:val="18"/>
                <w:szCs w:val="18"/>
                <w:u w:val="none"/>
              </w:rPr>
            </w:pPr>
          </w:p>
        </w:tc>
        <w:tc>
          <w:tcPr>
            <w:tcW w:w="326" w:type="pct"/>
            <w:tcBorders>
              <w:top w:val="nil"/>
              <w:left w:val="nil"/>
              <w:bottom w:val="single" w:color="000000" w:sz="8" w:space="0"/>
              <w:right w:val="single" w:color="000000" w:sz="8" w:space="0"/>
            </w:tcBorders>
            <w:noWrap w:val="0"/>
            <w:vAlign w:val="center"/>
          </w:tcPr>
          <w:p w14:paraId="00C62F4E">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color w:val="000000"/>
                <w:kern w:val="0"/>
                <w:sz w:val="18"/>
                <w:szCs w:val="18"/>
                <w:u w:val="none"/>
                <w:lang w:val="en-US" w:eastAsia="zh-CN" w:bidi="ar"/>
              </w:rPr>
              <w:t>1665.1</w:t>
            </w:r>
          </w:p>
        </w:tc>
        <w:tc>
          <w:tcPr>
            <w:tcW w:w="148" w:type="pct"/>
            <w:tcBorders>
              <w:top w:val="nil"/>
              <w:left w:val="nil"/>
              <w:bottom w:val="single" w:color="000000" w:sz="8" w:space="0"/>
              <w:right w:val="single" w:color="000000" w:sz="8" w:space="0"/>
            </w:tcBorders>
            <w:noWrap w:val="0"/>
            <w:vAlign w:val="center"/>
          </w:tcPr>
          <w:p w14:paraId="48A3EDAC">
            <w:pPr>
              <w:spacing w:line="240" w:lineRule="auto"/>
              <w:ind w:firstLine="0" w:firstLineChars="0"/>
              <w:jc w:val="center"/>
              <w:rPr>
                <w:rFonts w:hint="default" w:ascii="Times New Roman" w:hAnsi="Times New Roman" w:eastAsia="宋体" w:cs="Times New Roman"/>
                <w:b/>
                <w:bCs/>
                <w:i w:val="0"/>
                <w:iCs w:val="0"/>
                <w:color w:val="000000"/>
                <w:sz w:val="18"/>
                <w:szCs w:val="18"/>
                <w:u w:val="none"/>
              </w:rPr>
            </w:pPr>
          </w:p>
        </w:tc>
        <w:tc>
          <w:tcPr>
            <w:tcW w:w="211" w:type="pct"/>
            <w:tcBorders>
              <w:top w:val="nil"/>
              <w:left w:val="nil"/>
              <w:bottom w:val="single" w:color="000000" w:sz="8" w:space="0"/>
              <w:right w:val="single" w:color="000000" w:sz="8" w:space="0"/>
            </w:tcBorders>
            <w:noWrap w:val="0"/>
            <w:vAlign w:val="center"/>
          </w:tcPr>
          <w:p w14:paraId="46055CD3">
            <w:pPr>
              <w:spacing w:line="240" w:lineRule="auto"/>
              <w:ind w:firstLine="0" w:firstLineChars="0"/>
              <w:jc w:val="center"/>
              <w:rPr>
                <w:rFonts w:hint="default" w:ascii="Times New Roman" w:hAnsi="Times New Roman" w:eastAsia="宋体" w:cs="Times New Roman"/>
                <w:b/>
                <w:bCs/>
                <w:i w:val="0"/>
                <w:iCs w:val="0"/>
                <w:color w:val="000000"/>
                <w:sz w:val="18"/>
                <w:szCs w:val="18"/>
                <w:u w:val="none"/>
              </w:rPr>
            </w:pPr>
          </w:p>
        </w:tc>
        <w:tc>
          <w:tcPr>
            <w:tcW w:w="478" w:type="pct"/>
            <w:tcBorders>
              <w:top w:val="nil"/>
              <w:left w:val="nil"/>
              <w:bottom w:val="single" w:color="000000" w:sz="8" w:space="0"/>
              <w:right w:val="single" w:color="000000" w:sz="8" w:space="0"/>
            </w:tcBorders>
            <w:noWrap w:val="0"/>
            <w:vAlign w:val="center"/>
          </w:tcPr>
          <w:p w14:paraId="39EB8F05">
            <w:pPr>
              <w:spacing w:line="240" w:lineRule="auto"/>
              <w:ind w:firstLine="0" w:firstLineChars="0"/>
              <w:jc w:val="center"/>
              <w:rPr>
                <w:rFonts w:hint="default" w:ascii="Times New Roman" w:hAnsi="Times New Roman" w:eastAsia="宋体" w:cs="Times New Roman"/>
                <w:b/>
                <w:bCs/>
                <w:i w:val="0"/>
                <w:iCs w:val="0"/>
                <w:color w:val="000000"/>
                <w:sz w:val="18"/>
                <w:szCs w:val="18"/>
                <w:u w:val="none"/>
              </w:rPr>
            </w:pPr>
          </w:p>
        </w:tc>
        <w:tc>
          <w:tcPr>
            <w:tcW w:w="329" w:type="pct"/>
            <w:tcBorders>
              <w:top w:val="nil"/>
              <w:left w:val="nil"/>
              <w:bottom w:val="single" w:color="000000" w:sz="8" w:space="0"/>
              <w:right w:val="single" w:color="000000" w:sz="8" w:space="0"/>
            </w:tcBorders>
            <w:noWrap w:val="0"/>
            <w:vAlign w:val="center"/>
          </w:tcPr>
          <w:p w14:paraId="1DAB932E">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b/>
                <w:bCs/>
                <w:i w:val="0"/>
                <w:iCs w:val="0"/>
                <w:color w:val="000000"/>
                <w:sz w:val="18"/>
                <w:szCs w:val="18"/>
                <w:u w:val="none"/>
              </w:rPr>
            </w:pPr>
            <w:r>
              <w:rPr>
                <w:rFonts w:hint="default" w:ascii="Times New Roman" w:hAnsi="Times New Roman" w:eastAsia="宋体" w:cs="Times New Roman"/>
                <w:b/>
                <w:bCs/>
                <w:i w:val="0"/>
                <w:iCs w:val="0"/>
                <w:color w:val="000000"/>
                <w:kern w:val="0"/>
                <w:sz w:val="18"/>
                <w:szCs w:val="18"/>
                <w:u w:val="none"/>
                <w:lang w:val="en-US" w:eastAsia="zh-CN" w:bidi="ar"/>
              </w:rPr>
              <w:t>16.32%</w:t>
            </w:r>
          </w:p>
        </w:tc>
        <w:tc>
          <w:tcPr>
            <w:tcW w:w="1013" w:type="pct"/>
            <w:tcBorders>
              <w:top w:val="nil"/>
              <w:left w:val="nil"/>
              <w:bottom w:val="single" w:color="000000" w:sz="8" w:space="0"/>
              <w:right w:val="single" w:color="000000" w:sz="8" w:space="0"/>
            </w:tcBorders>
            <w:noWrap w:val="0"/>
            <w:vAlign w:val="center"/>
          </w:tcPr>
          <w:p w14:paraId="4FA1CCD4">
            <w:pPr>
              <w:spacing w:line="240" w:lineRule="auto"/>
              <w:ind w:firstLine="0" w:firstLineChars="0"/>
              <w:jc w:val="center"/>
              <w:rPr>
                <w:rFonts w:hint="default" w:ascii="Times New Roman" w:hAnsi="Times New Roman" w:eastAsia="宋体" w:cs="Times New Roman"/>
                <w:b/>
                <w:bCs/>
                <w:i w:val="0"/>
                <w:iCs w:val="0"/>
                <w:color w:val="000000"/>
                <w:sz w:val="18"/>
                <w:szCs w:val="18"/>
                <w:u w:val="none"/>
              </w:rPr>
            </w:pPr>
          </w:p>
        </w:tc>
      </w:tr>
      <w:tr w14:paraId="482E5CF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3" w:hRule="atLeast"/>
        </w:trPr>
        <w:tc>
          <w:tcPr>
            <w:tcW w:w="273" w:type="pct"/>
            <w:tcBorders>
              <w:top w:val="nil"/>
              <w:left w:val="single" w:color="000000" w:sz="8" w:space="0"/>
              <w:bottom w:val="single" w:color="000000" w:sz="8" w:space="0"/>
              <w:right w:val="single" w:color="000000" w:sz="8" w:space="0"/>
            </w:tcBorders>
            <w:noWrap w:val="0"/>
            <w:vAlign w:val="center"/>
          </w:tcPr>
          <w:p w14:paraId="55094875">
            <w:pPr>
              <w:spacing w:line="240" w:lineRule="auto"/>
              <w:ind w:firstLine="0" w:firstLineChars="0"/>
              <w:jc w:val="center"/>
              <w:rPr>
                <w:rFonts w:hint="default" w:ascii="Times New Roman" w:hAnsi="Times New Roman" w:eastAsia="宋体" w:cs="Times New Roman"/>
                <w:i w:val="0"/>
                <w:iCs w:val="0"/>
                <w:color w:val="000000"/>
                <w:sz w:val="18"/>
                <w:szCs w:val="18"/>
                <w:u w:val="none"/>
              </w:rPr>
            </w:pPr>
          </w:p>
        </w:tc>
        <w:tc>
          <w:tcPr>
            <w:tcW w:w="675" w:type="pct"/>
            <w:tcBorders>
              <w:top w:val="nil"/>
              <w:left w:val="nil"/>
              <w:bottom w:val="single" w:color="000000" w:sz="8" w:space="0"/>
              <w:right w:val="single" w:color="000000" w:sz="8" w:space="0"/>
            </w:tcBorders>
            <w:noWrap w:val="0"/>
            <w:vAlign w:val="center"/>
          </w:tcPr>
          <w:p w14:paraId="4EBAFFF1">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污水提升泵</w:t>
            </w:r>
          </w:p>
        </w:tc>
        <w:tc>
          <w:tcPr>
            <w:tcW w:w="398" w:type="pct"/>
            <w:tcBorders>
              <w:top w:val="nil"/>
              <w:left w:val="nil"/>
              <w:bottom w:val="single" w:color="000000" w:sz="8" w:space="0"/>
              <w:right w:val="single" w:color="000000" w:sz="8" w:space="0"/>
            </w:tcBorders>
            <w:noWrap w:val="0"/>
            <w:vAlign w:val="center"/>
          </w:tcPr>
          <w:p w14:paraId="552800E5">
            <w:pPr>
              <w:spacing w:line="240" w:lineRule="auto"/>
              <w:ind w:firstLine="0" w:firstLineChars="0"/>
              <w:jc w:val="center"/>
              <w:rPr>
                <w:rFonts w:hint="default" w:ascii="Times New Roman" w:hAnsi="Times New Roman" w:eastAsia="宋体" w:cs="Times New Roman"/>
                <w:i w:val="0"/>
                <w:iCs w:val="0"/>
                <w:color w:val="000000"/>
                <w:sz w:val="18"/>
                <w:szCs w:val="18"/>
                <w:u w:val="none"/>
              </w:rPr>
            </w:pPr>
          </w:p>
        </w:tc>
        <w:tc>
          <w:tcPr>
            <w:tcW w:w="398" w:type="pct"/>
            <w:tcBorders>
              <w:top w:val="nil"/>
              <w:left w:val="nil"/>
              <w:bottom w:val="single" w:color="000000" w:sz="8" w:space="0"/>
              <w:right w:val="single" w:color="000000" w:sz="8" w:space="0"/>
            </w:tcBorders>
            <w:noWrap w:val="0"/>
            <w:vAlign w:val="center"/>
          </w:tcPr>
          <w:p w14:paraId="17F42A37">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color w:val="000000"/>
                <w:kern w:val="0"/>
                <w:sz w:val="18"/>
                <w:szCs w:val="18"/>
                <w:u w:val="none"/>
                <w:lang w:val="en-US" w:eastAsia="zh-CN" w:bidi="ar"/>
              </w:rPr>
              <w:t>2.92</w:t>
            </w:r>
          </w:p>
        </w:tc>
        <w:tc>
          <w:tcPr>
            <w:tcW w:w="398" w:type="pct"/>
            <w:tcBorders>
              <w:top w:val="nil"/>
              <w:left w:val="nil"/>
              <w:bottom w:val="single" w:color="000000" w:sz="8" w:space="0"/>
              <w:right w:val="single" w:color="000000" w:sz="8" w:space="0"/>
            </w:tcBorders>
            <w:noWrap w:val="0"/>
            <w:vAlign w:val="center"/>
          </w:tcPr>
          <w:p w14:paraId="4DD3F3F6">
            <w:pPr>
              <w:spacing w:line="240" w:lineRule="auto"/>
              <w:ind w:firstLine="0" w:firstLineChars="0"/>
              <w:jc w:val="center"/>
              <w:rPr>
                <w:rFonts w:hint="default" w:ascii="Times New Roman" w:hAnsi="Times New Roman" w:eastAsia="宋体" w:cs="Times New Roman"/>
                <w:i w:val="0"/>
                <w:iCs w:val="0"/>
                <w:color w:val="000000"/>
                <w:sz w:val="18"/>
                <w:szCs w:val="18"/>
                <w:u w:val="none"/>
              </w:rPr>
            </w:pPr>
          </w:p>
        </w:tc>
        <w:tc>
          <w:tcPr>
            <w:tcW w:w="346" w:type="pct"/>
            <w:tcBorders>
              <w:top w:val="nil"/>
              <w:left w:val="nil"/>
              <w:bottom w:val="single" w:color="000000" w:sz="8" w:space="0"/>
              <w:right w:val="single" w:color="000000" w:sz="8" w:space="0"/>
            </w:tcBorders>
            <w:noWrap w:val="0"/>
            <w:vAlign w:val="center"/>
          </w:tcPr>
          <w:p w14:paraId="4C8B6E81">
            <w:pPr>
              <w:spacing w:line="240" w:lineRule="auto"/>
              <w:ind w:firstLine="0" w:firstLineChars="0"/>
              <w:jc w:val="center"/>
              <w:rPr>
                <w:rFonts w:hint="default" w:ascii="Times New Roman" w:hAnsi="Times New Roman" w:eastAsia="宋体" w:cs="Times New Roman"/>
                <w:i w:val="0"/>
                <w:iCs w:val="0"/>
                <w:color w:val="000000"/>
                <w:sz w:val="18"/>
                <w:szCs w:val="18"/>
                <w:u w:val="none"/>
              </w:rPr>
            </w:pPr>
          </w:p>
        </w:tc>
        <w:tc>
          <w:tcPr>
            <w:tcW w:w="326" w:type="pct"/>
            <w:tcBorders>
              <w:top w:val="nil"/>
              <w:left w:val="nil"/>
              <w:bottom w:val="single" w:color="000000" w:sz="8" w:space="0"/>
              <w:right w:val="single" w:color="000000" w:sz="8" w:space="0"/>
            </w:tcBorders>
            <w:noWrap w:val="0"/>
            <w:vAlign w:val="center"/>
          </w:tcPr>
          <w:p w14:paraId="558789A1">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color w:val="000000"/>
                <w:kern w:val="0"/>
                <w:sz w:val="18"/>
                <w:szCs w:val="18"/>
                <w:u w:val="none"/>
                <w:lang w:val="en-US" w:eastAsia="zh-CN" w:bidi="ar"/>
              </w:rPr>
              <w:t>2.92</w:t>
            </w:r>
          </w:p>
        </w:tc>
        <w:tc>
          <w:tcPr>
            <w:tcW w:w="148" w:type="pct"/>
            <w:tcBorders>
              <w:top w:val="nil"/>
              <w:left w:val="nil"/>
              <w:bottom w:val="single" w:color="000000" w:sz="8" w:space="0"/>
              <w:right w:val="single" w:color="000000" w:sz="8" w:space="0"/>
            </w:tcBorders>
            <w:noWrap w:val="0"/>
            <w:vAlign w:val="center"/>
          </w:tcPr>
          <w:p w14:paraId="1E5FD949">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台</w:t>
            </w:r>
          </w:p>
        </w:tc>
        <w:tc>
          <w:tcPr>
            <w:tcW w:w="211" w:type="pct"/>
            <w:tcBorders>
              <w:top w:val="nil"/>
              <w:left w:val="nil"/>
              <w:bottom w:val="single" w:color="000000" w:sz="8" w:space="0"/>
              <w:right w:val="single" w:color="000000" w:sz="8" w:space="0"/>
            </w:tcBorders>
            <w:noWrap w:val="0"/>
            <w:vAlign w:val="center"/>
          </w:tcPr>
          <w:p w14:paraId="33A66F8E">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color w:val="000000"/>
                <w:kern w:val="0"/>
                <w:sz w:val="18"/>
                <w:szCs w:val="18"/>
                <w:u w:val="none"/>
                <w:lang w:val="en-US" w:eastAsia="zh-CN" w:bidi="ar"/>
              </w:rPr>
              <w:t>4</w:t>
            </w:r>
          </w:p>
        </w:tc>
        <w:tc>
          <w:tcPr>
            <w:tcW w:w="478" w:type="pct"/>
            <w:tcBorders>
              <w:top w:val="nil"/>
              <w:left w:val="nil"/>
              <w:bottom w:val="single" w:color="000000" w:sz="8" w:space="0"/>
              <w:right w:val="single" w:color="000000" w:sz="8" w:space="0"/>
            </w:tcBorders>
            <w:noWrap w:val="0"/>
            <w:vAlign w:val="center"/>
          </w:tcPr>
          <w:p w14:paraId="7D5DAC2F">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20"/>
                <w:szCs w:val="20"/>
                <w:u w:val="none"/>
              </w:rPr>
            </w:pPr>
            <w:r>
              <w:rPr>
                <w:rFonts w:hint="default" w:ascii="Times New Roman" w:hAnsi="Times New Roman" w:eastAsia="宋体" w:cs="Times New Roman"/>
                <w:i w:val="0"/>
                <w:iCs w:val="0"/>
                <w:color w:val="000000"/>
                <w:kern w:val="0"/>
                <w:sz w:val="20"/>
                <w:szCs w:val="20"/>
                <w:u w:val="none"/>
                <w:lang w:val="en-US" w:eastAsia="zh-CN" w:bidi="ar"/>
              </w:rPr>
              <w:t>7300</w:t>
            </w:r>
          </w:p>
        </w:tc>
        <w:tc>
          <w:tcPr>
            <w:tcW w:w="329" w:type="pct"/>
            <w:tcBorders>
              <w:top w:val="nil"/>
              <w:left w:val="nil"/>
              <w:bottom w:val="single" w:color="000000" w:sz="8" w:space="0"/>
              <w:right w:val="single" w:color="000000" w:sz="8" w:space="0"/>
            </w:tcBorders>
            <w:noWrap w:val="0"/>
            <w:vAlign w:val="center"/>
          </w:tcPr>
          <w:p w14:paraId="3BB88CC6">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b/>
                <w:bCs/>
                <w:i w:val="0"/>
                <w:iCs w:val="0"/>
                <w:color w:val="000000"/>
                <w:sz w:val="18"/>
                <w:szCs w:val="18"/>
                <w:u w:val="none"/>
              </w:rPr>
            </w:pPr>
            <w:r>
              <w:rPr>
                <w:rFonts w:hint="default" w:ascii="Times New Roman" w:hAnsi="Times New Roman" w:eastAsia="宋体" w:cs="Times New Roman"/>
                <w:b/>
                <w:bCs/>
                <w:i w:val="0"/>
                <w:iCs w:val="0"/>
                <w:color w:val="000000"/>
                <w:kern w:val="0"/>
                <w:sz w:val="18"/>
                <w:szCs w:val="18"/>
                <w:u w:val="none"/>
                <w:lang w:val="en-US" w:eastAsia="zh-CN" w:bidi="ar"/>
              </w:rPr>
              <w:t>0.03%</w:t>
            </w:r>
          </w:p>
        </w:tc>
        <w:tc>
          <w:tcPr>
            <w:tcW w:w="1013" w:type="pct"/>
            <w:tcBorders>
              <w:top w:val="nil"/>
              <w:left w:val="nil"/>
              <w:bottom w:val="single" w:color="000000" w:sz="8" w:space="0"/>
              <w:right w:val="single" w:color="000000" w:sz="8" w:space="0"/>
            </w:tcBorders>
            <w:noWrap w:val="0"/>
            <w:vAlign w:val="center"/>
          </w:tcPr>
          <w:p w14:paraId="0BEF95E6">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color w:val="000000"/>
                <w:kern w:val="0"/>
                <w:sz w:val="18"/>
                <w:szCs w:val="18"/>
                <w:u w:val="none"/>
                <w:lang w:val="en-US" w:eastAsia="zh-CN" w:bidi="ar"/>
              </w:rPr>
              <w:t>SS316Q=7m</w:t>
            </w:r>
            <w:r>
              <w:rPr>
                <w:rFonts w:hint="eastAsia" w:ascii="宋体" w:hAnsi="宋体" w:eastAsia="宋体" w:cs="宋体"/>
                <w:i w:val="0"/>
                <w:iCs w:val="0"/>
                <w:color w:val="000000"/>
                <w:kern w:val="0"/>
                <w:sz w:val="18"/>
                <w:szCs w:val="18"/>
                <w:u w:val="none"/>
                <w:lang w:val="en-US" w:eastAsia="zh-CN" w:bidi="ar"/>
              </w:rPr>
              <w:t>³</w:t>
            </w:r>
            <w:r>
              <w:rPr>
                <w:rFonts w:hint="default" w:ascii="Times New Roman" w:hAnsi="Times New Roman" w:eastAsia="宋体" w:cs="Times New Roman"/>
                <w:i w:val="0"/>
                <w:iCs w:val="0"/>
                <w:color w:val="000000"/>
                <w:kern w:val="0"/>
                <w:sz w:val="18"/>
                <w:szCs w:val="18"/>
                <w:u w:val="none"/>
                <w:lang w:val="en-US" w:eastAsia="zh-CN" w:bidi="ar"/>
              </w:rPr>
              <w:t>/hH=7mN=0.37KW</w:t>
            </w:r>
          </w:p>
        </w:tc>
      </w:tr>
      <w:tr w14:paraId="7F1C271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3" w:hRule="atLeast"/>
        </w:trPr>
        <w:tc>
          <w:tcPr>
            <w:tcW w:w="273" w:type="pct"/>
            <w:tcBorders>
              <w:top w:val="nil"/>
              <w:left w:val="single" w:color="000000" w:sz="8" w:space="0"/>
              <w:bottom w:val="single" w:color="000000" w:sz="8" w:space="0"/>
              <w:right w:val="single" w:color="000000" w:sz="8" w:space="0"/>
            </w:tcBorders>
            <w:noWrap w:val="0"/>
            <w:vAlign w:val="center"/>
          </w:tcPr>
          <w:p w14:paraId="56F7D28B">
            <w:pPr>
              <w:spacing w:line="240" w:lineRule="auto"/>
              <w:ind w:firstLine="0" w:firstLineChars="0"/>
              <w:jc w:val="center"/>
              <w:rPr>
                <w:rFonts w:hint="default" w:ascii="Times New Roman" w:hAnsi="Times New Roman" w:eastAsia="宋体" w:cs="Times New Roman"/>
                <w:i w:val="0"/>
                <w:iCs w:val="0"/>
                <w:color w:val="000000"/>
                <w:sz w:val="18"/>
                <w:szCs w:val="18"/>
                <w:u w:val="none"/>
              </w:rPr>
            </w:pPr>
          </w:p>
        </w:tc>
        <w:tc>
          <w:tcPr>
            <w:tcW w:w="675" w:type="pct"/>
            <w:tcBorders>
              <w:top w:val="nil"/>
              <w:left w:val="nil"/>
              <w:bottom w:val="single" w:color="000000" w:sz="8" w:space="0"/>
              <w:right w:val="single" w:color="000000" w:sz="8" w:space="0"/>
            </w:tcBorders>
            <w:noWrap w:val="0"/>
            <w:vAlign w:val="center"/>
          </w:tcPr>
          <w:p w14:paraId="29DFD143">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液位控制系统</w:t>
            </w:r>
          </w:p>
        </w:tc>
        <w:tc>
          <w:tcPr>
            <w:tcW w:w="398" w:type="pct"/>
            <w:tcBorders>
              <w:top w:val="nil"/>
              <w:left w:val="nil"/>
              <w:bottom w:val="single" w:color="000000" w:sz="8" w:space="0"/>
              <w:right w:val="single" w:color="000000" w:sz="8" w:space="0"/>
            </w:tcBorders>
            <w:noWrap w:val="0"/>
            <w:vAlign w:val="center"/>
          </w:tcPr>
          <w:p w14:paraId="5A956C65">
            <w:pPr>
              <w:spacing w:line="240" w:lineRule="auto"/>
              <w:ind w:firstLine="0" w:firstLineChars="0"/>
              <w:jc w:val="center"/>
              <w:rPr>
                <w:rFonts w:hint="default" w:ascii="Times New Roman" w:hAnsi="Times New Roman" w:eastAsia="宋体" w:cs="Times New Roman"/>
                <w:i w:val="0"/>
                <w:iCs w:val="0"/>
                <w:color w:val="000000"/>
                <w:sz w:val="18"/>
                <w:szCs w:val="18"/>
                <w:u w:val="none"/>
              </w:rPr>
            </w:pPr>
          </w:p>
        </w:tc>
        <w:tc>
          <w:tcPr>
            <w:tcW w:w="398" w:type="pct"/>
            <w:tcBorders>
              <w:top w:val="nil"/>
              <w:left w:val="nil"/>
              <w:bottom w:val="single" w:color="000000" w:sz="8" w:space="0"/>
              <w:right w:val="single" w:color="000000" w:sz="8" w:space="0"/>
            </w:tcBorders>
            <w:noWrap w:val="0"/>
            <w:vAlign w:val="center"/>
          </w:tcPr>
          <w:p w14:paraId="05DC06B8">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color w:val="000000"/>
                <w:kern w:val="0"/>
                <w:sz w:val="18"/>
                <w:szCs w:val="18"/>
                <w:u w:val="none"/>
                <w:lang w:val="en-US" w:eastAsia="zh-CN" w:bidi="ar"/>
              </w:rPr>
              <w:t>0.55</w:t>
            </w:r>
          </w:p>
        </w:tc>
        <w:tc>
          <w:tcPr>
            <w:tcW w:w="398" w:type="pct"/>
            <w:tcBorders>
              <w:top w:val="nil"/>
              <w:left w:val="nil"/>
              <w:bottom w:val="single" w:color="000000" w:sz="8" w:space="0"/>
              <w:right w:val="single" w:color="000000" w:sz="8" w:space="0"/>
            </w:tcBorders>
            <w:noWrap w:val="0"/>
            <w:vAlign w:val="center"/>
          </w:tcPr>
          <w:p w14:paraId="74026C2B">
            <w:pPr>
              <w:spacing w:line="240" w:lineRule="auto"/>
              <w:ind w:firstLine="0" w:firstLineChars="0"/>
              <w:jc w:val="center"/>
              <w:rPr>
                <w:rFonts w:hint="default" w:ascii="Times New Roman" w:hAnsi="Times New Roman" w:eastAsia="宋体" w:cs="Times New Roman"/>
                <w:i w:val="0"/>
                <w:iCs w:val="0"/>
                <w:color w:val="000000"/>
                <w:sz w:val="18"/>
                <w:szCs w:val="18"/>
                <w:u w:val="none"/>
              </w:rPr>
            </w:pPr>
          </w:p>
        </w:tc>
        <w:tc>
          <w:tcPr>
            <w:tcW w:w="346" w:type="pct"/>
            <w:tcBorders>
              <w:top w:val="nil"/>
              <w:left w:val="nil"/>
              <w:bottom w:val="single" w:color="000000" w:sz="8" w:space="0"/>
              <w:right w:val="single" w:color="000000" w:sz="8" w:space="0"/>
            </w:tcBorders>
            <w:noWrap w:val="0"/>
            <w:vAlign w:val="center"/>
          </w:tcPr>
          <w:p w14:paraId="03FC5C3A">
            <w:pPr>
              <w:spacing w:line="240" w:lineRule="auto"/>
              <w:ind w:firstLine="0" w:firstLineChars="0"/>
              <w:jc w:val="center"/>
              <w:rPr>
                <w:rFonts w:hint="default" w:ascii="Times New Roman" w:hAnsi="Times New Roman" w:eastAsia="宋体" w:cs="Times New Roman"/>
                <w:i w:val="0"/>
                <w:iCs w:val="0"/>
                <w:color w:val="000000"/>
                <w:sz w:val="18"/>
                <w:szCs w:val="18"/>
                <w:u w:val="none"/>
              </w:rPr>
            </w:pPr>
          </w:p>
        </w:tc>
        <w:tc>
          <w:tcPr>
            <w:tcW w:w="326" w:type="pct"/>
            <w:tcBorders>
              <w:top w:val="nil"/>
              <w:left w:val="nil"/>
              <w:bottom w:val="single" w:color="000000" w:sz="8" w:space="0"/>
              <w:right w:val="single" w:color="000000" w:sz="8" w:space="0"/>
            </w:tcBorders>
            <w:noWrap w:val="0"/>
            <w:vAlign w:val="center"/>
          </w:tcPr>
          <w:p w14:paraId="5BA8AC77">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color w:val="000000"/>
                <w:kern w:val="0"/>
                <w:sz w:val="18"/>
                <w:szCs w:val="18"/>
                <w:u w:val="none"/>
                <w:lang w:val="en-US" w:eastAsia="zh-CN" w:bidi="ar"/>
              </w:rPr>
              <w:t>0.55</w:t>
            </w:r>
          </w:p>
        </w:tc>
        <w:tc>
          <w:tcPr>
            <w:tcW w:w="148" w:type="pct"/>
            <w:tcBorders>
              <w:top w:val="nil"/>
              <w:left w:val="nil"/>
              <w:bottom w:val="single" w:color="000000" w:sz="8" w:space="0"/>
              <w:right w:val="single" w:color="000000" w:sz="8" w:space="0"/>
            </w:tcBorders>
            <w:noWrap w:val="0"/>
            <w:vAlign w:val="center"/>
          </w:tcPr>
          <w:p w14:paraId="77B167DA">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套</w:t>
            </w:r>
          </w:p>
        </w:tc>
        <w:tc>
          <w:tcPr>
            <w:tcW w:w="211" w:type="pct"/>
            <w:tcBorders>
              <w:top w:val="nil"/>
              <w:left w:val="nil"/>
              <w:bottom w:val="single" w:color="000000" w:sz="8" w:space="0"/>
              <w:right w:val="single" w:color="000000" w:sz="8" w:space="0"/>
            </w:tcBorders>
            <w:noWrap w:val="0"/>
            <w:vAlign w:val="center"/>
          </w:tcPr>
          <w:p w14:paraId="4C4B4795">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color w:val="000000"/>
                <w:kern w:val="0"/>
                <w:sz w:val="18"/>
                <w:szCs w:val="18"/>
                <w:u w:val="none"/>
                <w:lang w:val="en-US" w:eastAsia="zh-CN" w:bidi="ar"/>
              </w:rPr>
              <w:t>2</w:t>
            </w:r>
          </w:p>
        </w:tc>
        <w:tc>
          <w:tcPr>
            <w:tcW w:w="478" w:type="pct"/>
            <w:tcBorders>
              <w:top w:val="nil"/>
              <w:left w:val="nil"/>
              <w:bottom w:val="single" w:color="000000" w:sz="8" w:space="0"/>
              <w:right w:val="single" w:color="000000" w:sz="8" w:space="0"/>
            </w:tcBorders>
            <w:noWrap w:val="0"/>
            <w:vAlign w:val="center"/>
          </w:tcPr>
          <w:p w14:paraId="2F802FB3">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20"/>
                <w:szCs w:val="20"/>
                <w:u w:val="none"/>
              </w:rPr>
            </w:pPr>
            <w:r>
              <w:rPr>
                <w:rFonts w:hint="default" w:ascii="Times New Roman" w:hAnsi="Times New Roman" w:eastAsia="宋体" w:cs="Times New Roman"/>
                <w:i w:val="0"/>
                <w:iCs w:val="0"/>
                <w:color w:val="000000"/>
                <w:kern w:val="0"/>
                <w:sz w:val="20"/>
                <w:szCs w:val="20"/>
                <w:u w:val="none"/>
                <w:lang w:val="en-US" w:eastAsia="zh-CN" w:bidi="ar"/>
              </w:rPr>
              <w:t>2750</w:t>
            </w:r>
          </w:p>
        </w:tc>
        <w:tc>
          <w:tcPr>
            <w:tcW w:w="329" w:type="pct"/>
            <w:tcBorders>
              <w:top w:val="nil"/>
              <w:left w:val="nil"/>
              <w:bottom w:val="single" w:color="000000" w:sz="8" w:space="0"/>
              <w:right w:val="single" w:color="000000" w:sz="8" w:space="0"/>
            </w:tcBorders>
            <w:noWrap w:val="0"/>
            <w:vAlign w:val="center"/>
          </w:tcPr>
          <w:p w14:paraId="5769162D">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b/>
                <w:bCs/>
                <w:i w:val="0"/>
                <w:iCs w:val="0"/>
                <w:color w:val="000000"/>
                <w:sz w:val="18"/>
                <w:szCs w:val="18"/>
                <w:u w:val="none"/>
              </w:rPr>
            </w:pPr>
            <w:r>
              <w:rPr>
                <w:rFonts w:hint="default" w:ascii="Times New Roman" w:hAnsi="Times New Roman" w:eastAsia="宋体" w:cs="Times New Roman"/>
                <w:b/>
                <w:bCs/>
                <w:i w:val="0"/>
                <w:iCs w:val="0"/>
                <w:color w:val="000000"/>
                <w:kern w:val="0"/>
                <w:sz w:val="18"/>
                <w:szCs w:val="18"/>
                <w:u w:val="none"/>
                <w:lang w:val="en-US" w:eastAsia="zh-CN" w:bidi="ar"/>
              </w:rPr>
              <w:t>0.01%</w:t>
            </w:r>
          </w:p>
        </w:tc>
        <w:tc>
          <w:tcPr>
            <w:tcW w:w="1013" w:type="pct"/>
            <w:tcBorders>
              <w:top w:val="nil"/>
              <w:left w:val="nil"/>
              <w:bottom w:val="single" w:color="000000" w:sz="8" w:space="0"/>
              <w:right w:val="single" w:color="000000" w:sz="8" w:space="0"/>
            </w:tcBorders>
            <w:noWrap w:val="0"/>
            <w:vAlign w:val="center"/>
          </w:tcPr>
          <w:p w14:paraId="77BA07CA">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color w:val="000000"/>
                <w:kern w:val="0"/>
                <w:sz w:val="18"/>
                <w:szCs w:val="18"/>
                <w:u w:val="none"/>
                <w:lang w:val="en-US" w:eastAsia="zh-CN" w:bidi="ar"/>
              </w:rPr>
              <w:t>SWP-TLC</w:t>
            </w:r>
          </w:p>
        </w:tc>
      </w:tr>
      <w:tr w14:paraId="068E259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3" w:hRule="atLeast"/>
        </w:trPr>
        <w:tc>
          <w:tcPr>
            <w:tcW w:w="273" w:type="pct"/>
            <w:tcBorders>
              <w:top w:val="nil"/>
              <w:left w:val="single" w:color="000000" w:sz="8" w:space="0"/>
              <w:bottom w:val="single" w:color="000000" w:sz="8" w:space="0"/>
              <w:right w:val="single" w:color="000000" w:sz="8" w:space="0"/>
            </w:tcBorders>
            <w:noWrap w:val="0"/>
            <w:vAlign w:val="center"/>
          </w:tcPr>
          <w:p w14:paraId="4ACFCE88">
            <w:pPr>
              <w:spacing w:line="240" w:lineRule="auto"/>
              <w:ind w:firstLine="0" w:firstLineChars="0"/>
              <w:jc w:val="center"/>
              <w:rPr>
                <w:rFonts w:hint="default" w:ascii="Times New Roman" w:hAnsi="Times New Roman" w:eastAsia="宋体" w:cs="Times New Roman"/>
                <w:i w:val="0"/>
                <w:iCs w:val="0"/>
                <w:color w:val="000000"/>
                <w:sz w:val="18"/>
                <w:szCs w:val="18"/>
                <w:u w:val="none"/>
              </w:rPr>
            </w:pPr>
          </w:p>
        </w:tc>
        <w:tc>
          <w:tcPr>
            <w:tcW w:w="675" w:type="pct"/>
            <w:tcBorders>
              <w:top w:val="nil"/>
              <w:left w:val="nil"/>
              <w:bottom w:val="single" w:color="000000" w:sz="8" w:space="0"/>
              <w:right w:val="single" w:color="000000" w:sz="8" w:space="0"/>
            </w:tcBorders>
            <w:noWrap w:val="0"/>
            <w:vAlign w:val="center"/>
          </w:tcPr>
          <w:p w14:paraId="7DB0838B">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潜水搅拌器</w:t>
            </w:r>
          </w:p>
        </w:tc>
        <w:tc>
          <w:tcPr>
            <w:tcW w:w="398" w:type="pct"/>
            <w:tcBorders>
              <w:top w:val="nil"/>
              <w:left w:val="nil"/>
              <w:bottom w:val="single" w:color="000000" w:sz="8" w:space="0"/>
              <w:right w:val="single" w:color="000000" w:sz="8" w:space="0"/>
            </w:tcBorders>
            <w:noWrap w:val="0"/>
            <w:vAlign w:val="center"/>
          </w:tcPr>
          <w:p w14:paraId="072FFE6F">
            <w:pPr>
              <w:spacing w:line="240" w:lineRule="auto"/>
              <w:ind w:firstLine="0" w:firstLineChars="0"/>
              <w:jc w:val="center"/>
              <w:rPr>
                <w:rFonts w:hint="default" w:ascii="Times New Roman" w:hAnsi="Times New Roman" w:eastAsia="宋体" w:cs="Times New Roman"/>
                <w:i w:val="0"/>
                <w:iCs w:val="0"/>
                <w:color w:val="000000"/>
                <w:sz w:val="18"/>
                <w:szCs w:val="18"/>
                <w:u w:val="none"/>
              </w:rPr>
            </w:pPr>
          </w:p>
        </w:tc>
        <w:tc>
          <w:tcPr>
            <w:tcW w:w="398" w:type="pct"/>
            <w:tcBorders>
              <w:top w:val="nil"/>
              <w:left w:val="nil"/>
              <w:bottom w:val="single" w:color="000000" w:sz="8" w:space="0"/>
              <w:right w:val="single" w:color="000000" w:sz="8" w:space="0"/>
            </w:tcBorders>
            <w:noWrap w:val="0"/>
            <w:vAlign w:val="center"/>
          </w:tcPr>
          <w:p w14:paraId="0C3FBE37">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color w:val="000000"/>
                <w:kern w:val="0"/>
                <w:sz w:val="18"/>
                <w:szCs w:val="18"/>
                <w:u w:val="none"/>
                <w:lang w:val="en-US" w:eastAsia="zh-CN" w:bidi="ar"/>
              </w:rPr>
              <w:t>4.9</w:t>
            </w:r>
          </w:p>
        </w:tc>
        <w:tc>
          <w:tcPr>
            <w:tcW w:w="398" w:type="pct"/>
            <w:tcBorders>
              <w:top w:val="nil"/>
              <w:left w:val="nil"/>
              <w:bottom w:val="single" w:color="000000" w:sz="8" w:space="0"/>
              <w:right w:val="single" w:color="000000" w:sz="8" w:space="0"/>
            </w:tcBorders>
            <w:noWrap w:val="0"/>
            <w:vAlign w:val="center"/>
          </w:tcPr>
          <w:p w14:paraId="43FAD382">
            <w:pPr>
              <w:spacing w:line="240" w:lineRule="auto"/>
              <w:ind w:firstLine="0" w:firstLineChars="0"/>
              <w:jc w:val="center"/>
              <w:rPr>
                <w:rFonts w:hint="default" w:ascii="Times New Roman" w:hAnsi="Times New Roman" w:eastAsia="宋体" w:cs="Times New Roman"/>
                <w:i w:val="0"/>
                <w:iCs w:val="0"/>
                <w:color w:val="000000"/>
                <w:sz w:val="18"/>
                <w:szCs w:val="18"/>
                <w:u w:val="none"/>
              </w:rPr>
            </w:pPr>
          </w:p>
        </w:tc>
        <w:tc>
          <w:tcPr>
            <w:tcW w:w="346" w:type="pct"/>
            <w:tcBorders>
              <w:top w:val="nil"/>
              <w:left w:val="nil"/>
              <w:bottom w:val="single" w:color="000000" w:sz="8" w:space="0"/>
              <w:right w:val="single" w:color="000000" w:sz="8" w:space="0"/>
            </w:tcBorders>
            <w:noWrap w:val="0"/>
            <w:vAlign w:val="center"/>
          </w:tcPr>
          <w:p w14:paraId="5CCE440C">
            <w:pPr>
              <w:spacing w:line="240" w:lineRule="auto"/>
              <w:ind w:firstLine="0" w:firstLineChars="0"/>
              <w:jc w:val="center"/>
              <w:rPr>
                <w:rFonts w:hint="default" w:ascii="Times New Roman" w:hAnsi="Times New Roman" w:eastAsia="宋体" w:cs="Times New Roman"/>
                <w:i w:val="0"/>
                <w:iCs w:val="0"/>
                <w:color w:val="000000"/>
                <w:sz w:val="18"/>
                <w:szCs w:val="18"/>
                <w:u w:val="none"/>
              </w:rPr>
            </w:pPr>
          </w:p>
        </w:tc>
        <w:tc>
          <w:tcPr>
            <w:tcW w:w="326" w:type="pct"/>
            <w:tcBorders>
              <w:top w:val="nil"/>
              <w:left w:val="nil"/>
              <w:bottom w:val="single" w:color="000000" w:sz="8" w:space="0"/>
              <w:right w:val="single" w:color="000000" w:sz="8" w:space="0"/>
            </w:tcBorders>
            <w:noWrap w:val="0"/>
            <w:vAlign w:val="center"/>
          </w:tcPr>
          <w:p w14:paraId="0697170B">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color w:val="000000"/>
                <w:kern w:val="0"/>
                <w:sz w:val="18"/>
                <w:szCs w:val="18"/>
                <w:u w:val="none"/>
                <w:lang w:val="en-US" w:eastAsia="zh-CN" w:bidi="ar"/>
              </w:rPr>
              <w:t>4.9</w:t>
            </w:r>
          </w:p>
        </w:tc>
        <w:tc>
          <w:tcPr>
            <w:tcW w:w="148" w:type="pct"/>
            <w:tcBorders>
              <w:top w:val="nil"/>
              <w:left w:val="nil"/>
              <w:bottom w:val="single" w:color="000000" w:sz="8" w:space="0"/>
              <w:right w:val="single" w:color="000000" w:sz="8" w:space="0"/>
            </w:tcBorders>
            <w:noWrap w:val="0"/>
            <w:vAlign w:val="center"/>
          </w:tcPr>
          <w:p w14:paraId="740A2A78">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台</w:t>
            </w:r>
          </w:p>
        </w:tc>
        <w:tc>
          <w:tcPr>
            <w:tcW w:w="211" w:type="pct"/>
            <w:tcBorders>
              <w:top w:val="nil"/>
              <w:left w:val="nil"/>
              <w:bottom w:val="single" w:color="000000" w:sz="8" w:space="0"/>
              <w:right w:val="single" w:color="000000" w:sz="8" w:space="0"/>
            </w:tcBorders>
            <w:noWrap w:val="0"/>
            <w:vAlign w:val="center"/>
          </w:tcPr>
          <w:p w14:paraId="5BAC9499">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color w:val="000000"/>
                <w:kern w:val="0"/>
                <w:sz w:val="18"/>
                <w:szCs w:val="18"/>
                <w:u w:val="none"/>
                <w:lang w:val="en-US" w:eastAsia="zh-CN" w:bidi="ar"/>
              </w:rPr>
              <w:t>2</w:t>
            </w:r>
          </w:p>
        </w:tc>
        <w:tc>
          <w:tcPr>
            <w:tcW w:w="478" w:type="pct"/>
            <w:tcBorders>
              <w:top w:val="nil"/>
              <w:left w:val="nil"/>
              <w:bottom w:val="single" w:color="000000" w:sz="8" w:space="0"/>
              <w:right w:val="single" w:color="000000" w:sz="8" w:space="0"/>
            </w:tcBorders>
            <w:noWrap w:val="0"/>
            <w:vAlign w:val="center"/>
          </w:tcPr>
          <w:p w14:paraId="416B8B31">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20"/>
                <w:szCs w:val="20"/>
                <w:u w:val="none"/>
              </w:rPr>
            </w:pPr>
            <w:r>
              <w:rPr>
                <w:rFonts w:hint="default" w:ascii="Times New Roman" w:hAnsi="Times New Roman" w:eastAsia="宋体" w:cs="Times New Roman"/>
                <w:i w:val="0"/>
                <w:iCs w:val="0"/>
                <w:color w:val="000000"/>
                <w:kern w:val="0"/>
                <w:sz w:val="20"/>
                <w:szCs w:val="20"/>
                <w:u w:val="none"/>
                <w:lang w:val="en-US" w:eastAsia="zh-CN" w:bidi="ar"/>
              </w:rPr>
              <w:t>24500</w:t>
            </w:r>
          </w:p>
        </w:tc>
        <w:tc>
          <w:tcPr>
            <w:tcW w:w="329" w:type="pct"/>
            <w:tcBorders>
              <w:top w:val="nil"/>
              <w:left w:val="nil"/>
              <w:bottom w:val="single" w:color="000000" w:sz="8" w:space="0"/>
              <w:right w:val="single" w:color="000000" w:sz="8" w:space="0"/>
            </w:tcBorders>
            <w:noWrap w:val="0"/>
            <w:vAlign w:val="center"/>
          </w:tcPr>
          <w:p w14:paraId="3EE82437">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b/>
                <w:bCs/>
                <w:i w:val="0"/>
                <w:iCs w:val="0"/>
                <w:color w:val="000000"/>
                <w:sz w:val="18"/>
                <w:szCs w:val="18"/>
                <w:u w:val="none"/>
              </w:rPr>
            </w:pPr>
            <w:r>
              <w:rPr>
                <w:rFonts w:hint="default" w:ascii="Times New Roman" w:hAnsi="Times New Roman" w:eastAsia="宋体" w:cs="Times New Roman"/>
                <w:b/>
                <w:bCs/>
                <w:i w:val="0"/>
                <w:iCs w:val="0"/>
                <w:color w:val="000000"/>
                <w:kern w:val="0"/>
                <w:sz w:val="18"/>
                <w:szCs w:val="18"/>
                <w:u w:val="none"/>
                <w:lang w:val="en-US" w:eastAsia="zh-CN" w:bidi="ar"/>
              </w:rPr>
              <w:t>0.05%</w:t>
            </w:r>
          </w:p>
        </w:tc>
        <w:tc>
          <w:tcPr>
            <w:tcW w:w="1013" w:type="pct"/>
            <w:tcBorders>
              <w:top w:val="nil"/>
              <w:left w:val="nil"/>
              <w:bottom w:val="single" w:color="000000" w:sz="8" w:space="0"/>
              <w:right w:val="single" w:color="000000" w:sz="8" w:space="0"/>
            </w:tcBorders>
            <w:noWrap w:val="0"/>
            <w:vAlign w:val="center"/>
          </w:tcPr>
          <w:p w14:paraId="2ED07F4B">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color w:val="000000"/>
                <w:kern w:val="0"/>
                <w:sz w:val="18"/>
                <w:szCs w:val="18"/>
                <w:u w:val="none"/>
                <w:lang w:val="en-US" w:eastAsia="zh-CN" w:bidi="ar"/>
              </w:rPr>
              <w:t>SS316N=0.37KW</w:t>
            </w:r>
          </w:p>
        </w:tc>
      </w:tr>
      <w:tr w14:paraId="3E31E5A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3" w:hRule="atLeast"/>
        </w:trPr>
        <w:tc>
          <w:tcPr>
            <w:tcW w:w="273" w:type="pct"/>
            <w:tcBorders>
              <w:top w:val="nil"/>
              <w:left w:val="single" w:color="000000" w:sz="8" w:space="0"/>
              <w:bottom w:val="single" w:color="000000" w:sz="8" w:space="0"/>
              <w:right w:val="single" w:color="000000" w:sz="8" w:space="0"/>
            </w:tcBorders>
            <w:noWrap w:val="0"/>
            <w:vAlign w:val="center"/>
          </w:tcPr>
          <w:p w14:paraId="1C302D2E">
            <w:pPr>
              <w:spacing w:line="240" w:lineRule="auto"/>
              <w:ind w:firstLine="0" w:firstLineChars="0"/>
              <w:jc w:val="center"/>
              <w:rPr>
                <w:rFonts w:hint="default" w:ascii="Times New Roman" w:hAnsi="Times New Roman" w:eastAsia="宋体" w:cs="Times New Roman"/>
                <w:i w:val="0"/>
                <w:iCs w:val="0"/>
                <w:color w:val="000000"/>
                <w:sz w:val="18"/>
                <w:szCs w:val="18"/>
                <w:u w:val="none"/>
              </w:rPr>
            </w:pPr>
          </w:p>
        </w:tc>
        <w:tc>
          <w:tcPr>
            <w:tcW w:w="675" w:type="pct"/>
            <w:tcBorders>
              <w:top w:val="nil"/>
              <w:left w:val="nil"/>
              <w:bottom w:val="single" w:color="000000" w:sz="8" w:space="0"/>
              <w:right w:val="single" w:color="000000" w:sz="8" w:space="0"/>
            </w:tcBorders>
            <w:noWrap w:val="0"/>
            <w:vAlign w:val="center"/>
          </w:tcPr>
          <w:p w14:paraId="49C0B105">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沉淀池设备</w:t>
            </w:r>
          </w:p>
        </w:tc>
        <w:tc>
          <w:tcPr>
            <w:tcW w:w="398" w:type="pct"/>
            <w:tcBorders>
              <w:top w:val="nil"/>
              <w:left w:val="nil"/>
              <w:bottom w:val="single" w:color="000000" w:sz="8" w:space="0"/>
              <w:right w:val="single" w:color="000000" w:sz="8" w:space="0"/>
            </w:tcBorders>
            <w:noWrap w:val="0"/>
            <w:vAlign w:val="center"/>
          </w:tcPr>
          <w:p w14:paraId="54C1D056">
            <w:pPr>
              <w:spacing w:line="240" w:lineRule="auto"/>
              <w:ind w:firstLine="0" w:firstLineChars="0"/>
              <w:jc w:val="center"/>
              <w:rPr>
                <w:rFonts w:hint="default" w:ascii="Times New Roman" w:hAnsi="Times New Roman" w:eastAsia="宋体" w:cs="Times New Roman"/>
                <w:i w:val="0"/>
                <w:iCs w:val="0"/>
                <w:color w:val="000000"/>
                <w:sz w:val="18"/>
                <w:szCs w:val="18"/>
                <w:u w:val="none"/>
              </w:rPr>
            </w:pPr>
          </w:p>
        </w:tc>
        <w:tc>
          <w:tcPr>
            <w:tcW w:w="398" w:type="pct"/>
            <w:tcBorders>
              <w:top w:val="nil"/>
              <w:left w:val="nil"/>
              <w:bottom w:val="single" w:color="000000" w:sz="8" w:space="0"/>
              <w:right w:val="single" w:color="000000" w:sz="8" w:space="0"/>
            </w:tcBorders>
            <w:noWrap w:val="0"/>
            <w:vAlign w:val="center"/>
          </w:tcPr>
          <w:p w14:paraId="044AD9AB">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color w:val="000000"/>
                <w:kern w:val="0"/>
                <w:sz w:val="18"/>
                <w:szCs w:val="18"/>
                <w:u w:val="none"/>
                <w:lang w:val="en-US" w:eastAsia="zh-CN" w:bidi="ar"/>
              </w:rPr>
              <w:t>5</w:t>
            </w:r>
          </w:p>
        </w:tc>
        <w:tc>
          <w:tcPr>
            <w:tcW w:w="398" w:type="pct"/>
            <w:tcBorders>
              <w:top w:val="nil"/>
              <w:left w:val="nil"/>
              <w:bottom w:val="single" w:color="000000" w:sz="8" w:space="0"/>
              <w:right w:val="single" w:color="000000" w:sz="8" w:space="0"/>
            </w:tcBorders>
            <w:noWrap w:val="0"/>
            <w:vAlign w:val="center"/>
          </w:tcPr>
          <w:p w14:paraId="2158FEB9">
            <w:pPr>
              <w:spacing w:line="240" w:lineRule="auto"/>
              <w:ind w:firstLine="0" w:firstLineChars="0"/>
              <w:jc w:val="center"/>
              <w:rPr>
                <w:rFonts w:hint="default" w:ascii="Times New Roman" w:hAnsi="Times New Roman" w:eastAsia="宋体" w:cs="Times New Roman"/>
                <w:i w:val="0"/>
                <w:iCs w:val="0"/>
                <w:color w:val="000000"/>
                <w:sz w:val="18"/>
                <w:szCs w:val="18"/>
                <w:u w:val="none"/>
              </w:rPr>
            </w:pPr>
          </w:p>
        </w:tc>
        <w:tc>
          <w:tcPr>
            <w:tcW w:w="346" w:type="pct"/>
            <w:tcBorders>
              <w:top w:val="nil"/>
              <w:left w:val="nil"/>
              <w:bottom w:val="single" w:color="000000" w:sz="8" w:space="0"/>
              <w:right w:val="single" w:color="000000" w:sz="8" w:space="0"/>
            </w:tcBorders>
            <w:noWrap w:val="0"/>
            <w:vAlign w:val="center"/>
          </w:tcPr>
          <w:p w14:paraId="022CCA00">
            <w:pPr>
              <w:spacing w:line="240" w:lineRule="auto"/>
              <w:ind w:firstLine="0" w:firstLineChars="0"/>
              <w:jc w:val="center"/>
              <w:rPr>
                <w:rFonts w:hint="default" w:ascii="Times New Roman" w:hAnsi="Times New Roman" w:eastAsia="宋体" w:cs="Times New Roman"/>
                <w:i w:val="0"/>
                <w:iCs w:val="0"/>
                <w:color w:val="000000"/>
                <w:sz w:val="18"/>
                <w:szCs w:val="18"/>
                <w:u w:val="none"/>
              </w:rPr>
            </w:pPr>
          </w:p>
        </w:tc>
        <w:tc>
          <w:tcPr>
            <w:tcW w:w="326" w:type="pct"/>
            <w:tcBorders>
              <w:top w:val="nil"/>
              <w:left w:val="nil"/>
              <w:bottom w:val="single" w:color="000000" w:sz="8" w:space="0"/>
              <w:right w:val="single" w:color="000000" w:sz="8" w:space="0"/>
            </w:tcBorders>
            <w:noWrap w:val="0"/>
            <w:vAlign w:val="center"/>
          </w:tcPr>
          <w:p w14:paraId="280F2387">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color w:val="000000"/>
                <w:kern w:val="0"/>
                <w:sz w:val="18"/>
                <w:szCs w:val="18"/>
                <w:u w:val="none"/>
                <w:lang w:val="en-US" w:eastAsia="zh-CN" w:bidi="ar"/>
              </w:rPr>
              <w:t>5</w:t>
            </w:r>
          </w:p>
        </w:tc>
        <w:tc>
          <w:tcPr>
            <w:tcW w:w="148" w:type="pct"/>
            <w:tcBorders>
              <w:top w:val="nil"/>
              <w:left w:val="nil"/>
              <w:bottom w:val="single" w:color="000000" w:sz="8" w:space="0"/>
              <w:right w:val="single" w:color="000000" w:sz="8" w:space="0"/>
            </w:tcBorders>
            <w:noWrap w:val="0"/>
            <w:vAlign w:val="center"/>
          </w:tcPr>
          <w:p w14:paraId="304EC648">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套</w:t>
            </w:r>
          </w:p>
        </w:tc>
        <w:tc>
          <w:tcPr>
            <w:tcW w:w="211" w:type="pct"/>
            <w:tcBorders>
              <w:top w:val="nil"/>
              <w:left w:val="nil"/>
              <w:bottom w:val="single" w:color="000000" w:sz="8" w:space="0"/>
              <w:right w:val="single" w:color="000000" w:sz="8" w:space="0"/>
            </w:tcBorders>
            <w:noWrap w:val="0"/>
            <w:vAlign w:val="center"/>
          </w:tcPr>
          <w:p w14:paraId="7F56932A">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color w:val="000000"/>
                <w:kern w:val="0"/>
                <w:sz w:val="18"/>
                <w:szCs w:val="18"/>
                <w:u w:val="none"/>
                <w:lang w:val="en-US" w:eastAsia="zh-CN" w:bidi="ar"/>
              </w:rPr>
              <w:t>1</w:t>
            </w:r>
          </w:p>
        </w:tc>
        <w:tc>
          <w:tcPr>
            <w:tcW w:w="478" w:type="pct"/>
            <w:tcBorders>
              <w:top w:val="nil"/>
              <w:left w:val="nil"/>
              <w:bottom w:val="single" w:color="000000" w:sz="8" w:space="0"/>
              <w:right w:val="single" w:color="000000" w:sz="8" w:space="0"/>
            </w:tcBorders>
            <w:noWrap w:val="0"/>
            <w:vAlign w:val="center"/>
          </w:tcPr>
          <w:p w14:paraId="5EBF67C4">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20"/>
                <w:szCs w:val="20"/>
                <w:u w:val="none"/>
              </w:rPr>
            </w:pPr>
            <w:r>
              <w:rPr>
                <w:rFonts w:hint="default" w:ascii="Times New Roman" w:hAnsi="Times New Roman" w:eastAsia="宋体" w:cs="Times New Roman"/>
                <w:i w:val="0"/>
                <w:iCs w:val="0"/>
                <w:color w:val="000000"/>
                <w:kern w:val="0"/>
                <w:sz w:val="20"/>
                <w:szCs w:val="20"/>
                <w:u w:val="none"/>
                <w:lang w:val="en-US" w:eastAsia="zh-CN" w:bidi="ar"/>
              </w:rPr>
              <w:t>50000</w:t>
            </w:r>
          </w:p>
        </w:tc>
        <w:tc>
          <w:tcPr>
            <w:tcW w:w="329" w:type="pct"/>
            <w:tcBorders>
              <w:top w:val="nil"/>
              <w:left w:val="nil"/>
              <w:bottom w:val="single" w:color="000000" w:sz="8" w:space="0"/>
              <w:right w:val="single" w:color="000000" w:sz="8" w:space="0"/>
            </w:tcBorders>
            <w:noWrap w:val="0"/>
            <w:vAlign w:val="center"/>
          </w:tcPr>
          <w:p w14:paraId="497A01B2">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b/>
                <w:bCs/>
                <w:i w:val="0"/>
                <w:iCs w:val="0"/>
                <w:color w:val="000000"/>
                <w:sz w:val="18"/>
                <w:szCs w:val="18"/>
                <w:u w:val="none"/>
              </w:rPr>
            </w:pPr>
            <w:r>
              <w:rPr>
                <w:rFonts w:hint="default" w:ascii="Times New Roman" w:hAnsi="Times New Roman" w:eastAsia="宋体" w:cs="Times New Roman"/>
                <w:b/>
                <w:bCs/>
                <w:i w:val="0"/>
                <w:iCs w:val="0"/>
                <w:color w:val="000000"/>
                <w:kern w:val="0"/>
                <w:sz w:val="18"/>
                <w:szCs w:val="18"/>
                <w:u w:val="none"/>
                <w:lang w:val="en-US" w:eastAsia="zh-CN" w:bidi="ar"/>
              </w:rPr>
              <w:t>0.05%</w:t>
            </w:r>
          </w:p>
        </w:tc>
        <w:tc>
          <w:tcPr>
            <w:tcW w:w="1013" w:type="pct"/>
            <w:tcBorders>
              <w:top w:val="nil"/>
              <w:left w:val="nil"/>
              <w:bottom w:val="single" w:color="000000" w:sz="8" w:space="0"/>
              <w:right w:val="single" w:color="000000" w:sz="8" w:space="0"/>
            </w:tcBorders>
            <w:noWrap w:val="0"/>
            <w:vAlign w:val="center"/>
          </w:tcPr>
          <w:p w14:paraId="562C4F6F">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含中心筒、出水堰等</w:t>
            </w:r>
          </w:p>
        </w:tc>
      </w:tr>
      <w:tr w14:paraId="48D8D6E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3" w:hRule="atLeast"/>
        </w:trPr>
        <w:tc>
          <w:tcPr>
            <w:tcW w:w="273" w:type="pct"/>
            <w:tcBorders>
              <w:top w:val="nil"/>
              <w:left w:val="single" w:color="000000" w:sz="8" w:space="0"/>
              <w:bottom w:val="single" w:color="000000" w:sz="8" w:space="0"/>
              <w:right w:val="single" w:color="000000" w:sz="8" w:space="0"/>
            </w:tcBorders>
            <w:noWrap w:val="0"/>
            <w:vAlign w:val="center"/>
          </w:tcPr>
          <w:p w14:paraId="6DBD7C71">
            <w:pPr>
              <w:spacing w:line="240" w:lineRule="auto"/>
              <w:ind w:firstLine="0" w:firstLineChars="0"/>
              <w:jc w:val="center"/>
              <w:rPr>
                <w:rFonts w:hint="default" w:ascii="Times New Roman" w:hAnsi="Times New Roman" w:eastAsia="宋体" w:cs="Times New Roman"/>
                <w:i w:val="0"/>
                <w:iCs w:val="0"/>
                <w:color w:val="000000"/>
                <w:sz w:val="18"/>
                <w:szCs w:val="18"/>
                <w:u w:val="none"/>
              </w:rPr>
            </w:pPr>
          </w:p>
        </w:tc>
        <w:tc>
          <w:tcPr>
            <w:tcW w:w="675" w:type="pct"/>
            <w:tcBorders>
              <w:top w:val="nil"/>
              <w:left w:val="nil"/>
              <w:bottom w:val="single" w:color="000000" w:sz="8" w:space="0"/>
              <w:right w:val="single" w:color="000000" w:sz="8" w:space="0"/>
            </w:tcBorders>
            <w:noWrap w:val="0"/>
            <w:vAlign w:val="center"/>
          </w:tcPr>
          <w:p w14:paraId="632DBC34">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气浮系统</w:t>
            </w:r>
          </w:p>
        </w:tc>
        <w:tc>
          <w:tcPr>
            <w:tcW w:w="398" w:type="pct"/>
            <w:tcBorders>
              <w:top w:val="nil"/>
              <w:left w:val="nil"/>
              <w:bottom w:val="single" w:color="000000" w:sz="8" w:space="0"/>
              <w:right w:val="single" w:color="000000" w:sz="8" w:space="0"/>
            </w:tcBorders>
            <w:noWrap w:val="0"/>
            <w:vAlign w:val="center"/>
          </w:tcPr>
          <w:p w14:paraId="07565B9D">
            <w:pPr>
              <w:spacing w:line="240" w:lineRule="auto"/>
              <w:ind w:firstLine="0" w:firstLineChars="0"/>
              <w:jc w:val="center"/>
              <w:rPr>
                <w:rFonts w:hint="default" w:ascii="Times New Roman" w:hAnsi="Times New Roman" w:eastAsia="宋体" w:cs="Times New Roman"/>
                <w:i w:val="0"/>
                <w:iCs w:val="0"/>
                <w:color w:val="000000"/>
                <w:sz w:val="18"/>
                <w:szCs w:val="18"/>
                <w:u w:val="none"/>
              </w:rPr>
            </w:pPr>
          </w:p>
        </w:tc>
        <w:tc>
          <w:tcPr>
            <w:tcW w:w="398" w:type="pct"/>
            <w:tcBorders>
              <w:top w:val="nil"/>
              <w:left w:val="nil"/>
              <w:bottom w:val="single" w:color="000000" w:sz="8" w:space="0"/>
              <w:right w:val="single" w:color="000000" w:sz="8" w:space="0"/>
            </w:tcBorders>
            <w:noWrap w:val="0"/>
            <w:vAlign w:val="center"/>
          </w:tcPr>
          <w:p w14:paraId="2F2C5DC0">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color w:val="000000"/>
                <w:kern w:val="0"/>
                <w:sz w:val="18"/>
                <w:szCs w:val="18"/>
                <w:u w:val="none"/>
                <w:lang w:val="en-US" w:eastAsia="zh-CN" w:bidi="ar"/>
              </w:rPr>
              <w:t>15.6</w:t>
            </w:r>
          </w:p>
        </w:tc>
        <w:tc>
          <w:tcPr>
            <w:tcW w:w="398" w:type="pct"/>
            <w:tcBorders>
              <w:top w:val="nil"/>
              <w:left w:val="nil"/>
              <w:bottom w:val="single" w:color="000000" w:sz="8" w:space="0"/>
              <w:right w:val="single" w:color="000000" w:sz="8" w:space="0"/>
            </w:tcBorders>
            <w:noWrap w:val="0"/>
            <w:vAlign w:val="center"/>
          </w:tcPr>
          <w:p w14:paraId="32F23321">
            <w:pPr>
              <w:spacing w:line="240" w:lineRule="auto"/>
              <w:ind w:firstLine="0" w:firstLineChars="0"/>
              <w:jc w:val="center"/>
              <w:rPr>
                <w:rFonts w:hint="default" w:ascii="Times New Roman" w:hAnsi="Times New Roman" w:eastAsia="宋体" w:cs="Times New Roman"/>
                <w:i w:val="0"/>
                <w:iCs w:val="0"/>
                <w:color w:val="000000"/>
                <w:sz w:val="18"/>
                <w:szCs w:val="18"/>
                <w:u w:val="none"/>
              </w:rPr>
            </w:pPr>
          </w:p>
        </w:tc>
        <w:tc>
          <w:tcPr>
            <w:tcW w:w="346" w:type="pct"/>
            <w:tcBorders>
              <w:top w:val="nil"/>
              <w:left w:val="nil"/>
              <w:bottom w:val="single" w:color="000000" w:sz="8" w:space="0"/>
              <w:right w:val="single" w:color="000000" w:sz="8" w:space="0"/>
            </w:tcBorders>
            <w:noWrap w:val="0"/>
            <w:vAlign w:val="center"/>
          </w:tcPr>
          <w:p w14:paraId="4C48355F">
            <w:pPr>
              <w:spacing w:line="240" w:lineRule="auto"/>
              <w:ind w:firstLine="0" w:firstLineChars="0"/>
              <w:jc w:val="center"/>
              <w:rPr>
                <w:rFonts w:hint="default" w:ascii="Times New Roman" w:hAnsi="Times New Roman" w:eastAsia="宋体" w:cs="Times New Roman"/>
                <w:i w:val="0"/>
                <w:iCs w:val="0"/>
                <w:color w:val="000000"/>
                <w:sz w:val="18"/>
                <w:szCs w:val="18"/>
                <w:u w:val="none"/>
              </w:rPr>
            </w:pPr>
          </w:p>
        </w:tc>
        <w:tc>
          <w:tcPr>
            <w:tcW w:w="326" w:type="pct"/>
            <w:tcBorders>
              <w:top w:val="nil"/>
              <w:left w:val="nil"/>
              <w:bottom w:val="single" w:color="000000" w:sz="8" w:space="0"/>
              <w:right w:val="single" w:color="000000" w:sz="8" w:space="0"/>
            </w:tcBorders>
            <w:noWrap w:val="0"/>
            <w:vAlign w:val="center"/>
          </w:tcPr>
          <w:p w14:paraId="5584198B">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color w:val="000000"/>
                <w:kern w:val="0"/>
                <w:sz w:val="18"/>
                <w:szCs w:val="18"/>
                <w:u w:val="none"/>
                <w:lang w:val="en-US" w:eastAsia="zh-CN" w:bidi="ar"/>
              </w:rPr>
              <w:t>15.6</w:t>
            </w:r>
          </w:p>
        </w:tc>
        <w:tc>
          <w:tcPr>
            <w:tcW w:w="148" w:type="pct"/>
            <w:tcBorders>
              <w:top w:val="nil"/>
              <w:left w:val="nil"/>
              <w:bottom w:val="single" w:color="000000" w:sz="8" w:space="0"/>
              <w:right w:val="single" w:color="000000" w:sz="8" w:space="0"/>
            </w:tcBorders>
            <w:noWrap w:val="0"/>
            <w:vAlign w:val="center"/>
          </w:tcPr>
          <w:p w14:paraId="4D4A766D">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套</w:t>
            </w:r>
          </w:p>
        </w:tc>
        <w:tc>
          <w:tcPr>
            <w:tcW w:w="211" w:type="pct"/>
            <w:tcBorders>
              <w:top w:val="nil"/>
              <w:left w:val="nil"/>
              <w:bottom w:val="single" w:color="000000" w:sz="8" w:space="0"/>
              <w:right w:val="single" w:color="000000" w:sz="8" w:space="0"/>
            </w:tcBorders>
            <w:noWrap w:val="0"/>
            <w:vAlign w:val="center"/>
          </w:tcPr>
          <w:p w14:paraId="46DEA0F7">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color w:val="000000"/>
                <w:kern w:val="0"/>
                <w:sz w:val="18"/>
                <w:szCs w:val="18"/>
                <w:u w:val="none"/>
                <w:lang w:val="en-US" w:eastAsia="zh-CN" w:bidi="ar"/>
              </w:rPr>
              <w:t>1</w:t>
            </w:r>
          </w:p>
        </w:tc>
        <w:tc>
          <w:tcPr>
            <w:tcW w:w="478" w:type="pct"/>
            <w:tcBorders>
              <w:top w:val="nil"/>
              <w:left w:val="nil"/>
              <w:bottom w:val="single" w:color="000000" w:sz="8" w:space="0"/>
              <w:right w:val="single" w:color="000000" w:sz="8" w:space="0"/>
            </w:tcBorders>
            <w:noWrap w:val="0"/>
            <w:vAlign w:val="center"/>
          </w:tcPr>
          <w:p w14:paraId="6ADB7AD8">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20"/>
                <w:szCs w:val="20"/>
                <w:u w:val="none"/>
              </w:rPr>
            </w:pPr>
            <w:r>
              <w:rPr>
                <w:rFonts w:hint="default" w:ascii="Times New Roman" w:hAnsi="Times New Roman" w:eastAsia="宋体" w:cs="Times New Roman"/>
                <w:i w:val="0"/>
                <w:iCs w:val="0"/>
                <w:color w:val="000000"/>
                <w:kern w:val="0"/>
                <w:sz w:val="20"/>
                <w:szCs w:val="20"/>
                <w:u w:val="none"/>
                <w:lang w:val="en-US" w:eastAsia="zh-CN" w:bidi="ar"/>
              </w:rPr>
              <w:t>156000</w:t>
            </w:r>
          </w:p>
        </w:tc>
        <w:tc>
          <w:tcPr>
            <w:tcW w:w="329" w:type="pct"/>
            <w:tcBorders>
              <w:top w:val="nil"/>
              <w:left w:val="nil"/>
              <w:bottom w:val="single" w:color="000000" w:sz="8" w:space="0"/>
              <w:right w:val="single" w:color="000000" w:sz="8" w:space="0"/>
            </w:tcBorders>
            <w:noWrap w:val="0"/>
            <w:vAlign w:val="center"/>
          </w:tcPr>
          <w:p w14:paraId="55600FD6">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b/>
                <w:bCs/>
                <w:i w:val="0"/>
                <w:iCs w:val="0"/>
                <w:color w:val="000000"/>
                <w:sz w:val="18"/>
                <w:szCs w:val="18"/>
                <w:u w:val="none"/>
              </w:rPr>
            </w:pPr>
            <w:r>
              <w:rPr>
                <w:rFonts w:hint="default" w:ascii="Times New Roman" w:hAnsi="Times New Roman" w:eastAsia="宋体" w:cs="Times New Roman"/>
                <w:b/>
                <w:bCs/>
                <w:i w:val="0"/>
                <w:iCs w:val="0"/>
                <w:color w:val="000000"/>
                <w:kern w:val="0"/>
                <w:sz w:val="18"/>
                <w:szCs w:val="18"/>
                <w:u w:val="none"/>
                <w:lang w:val="en-US" w:eastAsia="zh-CN" w:bidi="ar"/>
              </w:rPr>
              <w:t>0.15%</w:t>
            </w:r>
          </w:p>
        </w:tc>
        <w:tc>
          <w:tcPr>
            <w:tcW w:w="1013" w:type="pct"/>
            <w:tcBorders>
              <w:top w:val="nil"/>
              <w:left w:val="nil"/>
              <w:bottom w:val="single" w:color="000000" w:sz="8" w:space="0"/>
              <w:right w:val="single" w:color="000000" w:sz="8" w:space="0"/>
            </w:tcBorders>
            <w:noWrap w:val="0"/>
            <w:vAlign w:val="center"/>
          </w:tcPr>
          <w:p w14:paraId="76E8A38A">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color w:val="000000"/>
                <w:kern w:val="0"/>
                <w:sz w:val="18"/>
                <w:szCs w:val="18"/>
                <w:u w:val="none"/>
                <w:lang w:val="en-US" w:eastAsia="zh-CN" w:bidi="ar"/>
              </w:rPr>
              <w:t>RHQF/50</w:t>
            </w:r>
            <w:r>
              <w:rPr>
                <w:rFonts w:hint="eastAsia" w:ascii="宋体" w:hAnsi="宋体" w:eastAsia="宋体" w:cs="宋体"/>
                <w:i w:val="0"/>
                <w:iCs w:val="0"/>
                <w:color w:val="000000"/>
                <w:kern w:val="0"/>
                <w:sz w:val="18"/>
                <w:szCs w:val="18"/>
                <w:u w:val="none"/>
                <w:lang w:val="en-US" w:eastAsia="zh-CN" w:bidi="ar"/>
              </w:rPr>
              <w:t>，</w:t>
            </w:r>
            <w:r>
              <w:rPr>
                <w:rFonts w:hint="default" w:ascii="Times New Roman" w:hAnsi="Times New Roman" w:eastAsia="宋体" w:cs="Times New Roman"/>
                <w:i w:val="0"/>
                <w:iCs w:val="0"/>
                <w:color w:val="000000"/>
                <w:kern w:val="0"/>
                <w:sz w:val="18"/>
                <w:szCs w:val="18"/>
                <w:u w:val="none"/>
                <w:lang w:val="en-US" w:eastAsia="zh-CN" w:bidi="ar"/>
              </w:rPr>
              <w:t>N=6.5KW</w:t>
            </w:r>
            <w:r>
              <w:rPr>
                <w:rFonts w:hint="eastAsia" w:ascii="宋体" w:hAnsi="宋体" w:eastAsia="宋体" w:cs="宋体"/>
                <w:i w:val="0"/>
                <w:iCs w:val="0"/>
                <w:color w:val="000000"/>
                <w:kern w:val="0"/>
                <w:sz w:val="18"/>
                <w:szCs w:val="18"/>
                <w:u w:val="none"/>
                <w:lang w:val="en-US" w:eastAsia="zh-CN" w:bidi="ar"/>
              </w:rPr>
              <w:t>（成套设备）</w:t>
            </w:r>
          </w:p>
        </w:tc>
      </w:tr>
      <w:tr w14:paraId="214BAE5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3" w:hRule="atLeast"/>
        </w:trPr>
        <w:tc>
          <w:tcPr>
            <w:tcW w:w="273" w:type="pct"/>
            <w:tcBorders>
              <w:top w:val="nil"/>
              <w:left w:val="single" w:color="000000" w:sz="8" w:space="0"/>
              <w:bottom w:val="single" w:color="000000" w:sz="8" w:space="0"/>
              <w:right w:val="single" w:color="000000" w:sz="8" w:space="0"/>
            </w:tcBorders>
            <w:noWrap w:val="0"/>
            <w:vAlign w:val="center"/>
          </w:tcPr>
          <w:p w14:paraId="5D5E6E78">
            <w:pPr>
              <w:spacing w:line="240" w:lineRule="auto"/>
              <w:ind w:firstLine="0" w:firstLineChars="0"/>
              <w:jc w:val="center"/>
              <w:rPr>
                <w:rFonts w:hint="default" w:ascii="Times New Roman" w:hAnsi="Times New Roman" w:eastAsia="宋体" w:cs="Times New Roman"/>
                <w:i w:val="0"/>
                <w:iCs w:val="0"/>
                <w:color w:val="000000"/>
                <w:sz w:val="18"/>
                <w:szCs w:val="18"/>
                <w:u w:val="none"/>
              </w:rPr>
            </w:pPr>
          </w:p>
        </w:tc>
        <w:tc>
          <w:tcPr>
            <w:tcW w:w="675" w:type="pct"/>
            <w:tcBorders>
              <w:top w:val="nil"/>
              <w:left w:val="nil"/>
              <w:bottom w:val="single" w:color="000000" w:sz="8" w:space="0"/>
              <w:right w:val="single" w:color="000000" w:sz="8" w:space="0"/>
            </w:tcBorders>
            <w:noWrap w:val="0"/>
            <w:vAlign w:val="center"/>
          </w:tcPr>
          <w:p w14:paraId="05C3FCAD">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气浮提升泵</w:t>
            </w:r>
          </w:p>
        </w:tc>
        <w:tc>
          <w:tcPr>
            <w:tcW w:w="398" w:type="pct"/>
            <w:tcBorders>
              <w:top w:val="nil"/>
              <w:left w:val="nil"/>
              <w:bottom w:val="single" w:color="000000" w:sz="8" w:space="0"/>
              <w:right w:val="single" w:color="000000" w:sz="8" w:space="0"/>
            </w:tcBorders>
            <w:noWrap w:val="0"/>
            <w:vAlign w:val="center"/>
          </w:tcPr>
          <w:p w14:paraId="27F84B94">
            <w:pPr>
              <w:spacing w:line="240" w:lineRule="auto"/>
              <w:ind w:firstLine="0" w:firstLineChars="0"/>
              <w:jc w:val="center"/>
              <w:rPr>
                <w:rFonts w:hint="default" w:ascii="Times New Roman" w:hAnsi="Times New Roman" w:eastAsia="宋体" w:cs="Times New Roman"/>
                <w:i w:val="0"/>
                <w:iCs w:val="0"/>
                <w:color w:val="000000"/>
                <w:sz w:val="18"/>
                <w:szCs w:val="18"/>
                <w:u w:val="none"/>
              </w:rPr>
            </w:pPr>
          </w:p>
        </w:tc>
        <w:tc>
          <w:tcPr>
            <w:tcW w:w="398" w:type="pct"/>
            <w:tcBorders>
              <w:top w:val="nil"/>
              <w:left w:val="nil"/>
              <w:bottom w:val="single" w:color="000000" w:sz="8" w:space="0"/>
              <w:right w:val="single" w:color="000000" w:sz="8" w:space="0"/>
            </w:tcBorders>
            <w:noWrap w:val="0"/>
            <w:vAlign w:val="center"/>
          </w:tcPr>
          <w:p w14:paraId="6029A49C">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color w:val="000000"/>
                <w:kern w:val="0"/>
                <w:sz w:val="18"/>
                <w:szCs w:val="18"/>
                <w:u w:val="none"/>
                <w:lang w:val="en-US" w:eastAsia="zh-CN" w:bidi="ar"/>
              </w:rPr>
              <w:t>1.7</w:t>
            </w:r>
          </w:p>
        </w:tc>
        <w:tc>
          <w:tcPr>
            <w:tcW w:w="398" w:type="pct"/>
            <w:tcBorders>
              <w:top w:val="nil"/>
              <w:left w:val="nil"/>
              <w:bottom w:val="single" w:color="000000" w:sz="8" w:space="0"/>
              <w:right w:val="single" w:color="000000" w:sz="8" w:space="0"/>
            </w:tcBorders>
            <w:noWrap w:val="0"/>
            <w:vAlign w:val="center"/>
          </w:tcPr>
          <w:p w14:paraId="418398FD">
            <w:pPr>
              <w:spacing w:line="240" w:lineRule="auto"/>
              <w:ind w:firstLine="0" w:firstLineChars="0"/>
              <w:jc w:val="center"/>
              <w:rPr>
                <w:rFonts w:hint="default" w:ascii="Times New Roman" w:hAnsi="Times New Roman" w:eastAsia="宋体" w:cs="Times New Roman"/>
                <w:i w:val="0"/>
                <w:iCs w:val="0"/>
                <w:color w:val="000000"/>
                <w:sz w:val="18"/>
                <w:szCs w:val="18"/>
                <w:u w:val="none"/>
              </w:rPr>
            </w:pPr>
          </w:p>
        </w:tc>
        <w:tc>
          <w:tcPr>
            <w:tcW w:w="346" w:type="pct"/>
            <w:tcBorders>
              <w:top w:val="nil"/>
              <w:left w:val="nil"/>
              <w:bottom w:val="single" w:color="000000" w:sz="8" w:space="0"/>
              <w:right w:val="single" w:color="000000" w:sz="8" w:space="0"/>
            </w:tcBorders>
            <w:noWrap w:val="0"/>
            <w:vAlign w:val="center"/>
          </w:tcPr>
          <w:p w14:paraId="624C6BD5">
            <w:pPr>
              <w:spacing w:line="240" w:lineRule="auto"/>
              <w:ind w:firstLine="0" w:firstLineChars="0"/>
              <w:jc w:val="center"/>
              <w:rPr>
                <w:rFonts w:hint="default" w:ascii="Times New Roman" w:hAnsi="Times New Roman" w:eastAsia="宋体" w:cs="Times New Roman"/>
                <w:i w:val="0"/>
                <w:iCs w:val="0"/>
                <w:color w:val="000000"/>
                <w:sz w:val="18"/>
                <w:szCs w:val="18"/>
                <w:u w:val="none"/>
              </w:rPr>
            </w:pPr>
          </w:p>
        </w:tc>
        <w:tc>
          <w:tcPr>
            <w:tcW w:w="326" w:type="pct"/>
            <w:tcBorders>
              <w:top w:val="nil"/>
              <w:left w:val="nil"/>
              <w:bottom w:val="single" w:color="000000" w:sz="8" w:space="0"/>
              <w:right w:val="single" w:color="000000" w:sz="8" w:space="0"/>
            </w:tcBorders>
            <w:noWrap w:val="0"/>
            <w:vAlign w:val="center"/>
          </w:tcPr>
          <w:p w14:paraId="49E2EB1E">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color w:val="000000"/>
                <w:kern w:val="0"/>
                <w:sz w:val="18"/>
                <w:szCs w:val="18"/>
                <w:u w:val="none"/>
                <w:lang w:val="en-US" w:eastAsia="zh-CN" w:bidi="ar"/>
              </w:rPr>
              <w:t>1.7</w:t>
            </w:r>
          </w:p>
        </w:tc>
        <w:tc>
          <w:tcPr>
            <w:tcW w:w="148" w:type="pct"/>
            <w:tcBorders>
              <w:top w:val="nil"/>
              <w:left w:val="nil"/>
              <w:bottom w:val="single" w:color="000000" w:sz="8" w:space="0"/>
              <w:right w:val="single" w:color="000000" w:sz="8" w:space="0"/>
            </w:tcBorders>
            <w:noWrap w:val="0"/>
            <w:vAlign w:val="center"/>
          </w:tcPr>
          <w:p w14:paraId="25256A58">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台</w:t>
            </w:r>
          </w:p>
        </w:tc>
        <w:tc>
          <w:tcPr>
            <w:tcW w:w="211" w:type="pct"/>
            <w:tcBorders>
              <w:top w:val="nil"/>
              <w:left w:val="nil"/>
              <w:bottom w:val="single" w:color="000000" w:sz="8" w:space="0"/>
              <w:right w:val="single" w:color="000000" w:sz="8" w:space="0"/>
            </w:tcBorders>
            <w:noWrap w:val="0"/>
            <w:vAlign w:val="center"/>
          </w:tcPr>
          <w:p w14:paraId="26635BFB">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color w:val="000000"/>
                <w:kern w:val="0"/>
                <w:sz w:val="18"/>
                <w:szCs w:val="18"/>
                <w:u w:val="none"/>
                <w:lang w:val="en-US" w:eastAsia="zh-CN" w:bidi="ar"/>
              </w:rPr>
              <w:t>2</w:t>
            </w:r>
          </w:p>
        </w:tc>
        <w:tc>
          <w:tcPr>
            <w:tcW w:w="478" w:type="pct"/>
            <w:tcBorders>
              <w:top w:val="nil"/>
              <w:left w:val="nil"/>
              <w:bottom w:val="single" w:color="000000" w:sz="8" w:space="0"/>
              <w:right w:val="single" w:color="000000" w:sz="8" w:space="0"/>
            </w:tcBorders>
            <w:noWrap w:val="0"/>
            <w:vAlign w:val="center"/>
          </w:tcPr>
          <w:p w14:paraId="79D2F499">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20"/>
                <w:szCs w:val="20"/>
                <w:u w:val="none"/>
              </w:rPr>
            </w:pPr>
            <w:r>
              <w:rPr>
                <w:rFonts w:hint="default" w:ascii="Times New Roman" w:hAnsi="Times New Roman" w:eastAsia="宋体" w:cs="Times New Roman"/>
                <w:i w:val="0"/>
                <w:iCs w:val="0"/>
                <w:color w:val="000000"/>
                <w:kern w:val="0"/>
                <w:sz w:val="20"/>
                <w:szCs w:val="20"/>
                <w:u w:val="none"/>
                <w:lang w:val="en-US" w:eastAsia="zh-CN" w:bidi="ar"/>
              </w:rPr>
              <w:t>8500</w:t>
            </w:r>
          </w:p>
        </w:tc>
        <w:tc>
          <w:tcPr>
            <w:tcW w:w="329" w:type="pct"/>
            <w:tcBorders>
              <w:top w:val="nil"/>
              <w:left w:val="nil"/>
              <w:bottom w:val="single" w:color="000000" w:sz="8" w:space="0"/>
              <w:right w:val="single" w:color="000000" w:sz="8" w:space="0"/>
            </w:tcBorders>
            <w:noWrap w:val="0"/>
            <w:vAlign w:val="center"/>
          </w:tcPr>
          <w:p w14:paraId="1C17B872">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b/>
                <w:bCs/>
                <w:i w:val="0"/>
                <w:iCs w:val="0"/>
                <w:color w:val="000000"/>
                <w:sz w:val="18"/>
                <w:szCs w:val="18"/>
                <w:u w:val="none"/>
              </w:rPr>
            </w:pPr>
            <w:r>
              <w:rPr>
                <w:rFonts w:hint="default" w:ascii="Times New Roman" w:hAnsi="Times New Roman" w:eastAsia="宋体" w:cs="Times New Roman"/>
                <w:b/>
                <w:bCs/>
                <w:i w:val="0"/>
                <w:iCs w:val="0"/>
                <w:color w:val="000000"/>
                <w:kern w:val="0"/>
                <w:sz w:val="18"/>
                <w:szCs w:val="18"/>
                <w:u w:val="none"/>
                <w:lang w:val="en-US" w:eastAsia="zh-CN" w:bidi="ar"/>
              </w:rPr>
              <w:t>0.02%</w:t>
            </w:r>
          </w:p>
        </w:tc>
        <w:tc>
          <w:tcPr>
            <w:tcW w:w="1013" w:type="pct"/>
            <w:tcBorders>
              <w:top w:val="nil"/>
              <w:left w:val="nil"/>
              <w:bottom w:val="single" w:color="000000" w:sz="8" w:space="0"/>
              <w:right w:val="single" w:color="000000" w:sz="8" w:space="0"/>
            </w:tcBorders>
            <w:noWrap w:val="0"/>
            <w:vAlign w:val="center"/>
          </w:tcPr>
          <w:p w14:paraId="321D0843">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color w:val="000000"/>
                <w:kern w:val="0"/>
                <w:sz w:val="18"/>
                <w:szCs w:val="18"/>
                <w:u w:val="none"/>
                <w:lang w:val="en-US" w:eastAsia="zh-CN" w:bidi="ar"/>
              </w:rPr>
              <w:t>SS316Q=8m</w:t>
            </w:r>
            <w:r>
              <w:rPr>
                <w:rFonts w:hint="eastAsia" w:ascii="宋体" w:hAnsi="宋体" w:eastAsia="宋体" w:cs="宋体"/>
                <w:i w:val="0"/>
                <w:iCs w:val="0"/>
                <w:color w:val="000000"/>
                <w:kern w:val="0"/>
                <w:sz w:val="18"/>
                <w:szCs w:val="18"/>
                <w:u w:val="none"/>
                <w:lang w:val="en-US" w:eastAsia="zh-CN" w:bidi="ar"/>
              </w:rPr>
              <w:t>³</w:t>
            </w:r>
            <w:r>
              <w:rPr>
                <w:rFonts w:hint="default" w:ascii="Times New Roman" w:hAnsi="Times New Roman" w:eastAsia="宋体" w:cs="Times New Roman"/>
                <w:i w:val="0"/>
                <w:iCs w:val="0"/>
                <w:color w:val="000000"/>
                <w:kern w:val="0"/>
                <w:sz w:val="18"/>
                <w:szCs w:val="18"/>
                <w:u w:val="none"/>
                <w:lang w:val="en-US" w:eastAsia="zh-CN" w:bidi="ar"/>
              </w:rPr>
              <w:t>/hH=15mN=0.75KW</w:t>
            </w:r>
          </w:p>
        </w:tc>
      </w:tr>
      <w:tr w14:paraId="5EB790C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3" w:hRule="atLeast"/>
        </w:trPr>
        <w:tc>
          <w:tcPr>
            <w:tcW w:w="273" w:type="pct"/>
            <w:tcBorders>
              <w:top w:val="nil"/>
              <w:left w:val="single" w:color="000000" w:sz="8" w:space="0"/>
              <w:bottom w:val="single" w:color="000000" w:sz="8" w:space="0"/>
              <w:right w:val="single" w:color="000000" w:sz="8" w:space="0"/>
            </w:tcBorders>
            <w:noWrap w:val="0"/>
            <w:vAlign w:val="center"/>
          </w:tcPr>
          <w:p w14:paraId="643A47CD">
            <w:pPr>
              <w:spacing w:line="240" w:lineRule="auto"/>
              <w:ind w:firstLine="0" w:firstLineChars="0"/>
              <w:jc w:val="center"/>
              <w:rPr>
                <w:rFonts w:hint="default" w:ascii="Times New Roman" w:hAnsi="Times New Roman" w:eastAsia="宋体" w:cs="Times New Roman"/>
                <w:i w:val="0"/>
                <w:iCs w:val="0"/>
                <w:color w:val="000000"/>
                <w:sz w:val="18"/>
                <w:szCs w:val="18"/>
                <w:u w:val="none"/>
              </w:rPr>
            </w:pPr>
          </w:p>
        </w:tc>
        <w:tc>
          <w:tcPr>
            <w:tcW w:w="675" w:type="pct"/>
            <w:tcBorders>
              <w:top w:val="nil"/>
              <w:left w:val="nil"/>
              <w:bottom w:val="single" w:color="000000" w:sz="8" w:space="0"/>
              <w:right w:val="single" w:color="000000" w:sz="8" w:space="0"/>
            </w:tcBorders>
            <w:noWrap w:val="0"/>
            <w:vAlign w:val="center"/>
          </w:tcPr>
          <w:p w14:paraId="0519F9AE">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多级高效生化系统</w:t>
            </w:r>
          </w:p>
        </w:tc>
        <w:tc>
          <w:tcPr>
            <w:tcW w:w="398" w:type="pct"/>
            <w:tcBorders>
              <w:top w:val="nil"/>
              <w:left w:val="nil"/>
              <w:bottom w:val="single" w:color="000000" w:sz="8" w:space="0"/>
              <w:right w:val="single" w:color="000000" w:sz="8" w:space="0"/>
            </w:tcBorders>
            <w:noWrap w:val="0"/>
            <w:vAlign w:val="center"/>
          </w:tcPr>
          <w:p w14:paraId="534F6B44">
            <w:pPr>
              <w:spacing w:line="240" w:lineRule="auto"/>
              <w:ind w:firstLine="0" w:firstLineChars="0"/>
              <w:jc w:val="center"/>
              <w:rPr>
                <w:rFonts w:hint="default" w:ascii="Times New Roman" w:hAnsi="Times New Roman" w:eastAsia="宋体" w:cs="Times New Roman"/>
                <w:i w:val="0"/>
                <w:iCs w:val="0"/>
                <w:color w:val="000000"/>
                <w:sz w:val="18"/>
                <w:szCs w:val="18"/>
                <w:u w:val="none"/>
              </w:rPr>
            </w:pPr>
          </w:p>
        </w:tc>
        <w:tc>
          <w:tcPr>
            <w:tcW w:w="398" w:type="pct"/>
            <w:tcBorders>
              <w:top w:val="nil"/>
              <w:left w:val="nil"/>
              <w:bottom w:val="single" w:color="000000" w:sz="8" w:space="0"/>
              <w:right w:val="single" w:color="000000" w:sz="8" w:space="0"/>
            </w:tcBorders>
            <w:noWrap w:val="0"/>
            <w:vAlign w:val="center"/>
          </w:tcPr>
          <w:p w14:paraId="45DFFC91">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color w:val="000000"/>
                <w:kern w:val="0"/>
                <w:sz w:val="18"/>
                <w:szCs w:val="18"/>
                <w:u w:val="none"/>
                <w:lang w:val="en-US" w:eastAsia="zh-CN" w:bidi="ar"/>
              </w:rPr>
              <w:t>520</w:t>
            </w:r>
          </w:p>
        </w:tc>
        <w:tc>
          <w:tcPr>
            <w:tcW w:w="398" w:type="pct"/>
            <w:tcBorders>
              <w:top w:val="nil"/>
              <w:left w:val="nil"/>
              <w:bottom w:val="single" w:color="000000" w:sz="8" w:space="0"/>
              <w:right w:val="single" w:color="000000" w:sz="8" w:space="0"/>
            </w:tcBorders>
            <w:noWrap w:val="0"/>
            <w:vAlign w:val="center"/>
          </w:tcPr>
          <w:p w14:paraId="48060DD8">
            <w:pPr>
              <w:spacing w:line="240" w:lineRule="auto"/>
              <w:ind w:firstLine="0" w:firstLineChars="0"/>
              <w:jc w:val="center"/>
              <w:rPr>
                <w:rFonts w:hint="default" w:ascii="Times New Roman" w:hAnsi="Times New Roman" w:eastAsia="宋体" w:cs="Times New Roman"/>
                <w:i w:val="0"/>
                <w:iCs w:val="0"/>
                <w:color w:val="000000"/>
                <w:sz w:val="18"/>
                <w:szCs w:val="18"/>
                <w:u w:val="none"/>
              </w:rPr>
            </w:pPr>
          </w:p>
        </w:tc>
        <w:tc>
          <w:tcPr>
            <w:tcW w:w="346" w:type="pct"/>
            <w:tcBorders>
              <w:top w:val="nil"/>
              <w:left w:val="nil"/>
              <w:bottom w:val="single" w:color="000000" w:sz="8" w:space="0"/>
              <w:right w:val="single" w:color="000000" w:sz="8" w:space="0"/>
            </w:tcBorders>
            <w:noWrap w:val="0"/>
            <w:vAlign w:val="center"/>
          </w:tcPr>
          <w:p w14:paraId="1545CC24">
            <w:pPr>
              <w:spacing w:line="240" w:lineRule="auto"/>
              <w:ind w:firstLine="0" w:firstLineChars="0"/>
              <w:jc w:val="center"/>
              <w:rPr>
                <w:rFonts w:hint="default" w:ascii="Times New Roman" w:hAnsi="Times New Roman" w:eastAsia="宋体" w:cs="Times New Roman"/>
                <w:i w:val="0"/>
                <w:iCs w:val="0"/>
                <w:color w:val="000000"/>
                <w:sz w:val="18"/>
                <w:szCs w:val="18"/>
                <w:u w:val="none"/>
              </w:rPr>
            </w:pPr>
          </w:p>
        </w:tc>
        <w:tc>
          <w:tcPr>
            <w:tcW w:w="326" w:type="pct"/>
            <w:tcBorders>
              <w:top w:val="nil"/>
              <w:left w:val="nil"/>
              <w:bottom w:val="single" w:color="000000" w:sz="8" w:space="0"/>
              <w:right w:val="single" w:color="000000" w:sz="8" w:space="0"/>
            </w:tcBorders>
            <w:noWrap w:val="0"/>
            <w:vAlign w:val="center"/>
          </w:tcPr>
          <w:p w14:paraId="655D5F5C">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color w:val="000000"/>
                <w:kern w:val="0"/>
                <w:sz w:val="18"/>
                <w:szCs w:val="18"/>
                <w:u w:val="none"/>
                <w:lang w:val="en-US" w:eastAsia="zh-CN" w:bidi="ar"/>
              </w:rPr>
              <w:t>520</w:t>
            </w:r>
          </w:p>
        </w:tc>
        <w:tc>
          <w:tcPr>
            <w:tcW w:w="148" w:type="pct"/>
            <w:tcBorders>
              <w:top w:val="nil"/>
              <w:left w:val="nil"/>
              <w:bottom w:val="single" w:color="000000" w:sz="8" w:space="0"/>
              <w:right w:val="single" w:color="000000" w:sz="8" w:space="0"/>
            </w:tcBorders>
            <w:noWrap w:val="0"/>
            <w:vAlign w:val="center"/>
          </w:tcPr>
          <w:p w14:paraId="2E5EE5F0">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套</w:t>
            </w:r>
          </w:p>
        </w:tc>
        <w:tc>
          <w:tcPr>
            <w:tcW w:w="211" w:type="pct"/>
            <w:tcBorders>
              <w:top w:val="nil"/>
              <w:left w:val="nil"/>
              <w:bottom w:val="single" w:color="000000" w:sz="8" w:space="0"/>
              <w:right w:val="single" w:color="000000" w:sz="8" w:space="0"/>
            </w:tcBorders>
            <w:noWrap w:val="0"/>
            <w:vAlign w:val="center"/>
          </w:tcPr>
          <w:p w14:paraId="70AF2988">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color w:val="000000"/>
                <w:kern w:val="0"/>
                <w:sz w:val="18"/>
                <w:szCs w:val="18"/>
                <w:u w:val="none"/>
                <w:lang w:val="en-US" w:eastAsia="zh-CN" w:bidi="ar"/>
              </w:rPr>
              <w:t>2</w:t>
            </w:r>
          </w:p>
        </w:tc>
        <w:tc>
          <w:tcPr>
            <w:tcW w:w="478" w:type="pct"/>
            <w:tcBorders>
              <w:top w:val="nil"/>
              <w:left w:val="nil"/>
              <w:bottom w:val="single" w:color="000000" w:sz="8" w:space="0"/>
              <w:right w:val="single" w:color="000000" w:sz="8" w:space="0"/>
            </w:tcBorders>
            <w:noWrap w:val="0"/>
            <w:vAlign w:val="center"/>
          </w:tcPr>
          <w:p w14:paraId="464088D4">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20"/>
                <w:szCs w:val="20"/>
                <w:u w:val="none"/>
              </w:rPr>
            </w:pPr>
            <w:r>
              <w:rPr>
                <w:rFonts w:hint="default" w:ascii="Times New Roman" w:hAnsi="Times New Roman" w:eastAsia="宋体" w:cs="Times New Roman"/>
                <w:i w:val="0"/>
                <w:iCs w:val="0"/>
                <w:color w:val="000000"/>
                <w:kern w:val="0"/>
                <w:sz w:val="20"/>
                <w:szCs w:val="20"/>
                <w:u w:val="none"/>
                <w:lang w:val="en-US" w:eastAsia="zh-CN" w:bidi="ar"/>
              </w:rPr>
              <w:t>2600000</w:t>
            </w:r>
          </w:p>
        </w:tc>
        <w:tc>
          <w:tcPr>
            <w:tcW w:w="329" w:type="pct"/>
            <w:tcBorders>
              <w:top w:val="nil"/>
              <w:left w:val="nil"/>
              <w:bottom w:val="single" w:color="000000" w:sz="8" w:space="0"/>
              <w:right w:val="single" w:color="000000" w:sz="8" w:space="0"/>
            </w:tcBorders>
            <w:noWrap w:val="0"/>
            <w:vAlign w:val="center"/>
          </w:tcPr>
          <w:p w14:paraId="04EAD553">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b/>
                <w:bCs/>
                <w:i w:val="0"/>
                <w:iCs w:val="0"/>
                <w:color w:val="000000"/>
                <w:sz w:val="18"/>
                <w:szCs w:val="18"/>
                <w:u w:val="none"/>
              </w:rPr>
            </w:pPr>
            <w:r>
              <w:rPr>
                <w:rFonts w:hint="default" w:ascii="Times New Roman" w:hAnsi="Times New Roman" w:eastAsia="宋体" w:cs="Times New Roman"/>
                <w:b/>
                <w:bCs/>
                <w:i w:val="0"/>
                <w:iCs w:val="0"/>
                <w:color w:val="000000"/>
                <w:kern w:val="0"/>
                <w:sz w:val="18"/>
                <w:szCs w:val="18"/>
                <w:u w:val="none"/>
                <w:lang w:val="en-US" w:eastAsia="zh-CN" w:bidi="ar"/>
              </w:rPr>
              <w:t>5.10%</w:t>
            </w:r>
          </w:p>
        </w:tc>
        <w:tc>
          <w:tcPr>
            <w:tcW w:w="1013" w:type="pct"/>
            <w:tcBorders>
              <w:top w:val="nil"/>
              <w:left w:val="nil"/>
              <w:bottom w:val="single" w:color="000000" w:sz="8" w:space="0"/>
              <w:right w:val="single" w:color="000000" w:sz="8" w:space="0"/>
            </w:tcBorders>
            <w:noWrap w:val="0"/>
            <w:vAlign w:val="center"/>
          </w:tcPr>
          <w:p w14:paraId="119AC5E4">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color w:val="000000"/>
                <w:kern w:val="0"/>
                <w:sz w:val="18"/>
                <w:szCs w:val="18"/>
                <w:u w:val="none"/>
                <w:lang w:val="en-US" w:eastAsia="zh-CN" w:bidi="ar"/>
              </w:rPr>
              <w:t>RHFX/4000/6000</w:t>
            </w:r>
            <w:r>
              <w:rPr>
                <w:rFonts w:hint="eastAsia" w:ascii="宋体" w:hAnsi="宋体" w:eastAsia="宋体" w:cs="宋体"/>
                <w:i w:val="0"/>
                <w:iCs w:val="0"/>
                <w:color w:val="000000"/>
                <w:kern w:val="0"/>
                <w:sz w:val="18"/>
                <w:szCs w:val="18"/>
                <w:u w:val="none"/>
                <w:lang w:val="en-US" w:eastAsia="zh-CN" w:bidi="ar"/>
              </w:rPr>
              <w:t>，</w:t>
            </w:r>
            <w:r>
              <w:rPr>
                <w:rFonts w:hint="default" w:ascii="Times New Roman" w:hAnsi="Times New Roman" w:eastAsia="宋体" w:cs="Times New Roman"/>
                <w:i w:val="0"/>
                <w:iCs w:val="0"/>
                <w:color w:val="000000"/>
                <w:kern w:val="0"/>
                <w:sz w:val="18"/>
                <w:szCs w:val="18"/>
                <w:u w:val="none"/>
                <w:lang w:val="en-US" w:eastAsia="zh-CN" w:bidi="ar"/>
              </w:rPr>
              <w:t>H=10000mm</w:t>
            </w:r>
          </w:p>
        </w:tc>
      </w:tr>
      <w:tr w14:paraId="3AED874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3" w:hRule="atLeast"/>
        </w:trPr>
        <w:tc>
          <w:tcPr>
            <w:tcW w:w="273" w:type="pct"/>
            <w:tcBorders>
              <w:top w:val="nil"/>
              <w:left w:val="single" w:color="000000" w:sz="8" w:space="0"/>
              <w:bottom w:val="single" w:color="000000" w:sz="8" w:space="0"/>
              <w:right w:val="single" w:color="000000" w:sz="8" w:space="0"/>
            </w:tcBorders>
            <w:noWrap w:val="0"/>
            <w:vAlign w:val="center"/>
          </w:tcPr>
          <w:p w14:paraId="3A674D30">
            <w:pPr>
              <w:spacing w:line="240" w:lineRule="auto"/>
              <w:ind w:firstLine="0" w:firstLineChars="0"/>
              <w:jc w:val="center"/>
              <w:rPr>
                <w:rFonts w:hint="default" w:ascii="Times New Roman" w:hAnsi="Times New Roman" w:eastAsia="宋体" w:cs="Times New Roman"/>
                <w:i w:val="0"/>
                <w:iCs w:val="0"/>
                <w:color w:val="000000"/>
                <w:sz w:val="18"/>
                <w:szCs w:val="18"/>
                <w:u w:val="none"/>
              </w:rPr>
            </w:pPr>
          </w:p>
        </w:tc>
        <w:tc>
          <w:tcPr>
            <w:tcW w:w="675" w:type="pct"/>
            <w:tcBorders>
              <w:top w:val="nil"/>
              <w:left w:val="nil"/>
              <w:bottom w:val="single" w:color="000000" w:sz="8" w:space="0"/>
              <w:right w:val="single" w:color="000000" w:sz="8" w:space="0"/>
            </w:tcBorders>
            <w:noWrap w:val="0"/>
            <w:vAlign w:val="center"/>
          </w:tcPr>
          <w:p w14:paraId="62CD20ED">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碳源自动投加系统</w:t>
            </w:r>
          </w:p>
        </w:tc>
        <w:tc>
          <w:tcPr>
            <w:tcW w:w="398" w:type="pct"/>
            <w:tcBorders>
              <w:top w:val="nil"/>
              <w:left w:val="nil"/>
              <w:bottom w:val="single" w:color="000000" w:sz="8" w:space="0"/>
              <w:right w:val="single" w:color="000000" w:sz="8" w:space="0"/>
            </w:tcBorders>
            <w:noWrap w:val="0"/>
            <w:vAlign w:val="center"/>
          </w:tcPr>
          <w:p w14:paraId="61CCA712">
            <w:pPr>
              <w:spacing w:line="240" w:lineRule="auto"/>
              <w:ind w:firstLine="0" w:firstLineChars="0"/>
              <w:jc w:val="center"/>
              <w:rPr>
                <w:rFonts w:hint="default" w:ascii="Times New Roman" w:hAnsi="Times New Roman" w:eastAsia="宋体" w:cs="Times New Roman"/>
                <w:i w:val="0"/>
                <w:iCs w:val="0"/>
                <w:color w:val="000000"/>
                <w:sz w:val="18"/>
                <w:szCs w:val="18"/>
                <w:u w:val="none"/>
              </w:rPr>
            </w:pPr>
          </w:p>
        </w:tc>
        <w:tc>
          <w:tcPr>
            <w:tcW w:w="398" w:type="pct"/>
            <w:tcBorders>
              <w:top w:val="nil"/>
              <w:left w:val="nil"/>
              <w:bottom w:val="single" w:color="000000" w:sz="8" w:space="0"/>
              <w:right w:val="single" w:color="000000" w:sz="8" w:space="0"/>
            </w:tcBorders>
            <w:noWrap w:val="0"/>
            <w:vAlign w:val="center"/>
          </w:tcPr>
          <w:p w14:paraId="2EADB2CE">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color w:val="000000"/>
                <w:kern w:val="0"/>
                <w:sz w:val="18"/>
                <w:szCs w:val="18"/>
                <w:u w:val="none"/>
                <w:lang w:val="en-US" w:eastAsia="zh-CN" w:bidi="ar"/>
              </w:rPr>
              <w:t>1.2</w:t>
            </w:r>
          </w:p>
        </w:tc>
        <w:tc>
          <w:tcPr>
            <w:tcW w:w="398" w:type="pct"/>
            <w:tcBorders>
              <w:top w:val="nil"/>
              <w:left w:val="nil"/>
              <w:bottom w:val="single" w:color="000000" w:sz="8" w:space="0"/>
              <w:right w:val="single" w:color="000000" w:sz="8" w:space="0"/>
            </w:tcBorders>
            <w:noWrap w:val="0"/>
            <w:vAlign w:val="center"/>
          </w:tcPr>
          <w:p w14:paraId="0433892A">
            <w:pPr>
              <w:spacing w:line="240" w:lineRule="auto"/>
              <w:ind w:firstLine="0" w:firstLineChars="0"/>
              <w:jc w:val="center"/>
              <w:rPr>
                <w:rFonts w:hint="default" w:ascii="Times New Roman" w:hAnsi="Times New Roman" w:eastAsia="宋体" w:cs="Times New Roman"/>
                <w:i w:val="0"/>
                <w:iCs w:val="0"/>
                <w:color w:val="000000"/>
                <w:sz w:val="18"/>
                <w:szCs w:val="18"/>
                <w:u w:val="none"/>
              </w:rPr>
            </w:pPr>
          </w:p>
        </w:tc>
        <w:tc>
          <w:tcPr>
            <w:tcW w:w="346" w:type="pct"/>
            <w:tcBorders>
              <w:top w:val="nil"/>
              <w:left w:val="nil"/>
              <w:bottom w:val="single" w:color="000000" w:sz="8" w:space="0"/>
              <w:right w:val="single" w:color="000000" w:sz="8" w:space="0"/>
            </w:tcBorders>
            <w:noWrap w:val="0"/>
            <w:vAlign w:val="center"/>
          </w:tcPr>
          <w:p w14:paraId="305EB1F2">
            <w:pPr>
              <w:spacing w:line="240" w:lineRule="auto"/>
              <w:ind w:firstLine="0" w:firstLineChars="0"/>
              <w:jc w:val="center"/>
              <w:rPr>
                <w:rFonts w:hint="default" w:ascii="Times New Roman" w:hAnsi="Times New Roman" w:eastAsia="宋体" w:cs="Times New Roman"/>
                <w:i w:val="0"/>
                <w:iCs w:val="0"/>
                <w:color w:val="000000"/>
                <w:sz w:val="18"/>
                <w:szCs w:val="18"/>
                <w:u w:val="none"/>
              </w:rPr>
            </w:pPr>
          </w:p>
        </w:tc>
        <w:tc>
          <w:tcPr>
            <w:tcW w:w="326" w:type="pct"/>
            <w:tcBorders>
              <w:top w:val="nil"/>
              <w:left w:val="nil"/>
              <w:bottom w:val="single" w:color="000000" w:sz="8" w:space="0"/>
              <w:right w:val="single" w:color="000000" w:sz="8" w:space="0"/>
            </w:tcBorders>
            <w:noWrap w:val="0"/>
            <w:vAlign w:val="center"/>
          </w:tcPr>
          <w:p w14:paraId="4A452B2E">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color w:val="000000"/>
                <w:kern w:val="0"/>
                <w:sz w:val="18"/>
                <w:szCs w:val="18"/>
                <w:u w:val="none"/>
                <w:lang w:val="en-US" w:eastAsia="zh-CN" w:bidi="ar"/>
              </w:rPr>
              <w:t>1.2</w:t>
            </w:r>
          </w:p>
        </w:tc>
        <w:tc>
          <w:tcPr>
            <w:tcW w:w="148" w:type="pct"/>
            <w:tcBorders>
              <w:top w:val="nil"/>
              <w:left w:val="nil"/>
              <w:bottom w:val="single" w:color="000000" w:sz="8" w:space="0"/>
              <w:right w:val="single" w:color="000000" w:sz="8" w:space="0"/>
            </w:tcBorders>
            <w:noWrap w:val="0"/>
            <w:vAlign w:val="center"/>
          </w:tcPr>
          <w:p w14:paraId="568E49A7">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套</w:t>
            </w:r>
          </w:p>
        </w:tc>
        <w:tc>
          <w:tcPr>
            <w:tcW w:w="211" w:type="pct"/>
            <w:tcBorders>
              <w:top w:val="nil"/>
              <w:left w:val="nil"/>
              <w:bottom w:val="single" w:color="000000" w:sz="8" w:space="0"/>
              <w:right w:val="single" w:color="000000" w:sz="8" w:space="0"/>
            </w:tcBorders>
            <w:noWrap w:val="0"/>
            <w:vAlign w:val="center"/>
          </w:tcPr>
          <w:p w14:paraId="46C371BD">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color w:val="000000"/>
                <w:kern w:val="0"/>
                <w:sz w:val="18"/>
                <w:szCs w:val="18"/>
                <w:u w:val="none"/>
                <w:lang w:val="en-US" w:eastAsia="zh-CN" w:bidi="ar"/>
              </w:rPr>
              <w:t>1</w:t>
            </w:r>
          </w:p>
        </w:tc>
        <w:tc>
          <w:tcPr>
            <w:tcW w:w="478" w:type="pct"/>
            <w:tcBorders>
              <w:top w:val="nil"/>
              <w:left w:val="nil"/>
              <w:bottom w:val="single" w:color="000000" w:sz="8" w:space="0"/>
              <w:right w:val="single" w:color="000000" w:sz="8" w:space="0"/>
            </w:tcBorders>
            <w:noWrap w:val="0"/>
            <w:vAlign w:val="center"/>
          </w:tcPr>
          <w:p w14:paraId="773124BA">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20"/>
                <w:szCs w:val="20"/>
                <w:u w:val="none"/>
              </w:rPr>
            </w:pPr>
            <w:r>
              <w:rPr>
                <w:rFonts w:hint="default" w:ascii="Times New Roman" w:hAnsi="Times New Roman" w:eastAsia="宋体" w:cs="Times New Roman"/>
                <w:i w:val="0"/>
                <w:iCs w:val="0"/>
                <w:color w:val="000000"/>
                <w:kern w:val="0"/>
                <w:sz w:val="20"/>
                <w:szCs w:val="20"/>
                <w:u w:val="none"/>
                <w:lang w:val="en-US" w:eastAsia="zh-CN" w:bidi="ar"/>
              </w:rPr>
              <w:t>12000</w:t>
            </w:r>
          </w:p>
        </w:tc>
        <w:tc>
          <w:tcPr>
            <w:tcW w:w="329" w:type="pct"/>
            <w:tcBorders>
              <w:top w:val="nil"/>
              <w:left w:val="nil"/>
              <w:bottom w:val="single" w:color="000000" w:sz="8" w:space="0"/>
              <w:right w:val="single" w:color="000000" w:sz="8" w:space="0"/>
            </w:tcBorders>
            <w:noWrap w:val="0"/>
            <w:vAlign w:val="center"/>
          </w:tcPr>
          <w:p w14:paraId="53ABEDAF">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b/>
                <w:bCs/>
                <w:i w:val="0"/>
                <w:iCs w:val="0"/>
                <w:color w:val="000000"/>
                <w:sz w:val="18"/>
                <w:szCs w:val="18"/>
                <w:u w:val="none"/>
              </w:rPr>
            </w:pPr>
            <w:r>
              <w:rPr>
                <w:rFonts w:hint="default" w:ascii="Times New Roman" w:hAnsi="Times New Roman" w:eastAsia="宋体" w:cs="Times New Roman"/>
                <w:b/>
                <w:bCs/>
                <w:i w:val="0"/>
                <w:iCs w:val="0"/>
                <w:color w:val="000000"/>
                <w:kern w:val="0"/>
                <w:sz w:val="18"/>
                <w:szCs w:val="18"/>
                <w:u w:val="none"/>
                <w:lang w:val="en-US" w:eastAsia="zh-CN" w:bidi="ar"/>
              </w:rPr>
              <w:t>0.01%</w:t>
            </w:r>
          </w:p>
        </w:tc>
        <w:tc>
          <w:tcPr>
            <w:tcW w:w="1013" w:type="pct"/>
            <w:tcBorders>
              <w:top w:val="nil"/>
              <w:left w:val="nil"/>
              <w:bottom w:val="single" w:color="000000" w:sz="8" w:space="0"/>
              <w:right w:val="single" w:color="000000" w:sz="8" w:space="0"/>
            </w:tcBorders>
            <w:noWrap w:val="0"/>
            <w:vAlign w:val="center"/>
          </w:tcPr>
          <w:p w14:paraId="1D4401B2">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color w:val="000000"/>
                <w:kern w:val="0"/>
                <w:sz w:val="18"/>
                <w:szCs w:val="18"/>
                <w:u w:val="none"/>
                <w:lang w:val="en-US" w:eastAsia="zh-CN" w:bidi="ar"/>
              </w:rPr>
              <w:t>JBY1/1-1.6/0.76</w:t>
            </w:r>
          </w:p>
        </w:tc>
      </w:tr>
      <w:tr w14:paraId="362759F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3" w:hRule="atLeast"/>
        </w:trPr>
        <w:tc>
          <w:tcPr>
            <w:tcW w:w="273" w:type="pct"/>
            <w:tcBorders>
              <w:top w:val="nil"/>
              <w:left w:val="single" w:color="000000" w:sz="8" w:space="0"/>
              <w:bottom w:val="single" w:color="000000" w:sz="8" w:space="0"/>
              <w:right w:val="single" w:color="000000" w:sz="8" w:space="0"/>
            </w:tcBorders>
            <w:noWrap w:val="0"/>
            <w:vAlign w:val="center"/>
          </w:tcPr>
          <w:p w14:paraId="3C1A6E94">
            <w:pPr>
              <w:spacing w:line="240" w:lineRule="auto"/>
              <w:ind w:firstLine="0" w:firstLineChars="0"/>
              <w:jc w:val="center"/>
              <w:rPr>
                <w:rFonts w:hint="default" w:ascii="Times New Roman" w:hAnsi="Times New Roman" w:eastAsia="宋体" w:cs="Times New Roman"/>
                <w:i w:val="0"/>
                <w:iCs w:val="0"/>
                <w:color w:val="000000"/>
                <w:sz w:val="18"/>
                <w:szCs w:val="18"/>
                <w:u w:val="none"/>
              </w:rPr>
            </w:pPr>
          </w:p>
        </w:tc>
        <w:tc>
          <w:tcPr>
            <w:tcW w:w="675" w:type="pct"/>
            <w:tcBorders>
              <w:top w:val="nil"/>
              <w:left w:val="nil"/>
              <w:bottom w:val="single" w:color="000000" w:sz="8" w:space="0"/>
              <w:right w:val="single" w:color="000000" w:sz="8" w:space="0"/>
            </w:tcBorders>
            <w:noWrap w:val="0"/>
            <w:vAlign w:val="center"/>
          </w:tcPr>
          <w:p w14:paraId="53292EED">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回流泵</w:t>
            </w:r>
          </w:p>
        </w:tc>
        <w:tc>
          <w:tcPr>
            <w:tcW w:w="398" w:type="pct"/>
            <w:tcBorders>
              <w:top w:val="nil"/>
              <w:left w:val="nil"/>
              <w:bottom w:val="single" w:color="000000" w:sz="8" w:space="0"/>
              <w:right w:val="single" w:color="000000" w:sz="8" w:space="0"/>
            </w:tcBorders>
            <w:noWrap w:val="0"/>
            <w:vAlign w:val="center"/>
          </w:tcPr>
          <w:p w14:paraId="60340D0C">
            <w:pPr>
              <w:spacing w:line="240" w:lineRule="auto"/>
              <w:ind w:firstLine="0" w:firstLineChars="0"/>
              <w:jc w:val="center"/>
              <w:rPr>
                <w:rFonts w:hint="default" w:ascii="Times New Roman" w:hAnsi="Times New Roman" w:eastAsia="宋体" w:cs="Times New Roman"/>
                <w:i w:val="0"/>
                <w:iCs w:val="0"/>
                <w:color w:val="000000"/>
                <w:sz w:val="18"/>
                <w:szCs w:val="18"/>
                <w:u w:val="none"/>
              </w:rPr>
            </w:pPr>
          </w:p>
        </w:tc>
        <w:tc>
          <w:tcPr>
            <w:tcW w:w="398" w:type="pct"/>
            <w:tcBorders>
              <w:top w:val="nil"/>
              <w:left w:val="nil"/>
              <w:bottom w:val="single" w:color="000000" w:sz="8" w:space="0"/>
              <w:right w:val="single" w:color="000000" w:sz="8" w:space="0"/>
            </w:tcBorders>
            <w:noWrap w:val="0"/>
            <w:vAlign w:val="center"/>
          </w:tcPr>
          <w:p w14:paraId="6B70FCBE">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color w:val="000000"/>
                <w:kern w:val="0"/>
                <w:sz w:val="18"/>
                <w:szCs w:val="18"/>
                <w:u w:val="none"/>
                <w:lang w:val="en-US" w:eastAsia="zh-CN" w:bidi="ar"/>
              </w:rPr>
              <w:t>4.05</w:t>
            </w:r>
          </w:p>
        </w:tc>
        <w:tc>
          <w:tcPr>
            <w:tcW w:w="398" w:type="pct"/>
            <w:tcBorders>
              <w:top w:val="nil"/>
              <w:left w:val="nil"/>
              <w:bottom w:val="single" w:color="000000" w:sz="8" w:space="0"/>
              <w:right w:val="single" w:color="000000" w:sz="8" w:space="0"/>
            </w:tcBorders>
            <w:noWrap w:val="0"/>
            <w:vAlign w:val="center"/>
          </w:tcPr>
          <w:p w14:paraId="0E7942E6">
            <w:pPr>
              <w:spacing w:line="240" w:lineRule="auto"/>
              <w:ind w:firstLine="0" w:firstLineChars="0"/>
              <w:jc w:val="center"/>
              <w:rPr>
                <w:rFonts w:hint="default" w:ascii="Times New Roman" w:hAnsi="Times New Roman" w:eastAsia="宋体" w:cs="Times New Roman"/>
                <w:i w:val="0"/>
                <w:iCs w:val="0"/>
                <w:color w:val="000000"/>
                <w:sz w:val="18"/>
                <w:szCs w:val="18"/>
                <w:u w:val="none"/>
              </w:rPr>
            </w:pPr>
          </w:p>
        </w:tc>
        <w:tc>
          <w:tcPr>
            <w:tcW w:w="346" w:type="pct"/>
            <w:tcBorders>
              <w:top w:val="nil"/>
              <w:left w:val="nil"/>
              <w:bottom w:val="single" w:color="000000" w:sz="8" w:space="0"/>
              <w:right w:val="single" w:color="000000" w:sz="8" w:space="0"/>
            </w:tcBorders>
            <w:noWrap w:val="0"/>
            <w:vAlign w:val="center"/>
          </w:tcPr>
          <w:p w14:paraId="40B751E7">
            <w:pPr>
              <w:spacing w:line="240" w:lineRule="auto"/>
              <w:ind w:firstLine="0" w:firstLineChars="0"/>
              <w:jc w:val="center"/>
              <w:rPr>
                <w:rFonts w:hint="default" w:ascii="Times New Roman" w:hAnsi="Times New Roman" w:eastAsia="宋体" w:cs="Times New Roman"/>
                <w:i w:val="0"/>
                <w:iCs w:val="0"/>
                <w:color w:val="000000"/>
                <w:sz w:val="18"/>
                <w:szCs w:val="18"/>
                <w:u w:val="none"/>
              </w:rPr>
            </w:pPr>
          </w:p>
        </w:tc>
        <w:tc>
          <w:tcPr>
            <w:tcW w:w="326" w:type="pct"/>
            <w:tcBorders>
              <w:top w:val="nil"/>
              <w:left w:val="nil"/>
              <w:bottom w:val="single" w:color="000000" w:sz="8" w:space="0"/>
              <w:right w:val="single" w:color="000000" w:sz="8" w:space="0"/>
            </w:tcBorders>
            <w:noWrap w:val="0"/>
            <w:vAlign w:val="center"/>
          </w:tcPr>
          <w:p w14:paraId="6D031FB5">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color w:val="000000"/>
                <w:kern w:val="0"/>
                <w:sz w:val="18"/>
                <w:szCs w:val="18"/>
                <w:u w:val="none"/>
                <w:lang w:val="en-US" w:eastAsia="zh-CN" w:bidi="ar"/>
              </w:rPr>
              <w:t>4.05</w:t>
            </w:r>
          </w:p>
        </w:tc>
        <w:tc>
          <w:tcPr>
            <w:tcW w:w="148" w:type="pct"/>
            <w:tcBorders>
              <w:top w:val="nil"/>
              <w:left w:val="nil"/>
              <w:bottom w:val="single" w:color="000000" w:sz="8" w:space="0"/>
              <w:right w:val="single" w:color="000000" w:sz="8" w:space="0"/>
            </w:tcBorders>
            <w:noWrap w:val="0"/>
            <w:vAlign w:val="center"/>
          </w:tcPr>
          <w:p w14:paraId="662D125E">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台</w:t>
            </w:r>
          </w:p>
        </w:tc>
        <w:tc>
          <w:tcPr>
            <w:tcW w:w="211" w:type="pct"/>
            <w:tcBorders>
              <w:top w:val="nil"/>
              <w:left w:val="nil"/>
              <w:bottom w:val="single" w:color="000000" w:sz="8" w:space="0"/>
              <w:right w:val="single" w:color="000000" w:sz="8" w:space="0"/>
            </w:tcBorders>
            <w:noWrap w:val="0"/>
            <w:vAlign w:val="center"/>
          </w:tcPr>
          <w:p w14:paraId="3FF8A3D9">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color w:val="000000"/>
                <w:kern w:val="0"/>
                <w:sz w:val="18"/>
                <w:szCs w:val="18"/>
                <w:u w:val="none"/>
                <w:lang w:val="en-US" w:eastAsia="zh-CN" w:bidi="ar"/>
              </w:rPr>
              <w:t>3</w:t>
            </w:r>
          </w:p>
        </w:tc>
        <w:tc>
          <w:tcPr>
            <w:tcW w:w="478" w:type="pct"/>
            <w:tcBorders>
              <w:top w:val="nil"/>
              <w:left w:val="nil"/>
              <w:bottom w:val="single" w:color="000000" w:sz="8" w:space="0"/>
              <w:right w:val="single" w:color="000000" w:sz="8" w:space="0"/>
            </w:tcBorders>
            <w:noWrap w:val="0"/>
            <w:vAlign w:val="center"/>
          </w:tcPr>
          <w:p w14:paraId="29D553FB">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20"/>
                <w:szCs w:val="20"/>
                <w:u w:val="none"/>
              </w:rPr>
            </w:pPr>
            <w:r>
              <w:rPr>
                <w:rFonts w:hint="default" w:ascii="Times New Roman" w:hAnsi="Times New Roman" w:eastAsia="宋体" w:cs="Times New Roman"/>
                <w:i w:val="0"/>
                <w:iCs w:val="0"/>
                <w:color w:val="000000"/>
                <w:kern w:val="0"/>
                <w:sz w:val="20"/>
                <w:szCs w:val="20"/>
                <w:u w:val="none"/>
                <w:lang w:val="en-US" w:eastAsia="zh-CN" w:bidi="ar"/>
              </w:rPr>
              <w:t>13500</w:t>
            </w:r>
          </w:p>
        </w:tc>
        <w:tc>
          <w:tcPr>
            <w:tcW w:w="329" w:type="pct"/>
            <w:tcBorders>
              <w:top w:val="nil"/>
              <w:left w:val="nil"/>
              <w:bottom w:val="single" w:color="000000" w:sz="8" w:space="0"/>
              <w:right w:val="single" w:color="000000" w:sz="8" w:space="0"/>
            </w:tcBorders>
            <w:noWrap w:val="0"/>
            <w:vAlign w:val="center"/>
          </w:tcPr>
          <w:p w14:paraId="4C5BFC93">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b/>
                <w:bCs/>
                <w:i w:val="0"/>
                <w:iCs w:val="0"/>
                <w:color w:val="000000"/>
                <w:sz w:val="18"/>
                <w:szCs w:val="18"/>
                <w:u w:val="none"/>
              </w:rPr>
            </w:pPr>
            <w:r>
              <w:rPr>
                <w:rFonts w:hint="default" w:ascii="Times New Roman" w:hAnsi="Times New Roman" w:eastAsia="宋体" w:cs="Times New Roman"/>
                <w:b/>
                <w:bCs/>
                <w:i w:val="0"/>
                <w:iCs w:val="0"/>
                <w:color w:val="000000"/>
                <w:kern w:val="0"/>
                <w:sz w:val="18"/>
                <w:szCs w:val="18"/>
                <w:u w:val="none"/>
                <w:lang w:val="en-US" w:eastAsia="zh-CN" w:bidi="ar"/>
              </w:rPr>
              <w:t>0.04%</w:t>
            </w:r>
          </w:p>
        </w:tc>
        <w:tc>
          <w:tcPr>
            <w:tcW w:w="1013" w:type="pct"/>
            <w:tcBorders>
              <w:top w:val="nil"/>
              <w:left w:val="nil"/>
              <w:bottom w:val="single" w:color="000000" w:sz="8" w:space="0"/>
              <w:right w:val="single" w:color="000000" w:sz="8" w:space="0"/>
            </w:tcBorders>
            <w:noWrap w:val="0"/>
            <w:vAlign w:val="center"/>
          </w:tcPr>
          <w:p w14:paraId="7B18A192">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color w:val="000000"/>
                <w:kern w:val="0"/>
                <w:sz w:val="18"/>
                <w:szCs w:val="18"/>
                <w:u w:val="none"/>
                <w:lang w:val="en-US" w:eastAsia="zh-CN" w:bidi="ar"/>
              </w:rPr>
              <w:t>SS316Q=30m</w:t>
            </w:r>
            <w:r>
              <w:rPr>
                <w:rFonts w:hint="eastAsia" w:ascii="宋体" w:hAnsi="宋体" w:eastAsia="宋体" w:cs="宋体"/>
                <w:i w:val="0"/>
                <w:iCs w:val="0"/>
                <w:color w:val="000000"/>
                <w:kern w:val="0"/>
                <w:sz w:val="18"/>
                <w:szCs w:val="18"/>
                <w:u w:val="none"/>
                <w:lang w:val="en-US" w:eastAsia="zh-CN" w:bidi="ar"/>
              </w:rPr>
              <w:t>³</w:t>
            </w:r>
            <w:r>
              <w:rPr>
                <w:rFonts w:hint="default" w:ascii="Times New Roman" w:hAnsi="Times New Roman" w:eastAsia="宋体" w:cs="Times New Roman"/>
                <w:i w:val="0"/>
                <w:iCs w:val="0"/>
                <w:color w:val="000000"/>
                <w:kern w:val="0"/>
                <w:sz w:val="18"/>
                <w:szCs w:val="18"/>
                <w:u w:val="none"/>
                <w:lang w:val="en-US" w:eastAsia="zh-CN" w:bidi="ar"/>
              </w:rPr>
              <w:t>/hH=17mN=2.2kw</w:t>
            </w:r>
          </w:p>
        </w:tc>
      </w:tr>
      <w:tr w14:paraId="55A0790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3" w:hRule="atLeast"/>
        </w:trPr>
        <w:tc>
          <w:tcPr>
            <w:tcW w:w="273" w:type="pct"/>
            <w:tcBorders>
              <w:top w:val="nil"/>
              <w:left w:val="single" w:color="000000" w:sz="8" w:space="0"/>
              <w:bottom w:val="single" w:color="000000" w:sz="8" w:space="0"/>
              <w:right w:val="single" w:color="000000" w:sz="8" w:space="0"/>
            </w:tcBorders>
            <w:noWrap w:val="0"/>
            <w:vAlign w:val="center"/>
          </w:tcPr>
          <w:p w14:paraId="22FE727E">
            <w:pPr>
              <w:spacing w:line="240" w:lineRule="auto"/>
              <w:ind w:firstLine="0" w:firstLineChars="0"/>
              <w:jc w:val="center"/>
              <w:rPr>
                <w:rFonts w:hint="default" w:ascii="Times New Roman" w:hAnsi="Times New Roman" w:eastAsia="宋体" w:cs="Times New Roman"/>
                <w:i w:val="0"/>
                <w:iCs w:val="0"/>
                <w:color w:val="000000"/>
                <w:sz w:val="18"/>
                <w:szCs w:val="18"/>
                <w:u w:val="none"/>
              </w:rPr>
            </w:pPr>
          </w:p>
        </w:tc>
        <w:tc>
          <w:tcPr>
            <w:tcW w:w="675" w:type="pct"/>
            <w:tcBorders>
              <w:top w:val="nil"/>
              <w:left w:val="nil"/>
              <w:bottom w:val="single" w:color="000000" w:sz="8" w:space="0"/>
              <w:right w:val="single" w:color="000000" w:sz="8" w:space="0"/>
            </w:tcBorders>
            <w:noWrap w:val="0"/>
            <w:vAlign w:val="center"/>
          </w:tcPr>
          <w:p w14:paraId="22D3B85B">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曝气风机</w:t>
            </w:r>
          </w:p>
        </w:tc>
        <w:tc>
          <w:tcPr>
            <w:tcW w:w="398" w:type="pct"/>
            <w:tcBorders>
              <w:top w:val="nil"/>
              <w:left w:val="nil"/>
              <w:bottom w:val="single" w:color="000000" w:sz="8" w:space="0"/>
              <w:right w:val="single" w:color="000000" w:sz="8" w:space="0"/>
            </w:tcBorders>
            <w:noWrap w:val="0"/>
            <w:vAlign w:val="center"/>
          </w:tcPr>
          <w:p w14:paraId="336A34A4">
            <w:pPr>
              <w:spacing w:line="240" w:lineRule="auto"/>
              <w:ind w:firstLine="0" w:firstLineChars="0"/>
              <w:jc w:val="center"/>
              <w:rPr>
                <w:rFonts w:hint="default" w:ascii="Times New Roman" w:hAnsi="Times New Roman" w:eastAsia="宋体" w:cs="Times New Roman"/>
                <w:i w:val="0"/>
                <w:iCs w:val="0"/>
                <w:color w:val="000000"/>
                <w:sz w:val="18"/>
                <w:szCs w:val="18"/>
                <w:u w:val="none"/>
              </w:rPr>
            </w:pPr>
          </w:p>
        </w:tc>
        <w:tc>
          <w:tcPr>
            <w:tcW w:w="398" w:type="pct"/>
            <w:tcBorders>
              <w:top w:val="nil"/>
              <w:left w:val="nil"/>
              <w:bottom w:val="single" w:color="000000" w:sz="8" w:space="0"/>
              <w:right w:val="single" w:color="000000" w:sz="8" w:space="0"/>
            </w:tcBorders>
            <w:noWrap w:val="0"/>
            <w:vAlign w:val="center"/>
          </w:tcPr>
          <w:p w14:paraId="7D7725B9">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color w:val="000000"/>
                <w:kern w:val="0"/>
                <w:sz w:val="18"/>
                <w:szCs w:val="18"/>
                <w:u w:val="none"/>
                <w:lang w:val="en-US" w:eastAsia="zh-CN" w:bidi="ar"/>
              </w:rPr>
              <w:t>20.1</w:t>
            </w:r>
          </w:p>
        </w:tc>
        <w:tc>
          <w:tcPr>
            <w:tcW w:w="398" w:type="pct"/>
            <w:tcBorders>
              <w:top w:val="nil"/>
              <w:left w:val="nil"/>
              <w:bottom w:val="single" w:color="000000" w:sz="8" w:space="0"/>
              <w:right w:val="single" w:color="000000" w:sz="8" w:space="0"/>
            </w:tcBorders>
            <w:noWrap w:val="0"/>
            <w:vAlign w:val="center"/>
          </w:tcPr>
          <w:p w14:paraId="17DC91FB">
            <w:pPr>
              <w:spacing w:line="240" w:lineRule="auto"/>
              <w:ind w:firstLine="0" w:firstLineChars="0"/>
              <w:jc w:val="center"/>
              <w:rPr>
                <w:rFonts w:hint="default" w:ascii="Times New Roman" w:hAnsi="Times New Roman" w:eastAsia="宋体" w:cs="Times New Roman"/>
                <w:i w:val="0"/>
                <w:iCs w:val="0"/>
                <w:color w:val="000000"/>
                <w:sz w:val="18"/>
                <w:szCs w:val="18"/>
                <w:u w:val="none"/>
              </w:rPr>
            </w:pPr>
          </w:p>
        </w:tc>
        <w:tc>
          <w:tcPr>
            <w:tcW w:w="346" w:type="pct"/>
            <w:tcBorders>
              <w:top w:val="nil"/>
              <w:left w:val="nil"/>
              <w:bottom w:val="single" w:color="000000" w:sz="8" w:space="0"/>
              <w:right w:val="single" w:color="000000" w:sz="8" w:space="0"/>
            </w:tcBorders>
            <w:noWrap w:val="0"/>
            <w:vAlign w:val="center"/>
          </w:tcPr>
          <w:p w14:paraId="246F2971">
            <w:pPr>
              <w:spacing w:line="240" w:lineRule="auto"/>
              <w:ind w:firstLine="0" w:firstLineChars="0"/>
              <w:jc w:val="center"/>
              <w:rPr>
                <w:rFonts w:hint="default" w:ascii="Times New Roman" w:hAnsi="Times New Roman" w:eastAsia="宋体" w:cs="Times New Roman"/>
                <w:i w:val="0"/>
                <w:iCs w:val="0"/>
                <w:color w:val="000000"/>
                <w:sz w:val="18"/>
                <w:szCs w:val="18"/>
                <w:u w:val="none"/>
              </w:rPr>
            </w:pPr>
          </w:p>
        </w:tc>
        <w:tc>
          <w:tcPr>
            <w:tcW w:w="326" w:type="pct"/>
            <w:tcBorders>
              <w:top w:val="nil"/>
              <w:left w:val="nil"/>
              <w:bottom w:val="single" w:color="000000" w:sz="8" w:space="0"/>
              <w:right w:val="single" w:color="000000" w:sz="8" w:space="0"/>
            </w:tcBorders>
            <w:noWrap w:val="0"/>
            <w:vAlign w:val="center"/>
          </w:tcPr>
          <w:p w14:paraId="1A2465B7">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color w:val="000000"/>
                <w:kern w:val="0"/>
                <w:sz w:val="18"/>
                <w:szCs w:val="18"/>
                <w:u w:val="none"/>
                <w:lang w:val="en-US" w:eastAsia="zh-CN" w:bidi="ar"/>
              </w:rPr>
              <w:t>20.1</w:t>
            </w:r>
          </w:p>
        </w:tc>
        <w:tc>
          <w:tcPr>
            <w:tcW w:w="148" w:type="pct"/>
            <w:tcBorders>
              <w:top w:val="nil"/>
              <w:left w:val="nil"/>
              <w:bottom w:val="single" w:color="000000" w:sz="8" w:space="0"/>
              <w:right w:val="single" w:color="000000" w:sz="8" w:space="0"/>
            </w:tcBorders>
            <w:noWrap w:val="0"/>
            <w:vAlign w:val="center"/>
          </w:tcPr>
          <w:p w14:paraId="5C591D42">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台</w:t>
            </w:r>
          </w:p>
        </w:tc>
        <w:tc>
          <w:tcPr>
            <w:tcW w:w="211" w:type="pct"/>
            <w:tcBorders>
              <w:top w:val="nil"/>
              <w:left w:val="nil"/>
              <w:bottom w:val="single" w:color="000000" w:sz="8" w:space="0"/>
              <w:right w:val="single" w:color="000000" w:sz="8" w:space="0"/>
            </w:tcBorders>
            <w:noWrap w:val="0"/>
            <w:vAlign w:val="center"/>
          </w:tcPr>
          <w:p w14:paraId="4476B899">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color w:val="000000"/>
                <w:kern w:val="0"/>
                <w:sz w:val="18"/>
                <w:szCs w:val="18"/>
                <w:u w:val="none"/>
                <w:lang w:val="en-US" w:eastAsia="zh-CN" w:bidi="ar"/>
              </w:rPr>
              <w:t>3</w:t>
            </w:r>
          </w:p>
        </w:tc>
        <w:tc>
          <w:tcPr>
            <w:tcW w:w="478" w:type="pct"/>
            <w:tcBorders>
              <w:top w:val="nil"/>
              <w:left w:val="nil"/>
              <w:bottom w:val="single" w:color="000000" w:sz="8" w:space="0"/>
              <w:right w:val="single" w:color="000000" w:sz="8" w:space="0"/>
            </w:tcBorders>
            <w:noWrap w:val="0"/>
            <w:vAlign w:val="center"/>
          </w:tcPr>
          <w:p w14:paraId="28AE591F">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20"/>
                <w:szCs w:val="20"/>
                <w:u w:val="none"/>
              </w:rPr>
            </w:pPr>
            <w:r>
              <w:rPr>
                <w:rFonts w:hint="default" w:ascii="Times New Roman" w:hAnsi="Times New Roman" w:eastAsia="宋体" w:cs="Times New Roman"/>
                <w:i w:val="0"/>
                <w:iCs w:val="0"/>
                <w:color w:val="000000"/>
                <w:kern w:val="0"/>
                <w:sz w:val="20"/>
                <w:szCs w:val="20"/>
                <w:u w:val="none"/>
                <w:lang w:val="en-US" w:eastAsia="zh-CN" w:bidi="ar"/>
              </w:rPr>
              <w:t>67000</w:t>
            </w:r>
          </w:p>
        </w:tc>
        <w:tc>
          <w:tcPr>
            <w:tcW w:w="329" w:type="pct"/>
            <w:tcBorders>
              <w:top w:val="nil"/>
              <w:left w:val="nil"/>
              <w:bottom w:val="single" w:color="000000" w:sz="8" w:space="0"/>
              <w:right w:val="single" w:color="000000" w:sz="8" w:space="0"/>
            </w:tcBorders>
            <w:noWrap w:val="0"/>
            <w:vAlign w:val="center"/>
          </w:tcPr>
          <w:p w14:paraId="344921B2">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b/>
                <w:bCs/>
                <w:i w:val="0"/>
                <w:iCs w:val="0"/>
                <w:color w:val="000000"/>
                <w:sz w:val="18"/>
                <w:szCs w:val="18"/>
                <w:u w:val="none"/>
              </w:rPr>
            </w:pPr>
            <w:r>
              <w:rPr>
                <w:rFonts w:hint="default" w:ascii="Times New Roman" w:hAnsi="Times New Roman" w:eastAsia="宋体" w:cs="Times New Roman"/>
                <w:b/>
                <w:bCs/>
                <w:i w:val="0"/>
                <w:iCs w:val="0"/>
                <w:color w:val="000000"/>
                <w:kern w:val="0"/>
                <w:sz w:val="18"/>
                <w:szCs w:val="18"/>
                <w:u w:val="none"/>
                <w:lang w:val="en-US" w:eastAsia="zh-CN" w:bidi="ar"/>
              </w:rPr>
              <w:t>0.20%</w:t>
            </w:r>
          </w:p>
        </w:tc>
        <w:tc>
          <w:tcPr>
            <w:tcW w:w="1013" w:type="pct"/>
            <w:tcBorders>
              <w:top w:val="nil"/>
              <w:left w:val="nil"/>
              <w:bottom w:val="single" w:color="000000" w:sz="8" w:space="0"/>
              <w:right w:val="single" w:color="000000" w:sz="8" w:space="0"/>
            </w:tcBorders>
            <w:noWrap w:val="0"/>
            <w:vAlign w:val="center"/>
          </w:tcPr>
          <w:p w14:paraId="5B730B91">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color w:val="000000"/>
                <w:kern w:val="0"/>
                <w:sz w:val="18"/>
                <w:szCs w:val="18"/>
                <w:u w:val="none"/>
                <w:lang w:val="en-US" w:eastAsia="zh-CN" w:bidi="ar"/>
              </w:rPr>
              <w:t>Q=11.03m</w:t>
            </w:r>
            <w:r>
              <w:rPr>
                <w:rFonts w:hint="eastAsia" w:ascii="宋体" w:hAnsi="宋体" w:eastAsia="宋体" w:cs="宋体"/>
                <w:i w:val="0"/>
                <w:iCs w:val="0"/>
                <w:color w:val="000000"/>
                <w:kern w:val="0"/>
                <w:sz w:val="18"/>
                <w:szCs w:val="18"/>
                <w:u w:val="none"/>
                <w:lang w:val="en-US" w:eastAsia="zh-CN" w:bidi="ar"/>
              </w:rPr>
              <w:t>³</w:t>
            </w:r>
            <w:r>
              <w:rPr>
                <w:rFonts w:hint="default" w:ascii="Times New Roman" w:hAnsi="Times New Roman" w:eastAsia="宋体" w:cs="Times New Roman"/>
                <w:i w:val="0"/>
                <w:iCs w:val="0"/>
                <w:color w:val="000000"/>
                <w:kern w:val="0"/>
                <w:sz w:val="18"/>
                <w:szCs w:val="18"/>
                <w:u w:val="none"/>
                <w:lang w:val="en-US" w:eastAsia="zh-CN" w:bidi="ar"/>
              </w:rPr>
              <w:t>/hN=37kwP=0.08Mpa</w:t>
            </w:r>
          </w:p>
        </w:tc>
      </w:tr>
      <w:tr w14:paraId="53AD32F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3" w:hRule="atLeast"/>
        </w:trPr>
        <w:tc>
          <w:tcPr>
            <w:tcW w:w="273" w:type="pct"/>
            <w:tcBorders>
              <w:top w:val="nil"/>
              <w:left w:val="single" w:color="000000" w:sz="8" w:space="0"/>
              <w:bottom w:val="single" w:color="000000" w:sz="8" w:space="0"/>
              <w:right w:val="single" w:color="000000" w:sz="8" w:space="0"/>
            </w:tcBorders>
            <w:noWrap w:val="0"/>
            <w:vAlign w:val="center"/>
          </w:tcPr>
          <w:p w14:paraId="043AA666">
            <w:pPr>
              <w:spacing w:line="240" w:lineRule="auto"/>
              <w:ind w:firstLine="0" w:firstLineChars="0"/>
              <w:jc w:val="center"/>
              <w:rPr>
                <w:rFonts w:hint="default" w:ascii="Times New Roman" w:hAnsi="Times New Roman" w:eastAsia="宋体" w:cs="Times New Roman"/>
                <w:i w:val="0"/>
                <w:iCs w:val="0"/>
                <w:color w:val="000000"/>
                <w:sz w:val="18"/>
                <w:szCs w:val="18"/>
                <w:u w:val="none"/>
              </w:rPr>
            </w:pPr>
          </w:p>
        </w:tc>
        <w:tc>
          <w:tcPr>
            <w:tcW w:w="675" w:type="pct"/>
            <w:tcBorders>
              <w:top w:val="nil"/>
              <w:left w:val="nil"/>
              <w:bottom w:val="single" w:color="000000" w:sz="8" w:space="0"/>
              <w:right w:val="single" w:color="000000" w:sz="8" w:space="0"/>
            </w:tcBorders>
            <w:noWrap w:val="0"/>
            <w:vAlign w:val="center"/>
          </w:tcPr>
          <w:p w14:paraId="081860D5">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污泥提升泵</w:t>
            </w:r>
          </w:p>
        </w:tc>
        <w:tc>
          <w:tcPr>
            <w:tcW w:w="398" w:type="pct"/>
            <w:tcBorders>
              <w:top w:val="nil"/>
              <w:left w:val="nil"/>
              <w:bottom w:val="single" w:color="000000" w:sz="8" w:space="0"/>
              <w:right w:val="single" w:color="000000" w:sz="8" w:space="0"/>
            </w:tcBorders>
            <w:noWrap w:val="0"/>
            <w:vAlign w:val="center"/>
          </w:tcPr>
          <w:p w14:paraId="38AA2CE1">
            <w:pPr>
              <w:spacing w:line="240" w:lineRule="auto"/>
              <w:ind w:firstLine="0" w:firstLineChars="0"/>
              <w:jc w:val="center"/>
              <w:rPr>
                <w:rFonts w:hint="default" w:ascii="Times New Roman" w:hAnsi="Times New Roman" w:eastAsia="宋体" w:cs="Times New Roman"/>
                <w:i w:val="0"/>
                <w:iCs w:val="0"/>
                <w:color w:val="000000"/>
                <w:sz w:val="18"/>
                <w:szCs w:val="18"/>
                <w:u w:val="none"/>
              </w:rPr>
            </w:pPr>
          </w:p>
        </w:tc>
        <w:tc>
          <w:tcPr>
            <w:tcW w:w="398" w:type="pct"/>
            <w:tcBorders>
              <w:top w:val="nil"/>
              <w:left w:val="nil"/>
              <w:bottom w:val="single" w:color="000000" w:sz="8" w:space="0"/>
              <w:right w:val="single" w:color="000000" w:sz="8" w:space="0"/>
            </w:tcBorders>
            <w:noWrap w:val="0"/>
            <w:vAlign w:val="center"/>
          </w:tcPr>
          <w:p w14:paraId="6EE694A8">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color w:val="000000"/>
                <w:kern w:val="0"/>
                <w:sz w:val="18"/>
                <w:szCs w:val="18"/>
                <w:u w:val="none"/>
                <w:lang w:val="en-US" w:eastAsia="zh-CN" w:bidi="ar"/>
              </w:rPr>
              <w:t>1.7</w:t>
            </w:r>
          </w:p>
        </w:tc>
        <w:tc>
          <w:tcPr>
            <w:tcW w:w="398" w:type="pct"/>
            <w:tcBorders>
              <w:top w:val="nil"/>
              <w:left w:val="nil"/>
              <w:bottom w:val="single" w:color="000000" w:sz="8" w:space="0"/>
              <w:right w:val="single" w:color="000000" w:sz="8" w:space="0"/>
            </w:tcBorders>
            <w:noWrap w:val="0"/>
            <w:vAlign w:val="center"/>
          </w:tcPr>
          <w:p w14:paraId="71085A28">
            <w:pPr>
              <w:spacing w:line="240" w:lineRule="auto"/>
              <w:ind w:firstLine="0" w:firstLineChars="0"/>
              <w:jc w:val="center"/>
              <w:rPr>
                <w:rFonts w:hint="default" w:ascii="Times New Roman" w:hAnsi="Times New Roman" w:eastAsia="宋体" w:cs="Times New Roman"/>
                <w:i w:val="0"/>
                <w:iCs w:val="0"/>
                <w:color w:val="000000"/>
                <w:sz w:val="18"/>
                <w:szCs w:val="18"/>
                <w:u w:val="none"/>
              </w:rPr>
            </w:pPr>
          </w:p>
        </w:tc>
        <w:tc>
          <w:tcPr>
            <w:tcW w:w="346" w:type="pct"/>
            <w:tcBorders>
              <w:top w:val="nil"/>
              <w:left w:val="nil"/>
              <w:bottom w:val="single" w:color="000000" w:sz="8" w:space="0"/>
              <w:right w:val="single" w:color="000000" w:sz="8" w:space="0"/>
            </w:tcBorders>
            <w:noWrap w:val="0"/>
            <w:vAlign w:val="center"/>
          </w:tcPr>
          <w:p w14:paraId="6398C8EC">
            <w:pPr>
              <w:spacing w:line="240" w:lineRule="auto"/>
              <w:ind w:firstLine="0" w:firstLineChars="0"/>
              <w:jc w:val="center"/>
              <w:rPr>
                <w:rFonts w:hint="default" w:ascii="Times New Roman" w:hAnsi="Times New Roman" w:eastAsia="宋体" w:cs="Times New Roman"/>
                <w:i w:val="0"/>
                <w:iCs w:val="0"/>
                <w:color w:val="000000"/>
                <w:sz w:val="18"/>
                <w:szCs w:val="18"/>
                <w:u w:val="none"/>
              </w:rPr>
            </w:pPr>
          </w:p>
        </w:tc>
        <w:tc>
          <w:tcPr>
            <w:tcW w:w="326" w:type="pct"/>
            <w:tcBorders>
              <w:top w:val="nil"/>
              <w:left w:val="nil"/>
              <w:bottom w:val="single" w:color="000000" w:sz="8" w:space="0"/>
              <w:right w:val="single" w:color="000000" w:sz="8" w:space="0"/>
            </w:tcBorders>
            <w:noWrap w:val="0"/>
            <w:vAlign w:val="center"/>
          </w:tcPr>
          <w:p w14:paraId="69752D83">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color w:val="000000"/>
                <w:kern w:val="0"/>
                <w:sz w:val="18"/>
                <w:szCs w:val="18"/>
                <w:u w:val="none"/>
                <w:lang w:val="en-US" w:eastAsia="zh-CN" w:bidi="ar"/>
              </w:rPr>
              <w:t>1.7</w:t>
            </w:r>
          </w:p>
        </w:tc>
        <w:tc>
          <w:tcPr>
            <w:tcW w:w="148" w:type="pct"/>
            <w:tcBorders>
              <w:top w:val="nil"/>
              <w:left w:val="nil"/>
              <w:bottom w:val="single" w:color="000000" w:sz="8" w:space="0"/>
              <w:right w:val="single" w:color="000000" w:sz="8" w:space="0"/>
            </w:tcBorders>
            <w:noWrap w:val="0"/>
            <w:vAlign w:val="center"/>
          </w:tcPr>
          <w:p w14:paraId="5048D471">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台</w:t>
            </w:r>
          </w:p>
        </w:tc>
        <w:tc>
          <w:tcPr>
            <w:tcW w:w="211" w:type="pct"/>
            <w:tcBorders>
              <w:top w:val="nil"/>
              <w:left w:val="nil"/>
              <w:bottom w:val="single" w:color="000000" w:sz="8" w:space="0"/>
              <w:right w:val="single" w:color="000000" w:sz="8" w:space="0"/>
            </w:tcBorders>
            <w:noWrap w:val="0"/>
            <w:vAlign w:val="center"/>
          </w:tcPr>
          <w:p w14:paraId="475805FA">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color w:val="000000"/>
                <w:kern w:val="0"/>
                <w:sz w:val="18"/>
                <w:szCs w:val="18"/>
                <w:u w:val="none"/>
                <w:lang w:val="en-US" w:eastAsia="zh-CN" w:bidi="ar"/>
              </w:rPr>
              <w:t>2</w:t>
            </w:r>
          </w:p>
        </w:tc>
        <w:tc>
          <w:tcPr>
            <w:tcW w:w="478" w:type="pct"/>
            <w:tcBorders>
              <w:top w:val="nil"/>
              <w:left w:val="nil"/>
              <w:bottom w:val="single" w:color="000000" w:sz="8" w:space="0"/>
              <w:right w:val="single" w:color="000000" w:sz="8" w:space="0"/>
            </w:tcBorders>
            <w:noWrap w:val="0"/>
            <w:vAlign w:val="center"/>
          </w:tcPr>
          <w:p w14:paraId="046CE2A4">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20"/>
                <w:szCs w:val="20"/>
                <w:u w:val="none"/>
              </w:rPr>
            </w:pPr>
            <w:r>
              <w:rPr>
                <w:rFonts w:hint="default" w:ascii="Times New Roman" w:hAnsi="Times New Roman" w:eastAsia="宋体" w:cs="Times New Roman"/>
                <w:i w:val="0"/>
                <w:iCs w:val="0"/>
                <w:color w:val="000000"/>
                <w:kern w:val="0"/>
                <w:sz w:val="20"/>
                <w:szCs w:val="20"/>
                <w:u w:val="none"/>
                <w:lang w:val="en-US" w:eastAsia="zh-CN" w:bidi="ar"/>
              </w:rPr>
              <w:t>8500</w:t>
            </w:r>
          </w:p>
        </w:tc>
        <w:tc>
          <w:tcPr>
            <w:tcW w:w="329" w:type="pct"/>
            <w:tcBorders>
              <w:top w:val="nil"/>
              <w:left w:val="nil"/>
              <w:bottom w:val="single" w:color="000000" w:sz="8" w:space="0"/>
              <w:right w:val="single" w:color="000000" w:sz="8" w:space="0"/>
            </w:tcBorders>
            <w:noWrap w:val="0"/>
            <w:vAlign w:val="center"/>
          </w:tcPr>
          <w:p w14:paraId="67D71A9C">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b/>
                <w:bCs/>
                <w:i w:val="0"/>
                <w:iCs w:val="0"/>
                <w:color w:val="000000"/>
                <w:sz w:val="18"/>
                <w:szCs w:val="18"/>
                <w:u w:val="none"/>
              </w:rPr>
            </w:pPr>
            <w:r>
              <w:rPr>
                <w:rFonts w:hint="default" w:ascii="Times New Roman" w:hAnsi="Times New Roman" w:eastAsia="宋体" w:cs="Times New Roman"/>
                <w:b/>
                <w:bCs/>
                <w:i w:val="0"/>
                <w:iCs w:val="0"/>
                <w:color w:val="000000"/>
                <w:kern w:val="0"/>
                <w:sz w:val="18"/>
                <w:szCs w:val="18"/>
                <w:u w:val="none"/>
                <w:lang w:val="en-US" w:eastAsia="zh-CN" w:bidi="ar"/>
              </w:rPr>
              <w:t>0.02%</w:t>
            </w:r>
          </w:p>
        </w:tc>
        <w:tc>
          <w:tcPr>
            <w:tcW w:w="1013" w:type="pct"/>
            <w:tcBorders>
              <w:top w:val="nil"/>
              <w:left w:val="nil"/>
              <w:bottom w:val="single" w:color="000000" w:sz="8" w:space="0"/>
              <w:right w:val="single" w:color="000000" w:sz="8" w:space="0"/>
            </w:tcBorders>
            <w:noWrap w:val="0"/>
            <w:vAlign w:val="center"/>
          </w:tcPr>
          <w:p w14:paraId="1771D471">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color w:val="000000"/>
                <w:kern w:val="0"/>
                <w:sz w:val="18"/>
                <w:szCs w:val="18"/>
                <w:u w:val="none"/>
                <w:lang w:val="en-US" w:eastAsia="zh-CN" w:bidi="ar"/>
              </w:rPr>
              <w:t>SS316Q=15m</w:t>
            </w:r>
            <w:r>
              <w:rPr>
                <w:rFonts w:hint="eastAsia" w:ascii="宋体" w:hAnsi="宋体" w:eastAsia="宋体" w:cs="宋体"/>
                <w:i w:val="0"/>
                <w:iCs w:val="0"/>
                <w:color w:val="000000"/>
                <w:kern w:val="0"/>
                <w:sz w:val="18"/>
                <w:szCs w:val="18"/>
                <w:u w:val="none"/>
                <w:lang w:val="en-US" w:eastAsia="zh-CN" w:bidi="ar"/>
              </w:rPr>
              <w:t>³</w:t>
            </w:r>
            <w:r>
              <w:rPr>
                <w:rFonts w:hint="default" w:ascii="Times New Roman" w:hAnsi="Times New Roman" w:eastAsia="宋体" w:cs="Times New Roman"/>
                <w:i w:val="0"/>
                <w:iCs w:val="0"/>
                <w:color w:val="000000"/>
                <w:kern w:val="0"/>
                <w:sz w:val="18"/>
                <w:szCs w:val="18"/>
                <w:u w:val="none"/>
                <w:lang w:val="en-US" w:eastAsia="zh-CN" w:bidi="ar"/>
              </w:rPr>
              <w:t>/h</w:t>
            </w:r>
            <w:r>
              <w:rPr>
                <w:rFonts w:hint="eastAsia" w:ascii="宋体" w:hAnsi="宋体" w:eastAsia="宋体" w:cs="宋体"/>
                <w:i w:val="0"/>
                <w:iCs w:val="0"/>
                <w:color w:val="000000"/>
                <w:kern w:val="0"/>
                <w:sz w:val="18"/>
                <w:szCs w:val="18"/>
                <w:u w:val="none"/>
                <w:lang w:val="en-US" w:eastAsia="zh-CN" w:bidi="ar"/>
              </w:rPr>
              <w:t>，</w:t>
            </w:r>
            <w:r>
              <w:rPr>
                <w:rFonts w:hint="default" w:ascii="Times New Roman" w:hAnsi="Times New Roman" w:eastAsia="宋体" w:cs="Times New Roman"/>
                <w:i w:val="0"/>
                <w:iCs w:val="0"/>
                <w:color w:val="000000"/>
                <w:kern w:val="0"/>
                <w:sz w:val="18"/>
                <w:szCs w:val="18"/>
                <w:u w:val="none"/>
                <w:lang w:val="en-US" w:eastAsia="zh-CN" w:bidi="ar"/>
              </w:rPr>
              <w:t>H=15m</w:t>
            </w:r>
            <w:r>
              <w:rPr>
                <w:rFonts w:hint="eastAsia" w:ascii="宋体" w:hAnsi="宋体" w:eastAsia="宋体" w:cs="宋体"/>
                <w:i w:val="0"/>
                <w:iCs w:val="0"/>
                <w:color w:val="000000"/>
                <w:kern w:val="0"/>
                <w:sz w:val="18"/>
                <w:szCs w:val="18"/>
                <w:u w:val="none"/>
                <w:lang w:val="en-US" w:eastAsia="zh-CN" w:bidi="ar"/>
              </w:rPr>
              <w:t>，</w:t>
            </w:r>
            <w:r>
              <w:rPr>
                <w:rFonts w:hint="default" w:ascii="Times New Roman" w:hAnsi="Times New Roman" w:eastAsia="宋体" w:cs="Times New Roman"/>
                <w:i w:val="0"/>
                <w:iCs w:val="0"/>
                <w:color w:val="000000"/>
                <w:kern w:val="0"/>
                <w:sz w:val="18"/>
                <w:szCs w:val="18"/>
                <w:u w:val="none"/>
                <w:lang w:val="en-US" w:eastAsia="zh-CN" w:bidi="ar"/>
              </w:rPr>
              <w:t>N=0.75kw</w:t>
            </w:r>
          </w:p>
        </w:tc>
      </w:tr>
      <w:tr w14:paraId="353965F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3" w:hRule="atLeast"/>
        </w:trPr>
        <w:tc>
          <w:tcPr>
            <w:tcW w:w="273" w:type="pct"/>
            <w:tcBorders>
              <w:top w:val="nil"/>
              <w:left w:val="single" w:color="000000" w:sz="8" w:space="0"/>
              <w:bottom w:val="single" w:color="000000" w:sz="8" w:space="0"/>
              <w:right w:val="single" w:color="000000" w:sz="8" w:space="0"/>
            </w:tcBorders>
            <w:noWrap w:val="0"/>
            <w:vAlign w:val="center"/>
          </w:tcPr>
          <w:p w14:paraId="6D7E374D">
            <w:pPr>
              <w:spacing w:line="240" w:lineRule="auto"/>
              <w:ind w:firstLine="0" w:firstLineChars="0"/>
              <w:jc w:val="center"/>
              <w:rPr>
                <w:rFonts w:hint="default" w:ascii="Times New Roman" w:hAnsi="Times New Roman" w:eastAsia="宋体" w:cs="Times New Roman"/>
                <w:i w:val="0"/>
                <w:iCs w:val="0"/>
                <w:color w:val="000000"/>
                <w:sz w:val="18"/>
                <w:szCs w:val="18"/>
                <w:u w:val="none"/>
              </w:rPr>
            </w:pPr>
          </w:p>
        </w:tc>
        <w:tc>
          <w:tcPr>
            <w:tcW w:w="675" w:type="pct"/>
            <w:tcBorders>
              <w:top w:val="nil"/>
              <w:left w:val="nil"/>
              <w:bottom w:val="single" w:color="000000" w:sz="8" w:space="0"/>
              <w:right w:val="single" w:color="000000" w:sz="8" w:space="0"/>
            </w:tcBorders>
            <w:noWrap w:val="0"/>
            <w:vAlign w:val="center"/>
          </w:tcPr>
          <w:p w14:paraId="48023C17">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消泡剂自动投加系统</w:t>
            </w:r>
          </w:p>
        </w:tc>
        <w:tc>
          <w:tcPr>
            <w:tcW w:w="398" w:type="pct"/>
            <w:tcBorders>
              <w:top w:val="nil"/>
              <w:left w:val="nil"/>
              <w:bottom w:val="single" w:color="000000" w:sz="8" w:space="0"/>
              <w:right w:val="single" w:color="000000" w:sz="8" w:space="0"/>
            </w:tcBorders>
            <w:noWrap w:val="0"/>
            <w:vAlign w:val="center"/>
          </w:tcPr>
          <w:p w14:paraId="4339B599">
            <w:pPr>
              <w:spacing w:line="240" w:lineRule="auto"/>
              <w:ind w:firstLine="0" w:firstLineChars="0"/>
              <w:jc w:val="center"/>
              <w:rPr>
                <w:rFonts w:hint="default" w:ascii="Times New Roman" w:hAnsi="Times New Roman" w:eastAsia="宋体" w:cs="Times New Roman"/>
                <w:i w:val="0"/>
                <w:iCs w:val="0"/>
                <w:color w:val="000000"/>
                <w:sz w:val="18"/>
                <w:szCs w:val="18"/>
                <w:u w:val="none"/>
              </w:rPr>
            </w:pPr>
          </w:p>
        </w:tc>
        <w:tc>
          <w:tcPr>
            <w:tcW w:w="398" w:type="pct"/>
            <w:tcBorders>
              <w:top w:val="nil"/>
              <w:left w:val="nil"/>
              <w:bottom w:val="single" w:color="000000" w:sz="8" w:space="0"/>
              <w:right w:val="single" w:color="000000" w:sz="8" w:space="0"/>
            </w:tcBorders>
            <w:noWrap w:val="0"/>
            <w:vAlign w:val="center"/>
          </w:tcPr>
          <w:p w14:paraId="51A135D8">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color w:val="000000"/>
                <w:kern w:val="0"/>
                <w:sz w:val="18"/>
                <w:szCs w:val="18"/>
                <w:u w:val="none"/>
                <w:lang w:val="en-US" w:eastAsia="zh-CN" w:bidi="ar"/>
              </w:rPr>
              <w:t>1.2</w:t>
            </w:r>
          </w:p>
        </w:tc>
        <w:tc>
          <w:tcPr>
            <w:tcW w:w="398" w:type="pct"/>
            <w:tcBorders>
              <w:top w:val="nil"/>
              <w:left w:val="nil"/>
              <w:bottom w:val="single" w:color="000000" w:sz="8" w:space="0"/>
              <w:right w:val="single" w:color="000000" w:sz="8" w:space="0"/>
            </w:tcBorders>
            <w:noWrap w:val="0"/>
            <w:vAlign w:val="center"/>
          </w:tcPr>
          <w:p w14:paraId="0C9A8F83">
            <w:pPr>
              <w:spacing w:line="240" w:lineRule="auto"/>
              <w:ind w:firstLine="0" w:firstLineChars="0"/>
              <w:jc w:val="center"/>
              <w:rPr>
                <w:rFonts w:hint="default" w:ascii="Times New Roman" w:hAnsi="Times New Roman" w:eastAsia="宋体" w:cs="Times New Roman"/>
                <w:i w:val="0"/>
                <w:iCs w:val="0"/>
                <w:color w:val="000000"/>
                <w:sz w:val="18"/>
                <w:szCs w:val="18"/>
                <w:u w:val="none"/>
              </w:rPr>
            </w:pPr>
          </w:p>
        </w:tc>
        <w:tc>
          <w:tcPr>
            <w:tcW w:w="346" w:type="pct"/>
            <w:tcBorders>
              <w:top w:val="nil"/>
              <w:left w:val="nil"/>
              <w:bottom w:val="single" w:color="000000" w:sz="8" w:space="0"/>
              <w:right w:val="single" w:color="000000" w:sz="8" w:space="0"/>
            </w:tcBorders>
            <w:noWrap w:val="0"/>
            <w:vAlign w:val="center"/>
          </w:tcPr>
          <w:p w14:paraId="41796CE9">
            <w:pPr>
              <w:spacing w:line="240" w:lineRule="auto"/>
              <w:ind w:firstLine="0" w:firstLineChars="0"/>
              <w:jc w:val="center"/>
              <w:rPr>
                <w:rFonts w:hint="default" w:ascii="Times New Roman" w:hAnsi="Times New Roman" w:eastAsia="宋体" w:cs="Times New Roman"/>
                <w:i w:val="0"/>
                <w:iCs w:val="0"/>
                <w:color w:val="000000"/>
                <w:sz w:val="18"/>
                <w:szCs w:val="18"/>
                <w:u w:val="none"/>
              </w:rPr>
            </w:pPr>
          </w:p>
        </w:tc>
        <w:tc>
          <w:tcPr>
            <w:tcW w:w="326" w:type="pct"/>
            <w:tcBorders>
              <w:top w:val="nil"/>
              <w:left w:val="nil"/>
              <w:bottom w:val="single" w:color="000000" w:sz="8" w:space="0"/>
              <w:right w:val="single" w:color="000000" w:sz="8" w:space="0"/>
            </w:tcBorders>
            <w:noWrap w:val="0"/>
            <w:vAlign w:val="center"/>
          </w:tcPr>
          <w:p w14:paraId="0F271827">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color w:val="000000"/>
                <w:kern w:val="0"/>
                <w:sz w:val="18"/>
                <w:szCs w:val="18"/>
                <w:u w:val="none"/>
                <w:lang w:val="en-US" w:eastAsia="zh-CN" w:bidi="ar"/>
              </w:rPr>
              <w:t>1.2</w:t>
            </w:r>
          </w:p>
        </w:tc>
        <w:tc>
          <w:tcPr>
            <w:tcW w:w="148" w:type="pct"/>
            <w:tcBorders>
              <w:top w:val="nil"/>
              <w:left w:val="nil"/>
              <w:bottom w:val="single" w:color="000000" w:sz="8" w:space="0"/>
              <w:right w:val="single" w:color="000000" w:sz="8" w:space="0"/>
            </w:tcBorders>
            <w:noWrap w:val="0"/>
            <w:vAlign w:val="center"/>
          </w:tcPr>
          <w:p w14:paraId="5908EEB5">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套</w:t>
            </w:r>
          </w:p>
        </w:tc>
        <w:tc>
          <w:tcPr>
            <w:tcW w:w="211" w:type="pct"/>
            <w:tcBorders>
              <w:top w:val="nil"/>
              <w:left w:val="nil"/>
              <w:bottom w:val="single" w:color="000000" w:sz="8" w:space="0"/>
              <w:right w:val="single" w:color="000000" w:sz="8" w:space="0"/>
            </w:tcBorders>
            <w:noWrap w:val="0"/>
            <w:vAlign w:val="center"/>
          </w:tcPr>
          <w:p w14:paraId="6D6DE5C3">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color w:val="000000"/>
                <w:kern w:val="0"/>
                <w:sz w:val="18"/>
                <w:szCs w:val="18"/>
                <w:u w:val="none"/>
                <w:lang w:val="en-US" w:eastAsia="zh-CN" w:bidi="ar"/>
              </w:rPr>
              <w:t>1</w:t>
            </w:r>
          </w:p>
        </w:tc>
        <w:tc>
          <w:tcPr>
            <w:tcW w:w="478" w:type="pct"/>
            <w:tcBorders>
              <w:top w:val="nil"/>
              <w:left w:val="nil"/>
              <w:bottom w:val="single" w:color="000000" w:sz="8" w:space="0"/>
              <w:right w:val="single" w:color="000000" w:sz="8" w:space="0"/>
            </w:tcBorders>
            <w:noWrap w:val="0"/>
            <w:vAlign w:val="center"/>
          </w:tcPr>
          <w:p w14:paraId="41A9BE1C">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20"/>
                <w:szCs w:val="20"/>
                <w:u w:val="none"/>
              </w:rPr>
            </w:pPr>
            <w:r>
              <w:rPr>
                <w:rFonts w:hint="default" w:ascii="Times New Roman" w:hAnsi="Times New Roman" w:eastAsia="宋体" w:cs="Times New Roman"/>
                <w:i w:val="0"/>
                <w:iCs w:val="0"/>
                <w:color w:val="000000"/>
                <w:kern w:val="0"/>
                <w:sz w:val="20"/>
                <w:szCs w:val="20"/>
                <w:u w:val="none"/>
                <w:lang w:val="en-US" w:eastAsia="zh-CN" w:bidi="ar"/>
              </w:rPr>
              <w:t>12000</w:t>
            </w:r>
          </w:p>
        </w:tc>
        <w:tc>
          <w:tcPr>
            <w:tcW w:w="329" w:type="pct"/>
            <w:tcBorders>
              <w:top w:val="nil"/>
              <w:left w:val="nil"/>
              <w:bottom w:val="single" w:color="000000" w:sz="8" w:space="0"/>
              <w:right w:val="single" w:color="000000" w:sz="8" w:space="0"/>
            </w:tcBorders>
            <w:noWrap w:val="0"/>
            <w:vAlign w:val="center"/>
          </w:tcPr>
          <w:p w14:paraId="459F31F6">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b/>
                <w:bCs/>
                <w:i w:val="0"/>
                <w:iCs w:val="0"/>
                <w:color w:val="000000"/>
                <w:sz w:val="18"/>
                <w:szCs w:val="18"/>
                <w:u w:val="none"/>
              </w:rPr>
            </w:pPr>
            <w:r>
              <w:rPr>
                <w:rFonts w:hint="default" w:ascii="Times New Roman" w:hAnsi="Times New Roman" w:eastAsia="宋体" w:cs="Times New Roman"/>
                <w:b/>
                <w:bCs/>
                <w:i w:val="0"/>
                <w:iCs w:val="0"/>
                <w:color w:val="000000"/>
                <w:kern w:val="0"/>
                <w:sz w:val="18"/>
                <w:szCs w:val="18"/>
                <w:u w:val="none"/>
                <w:lang w:val="en-US" w:eastAsia="zh-CN" w:bidi="ar"/>
              </w:rPr>
              <w:t>0.01%</w:t>
            </w:r>
          </w:p>
        </w:tc>
        <w:tc>
          <w:tcPr>
            <w:tcW w:w="1013" w:type="pct"/>
            <w:tcBorders>
              <w:top w:val="nil"/>
              <w:left w:val="nil"/>
              <w:bottom w:val="single" w:color="000000" w:sz="8" w:space="0"/>
              <w:right w:val="single" w:color="000000" w:sz="8" w:space="0"/>
            </w:tcBorders>
            <w:noWrap w:val="0"/>
            <w:vAlign w:val="center"/>
          </w:tcPr>
          <w:p w14:paraId="5D7189A6">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color w:val="000000"/>
                <w:kern w:val="0"/>
                <w:sz w:val="18"/>
                <w:szCs w:val="18"/>
                <w:u w:val="none"/>
                <w:lang w:val="en-US" w:eastAsia="zh-CN" w:bidi="ar"/>
              </w:rPr>
              <w:t>JBY1/1-1.6/0.76</w:t>
            </w:r>
            <w:r>
              <w:rPr>
                <w:rFonts w:hint="eastAsia" w:ascii="宋体" w:hAnsi="宋体" w:eastAsia="宋体" w:cs="宋体"/>
                <w:i w:val="0"/>
                <w:iCs w:val="0"/>
                <w:color w:val="000000"/>
                <w:kern w:val="0"/>
                <w:sz w:val="18"/>
                <w:szCs w:val="18"/>
                <w:u w:val="none"/>
                <w:lang w:val="en-US" w:eastAsia="zh-CN" w:bidi="ar"/>
              </w:rPr>
              <w:t>（成套设备）</w:t>
            </w:r>
          </w:p>
        </w:tc>
      </w:tr>
      <w:tr w14:paraId="2DEF928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71" w:hRule="atLeast"/>
        </w:trPr>
        <w:tc>
          <w:tcPr>
            <w:tcW w:w="273" w:type="pct"/>
            <w:tcBorders>
              <w:top w:val="nil"/>
              <w:left w:val="single" w:color="000000" w:sz="8" w:space="0"/>
              <w:bottom w:val="single" w:color="000000" w:sz="8" w:space="0"/>
              <w:right w:val="single" w:color="000000" w:sz="8" w:space="0"/>
            </w:tcBorders>
            <w:noWrap w:val="0"/>
            <w:vAlign w:val="center"/>
          </w:tcPr>
          <w:p w14:paraId="49B285EB">
            <w:pPr>
              <w:spacing w:line="240" w:lineRule="auto"/>
              <w:ind w:firstLine="0" w:firstLineChars="0"/>
              <w:jc w:val="center"/>
              <w:rPr>
                <w:rFonts w:hint="default" w:ascii="Times New Roman" w:hAnsi="Times New Roman" w:eastAsia="宋体" w:cs="Times New Roman"/>
                <w:i w:val="0"/>
                <w:iCs w:val="0"/>
                <w:color w:val="000000"/>
                <w:sz w:val="18"/>
                <w:szCs w:val="18"/>
                <w:u w:val="none"/>
              </w:rPr>
            </w:pPr>
          </w:p>
        </w:tc>
        <w:tc>
          <w:tcPr>
            <w:tcW w:w="675" w:type="pct"/>
            <w:tcBorders>
              <w:top w:val="nil"/>
              <w:left w:val="nil"/>
              <w:bottom w:val="single" w:color="000000" w:sz="8" w:space="0"/>
              <w:right w:val="single" w:color="000000" w:sz="8" w:space="0"/>
            </w:tcBorders>
            <w:noWrap w:val="0"/>
            <w:vAlign w:val="center"/>
          </w:tcPr>
          <w:p w14:paraId="586262E5">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color w:val="000000"/>
                <w:kern w:val="0"/>
                <w:sz w:val="18"/>
                <w:szCs w:val="18"/>
                <w:u w:val="none"/>
                <w:lang w:val="en-US" w:eastAsia="zh-CN" w:bidi="ar"/>
              </w:rPr>
              <w:t>TMBR</w:t>
            </w:r>
            <w:r>
              <w:rPr>
                <w:rFonts w:hint="eastAsia" w:ascii="宋体" w:hAnsi="宋体" w:eastAsia="宋体" w:cs="宋体"/>
                <w:i w:val="0"/>
                <w:iCs w:val="0"/>
                <w:color w:val="000000"/>
                <w:kern w:val="0"/>
                <w:sz w:val="18"/>
                <w:szCs w:val="18"/>
                <w:u w:val="none"/>
                <w:lang w:val="en-US" w:eastAsia="zh-CN" w:bidi="ar"/>
              </w:rPr>
              <w:t>管式膜生物反应系统</w:t>
            </w:r>
          </w:p>
        </w:tc>
        <w:tc>
          <w:tcPr>
            <w:tcW w:w="398" w:type="pct"/>
            <w:tcBorders>
              <w:top w:val="nil"/>
              <w:left w:val="nil"/>
              <w:bottom w:val="single" w:color="000000" w:sz="8" w:space="0"/>
              <w:right w:val="single" w:color="000000" w:sz="8" w:space="0"/>
            </w:tcBorders>
            <w:noWrap w:val="0"/>
            <w:vAlign w:val="center"/>
          </w:tcPr>
          <w:p w14:paraId="30F07B86">
            <w:pPr>
              <w:spacing w:line="240" w:lineRule="auto"/>
              <w:ind w:firstLine="0" w:firstLineChars="0"/>
              <w:jc w:val="center"/>
              <w:rPr>
                <w:rFonts w:hint="default" w:ascii="Times New Roman" w:hAnsi="Times New Roman" w:eastAsia="宋体" w:cs="Times New Roman"/>
                <w:i w:val="0"/>
                <w:iCs w:val="0"/>
                <w:color w:val="000000"/>
                <w:sz w:val="18"/>
                <w:szCs w:val="18"/>
                <w:u w:val="none"/>
              </w:rPr>
            </w:pPr>
          </w:p>
        </w:tc>
        <w:tc>
          <w:tcPr>
            <w:tcW w:w="398" w:type="pct"/>
            <w:tcBorders>
              <w:top w:val="nil"/>
              <w:left w:val="nil"/>
              <w:bottom w:val="single" w:color="000000" w:sz="8" w:space="0"/>
              <w:right w:val="single" w:color="000000" w:sz="8" w:space="0"/>
            </w:tcBorders>
            <w:noWrap w:val="0"/>
            <w:vAlign w:val="center"/>
          </w:tcPr>
          <w:p w14:paraId="413A6F06">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color w:val="000000"/>
                <w:kern w:val="0"/>
                <w:sz w:val="18"/>
                <w:szCs w:val="18"/>
                <w:u w:val="none"/>
                <w:lang w:val="en-US" w:eastAsia="zh-CN" w:bidi="ar"/>
              </w:rPr>
              <w:t>110</w:t>
            </w:r>
          </w:p>
        </w:tc>
        <w:tc>
          <w:tcPr>
            <w:tcW w:w="398" w:type="pct"/>
            <w:tcBorders>
              <w:top w:val="nil"/>
              <w:left w:val="nil"/>
              <w:bottom w:val="single" w:color="000000" w:sz="8" w:space="0"/>
              <w:right w:val="single" w:color="000000" w:sz="8" w:space="0"/>
            </w:tcBorders>
            <w:noWrap w:val="0"/>
            <w:vAlign w:val="center"/>
          </w:tcPr>
          <w:p w14:paraId="64817634">
            <w:pPr>
              <w:spacing w:line="240" w:lineRule="auto"/>
              <w:ind w:firstLine="0" w:firstLineChars="0"/>
              <w:jc w:val="center"/>
              <w:rPr>
                <w:rFonts w:hint="default" w:ascii="Times New Roman" w:hAnsi="Times New Roman" w:eastAsia="宋体" w:cs="Times New Roman"/>
                <w:i w:val="0"/>
                <w:iCs w:val="0"/>
                <w:color w:val="000000"/>
                <w:sz w:val="18"/>
                <w:szCs w:val="18"/>
                <w:u w:val="none"/>
              </w:rPr>
            </w:pPr>
          </w:p>
        </w:tc>
        <w:tc>
          <w:tcPr>
            <w:tcW w:w="346" w:type="pct"/>
            <w:tcBorders>
              <w:top w:val="nil"/>
              <w:left w:val="nil"/>
              <w:bottom w:val="single" w:color="000000" w:sz="8" w:space="0"/>
              <w:right w:val="single" w:color="000000" w:sz="8" w:space="0"/>
            </w:tcBorders>
            <w:noWrap w:val="0"/>
            <w:vAlign w:val="center"/>
          </w:tcPr>
          <w:p w14:paraId="2D4223F9">
            <w:pPr>
              <w:spacing w:line="240" w:lineRule="auto"/>
              <w:ind w:firstLine="0" w:firstLineChars="0"/>
              <w:jc w:val="center"/>
              <w:rPr>
                <w:rFonts w:hint="default" w:ascii="Times New Roman" w:hAnsi="Times New Roman" w:eastAsia="宋体" w:cs="Times New Roman"/>
                <w:i w:val="0"/>
                <w:iCs w:val="0"/>
                <w:color w:val="000000"/>
                <w:sz w:val="18"/>
                <w:szCs w:val="18"/>
                <w:u w:val="none"/>
              </w:rPr>
            </w:pPr>
          </w:p>
        </w:tc>
        <w:tc>
          <w:tcPr>
            <w:tcW w:w="326" w:type="pct"/>
            <w:tcBorders>
              <w:top w:val="nil"/>
              <w:left w:val="nil"/>
              <w:bottom w:val="single" w:color="000000" w:sz="8" w:space="0"/>
              <w:right w:val="single" w:color="000000" w:sz="8" w:space="0"/>
            </w:tcBorders>
            <w:noWrap w:val="0"/>
            <w:vAlign w:val="center"/>
          </w:tcPr>
          <w:p w14:paraId="5C3262C8">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color w:val="000000"/>
                <w:kern w:val="0"/>
                <w:sz w:val="18"/>
                <w:szCs w:val="18"/>
                <w:u w:val="none"/>
                <w:lang w:val="en-US" w:eastAsia="zh-CN" w:bidi="ar"/>
              </w:rPr>
              <w:t>110</w:t>
            </w:r>
          </w:p>
        </w:tc>
        <w:tc>
          <w:tcPr>
            <w:tcW w:w="148" w:type="pct"/>
            <w:tcBorders>
              <w:top w:val="nil"/>
              <w:left w:val="nil"/>
              <w:bottom w:val="single" w:color="000000" w:sz="8" w:space="0"/>
              <w:right w:val="single" w:color="000000" w:sz="8" w:space="0"/>
            </w:tcBorders>
            <w:noWrap w:val="0"/>
            <w:vAlign w:val="center"/>
          </w:tcPr>
          <w:p w14:paraId="690BDC9A">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套</w:t>
            </w:r>
          </w:p>
        </w:tc>
        <w:tc>
          <w:tcPr>
            <w:tcW w:w="211" w:type="pct"/>
            <w:tcBorders>
              <w:top w:val="nil"/>
              <w:left w:val="nil"/>
              <w:bottom w:val="single" w:color="000000" w:sz="8" w:space="0"/>
              <w:right w:val="single" w:color="000000" w:sz="8" w:space="0"/>
            </w:tcBorders>
            <w:noWrap w:val="0"/>
            <w:vAlign w:val="center"/>
          </w:tcPr>
          <w:p w14:paraId="25500D47">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color w:val="000000"/>
                <w:kern w:val="0"/>
                <w:sz w:val="18"/>
                <w:szCs w:val="18"/>
                <w:u w:val="none"/>
                <w:lang w:val="en-US" w:eastAsia="zh-CN" w:bidi="ar"/>
              </w:rPr>
              <w:t>1</w:t>
            </w:r>
          </w:p>
        </w:tc>
        <w:tc>
          <w:tcPr>
            <w:tcW w:w="478" w:type="pct"/>
            <w:tcBorders>
              <w:top w:val="nil"/>
              <w:left w:val="nil"/>
              <w:bottom w:val="single" w:color="000000" w:sz="8" w:space="0"/>
              <w:right w:val="single" w:color="000000" w:sz="8" w:space="0"/>
            </w:tcBorders>
            <w:noWrap w:val="0"/>
            <w:vAlign w:val="center"/>
          </w:tcPr>
          <w:p w14:paraId="024E58C5">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20"/>
                <w:szCs w:val="20"/>
                <w:u w:val="none"/>
              </w:rPr>
            </w:pPr>
            <w:r>
              <w:rPr>
                <w:rFonts w:hint="default" w:ascii="Times New Roman" w:hAnsi="Times New Roman" w:eastAsia="宋体" w:cs="Times New Roman"/>
                <w:i w:val="0"/>
                <w:iCs w:val="0"/>
                <w:color w:val="000000"/>
                <w:kern w:val="0"/>
                <w:sz w:val="20"/>
                <w:szCs w:val="20"/>
                <w:u w:val="none"/>
                <w:lang w:val="en-US" w:eastAsia="zh-CN" w:bidi="ar"/>
              </w:rPr>
              <w:t>1100000</w:t>
            </w:r>
          </w:p>
        </w:tc>
        <w:tc>
          <w:tcPr>
            <w:tcW w:w="329" w:type="pct"/>
            <w:tcBorders>
              <w:top w:val="nil"/>
              <w:left w:val="nil"/>
              <w:bottom w:val="single" w:color="000000" w:sz="8" w:space="0"/>
              <w:right w:val="single" w:color="000000" w:sz="8" w:space="0"/>
            </w:tcBorders>
            <w:noWrap w:val="0"/>
            <w:vAlign w:val="center"/>
          </w:tcPr>
          <w:p w14:paraId="37795ABE">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b/>
                <w:bCs/>
                <w:i w:val="0"/>
                <w:iCs w:val="0"/>
                <w:color w:val="000000"/>
                <w:sz w:val="18"/>
                <w:szCs w:val="18"/>
                <w:u w:val="none"/>
              </w:rPr>
            </w:pPr>
            <w:r>
              <w:rPr>
                <w:rFonts w:hint="default" w:ascii="Times New Roman" w:hAnsi="Times New Roman" w:eastAsia="宋体" w:cs="Times New Roman"/>
                <w:b/>
                <w:bCs/>
                <w:i w:val="0"/>
                <w:iCs w:val="0"/>
                <w:color w:val="000000"/>
                <w:kern w:val="0"/>
                <w:sz w:val="18"/>
                <w:szCs w:val="18"/>
                <w:u w:val="none"/>
                <w:lang w:val="en-US" w:eastAsia="zh-CN" w:bidi="ar"/>
              </w:rPr>
              <w:t>1.08%</w:t>
            </w:r>
          </w:p>
        </w:tc>
        <w:tc>
          <w:tcPr>
            <w:tcW w:w="1013" w:type="pct"/>
            <w:tcBorders>
              <w:top w:val="nil"/>
              <w:left w:val="nil"/>
              <w:bottom w:val="single" w:color="000000" w:sz="8" w:space="0"/>
              <w:right w:val="single" w:color="000000" w:sz="8" w:space="0"/>
            </w:tcBorders>
            <w:noWrap w:val="0"/>
            <w:vAlign w:val="center"/>
          </w:tcPr>
          <w:p w14:paraId="18388003">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color w:val="000000"/>
                <w:kern w:val="0"/>
                <w:sz w:val="18"/>
                <w:szCs w:val="18"/>
                <w:u w:val="none"/>
                <w:lang w:val="en-US" w:eastAsia="zh-CN" w:bidi="ar"/>
              </w:rPr>
              <w:t>TMBR/50</w:t>
            </w:r>
            <w:r>
              <w:rPr>
                <w:rFonts w:hint="eastAsia" w:ascii="宋体" w:hAnsi="宋体" w:eastAsia="宋体" w:cs="宋体"/>
                <w:i w:val="0"/>
                <w:iCs w:val="0"/>
                <w:color w:val="000000"/>
                <w:kern w:val="0"/>
                <w:sz w:val="18"/>
                <w:szCs w:val="18"/>
                <w:u w:val="none"/>
                <w:lang w:val="en-US" w:eastAsia="zh-CN" w:bidi="ar"/>
              </w:rPr>
              <w:t>，</w:t>
            </w:r>
            <w:r>
              <w:rPr>
                <w:rFonts w:hint="default" w:ascii="Times New Roman" w:hAnsi="Times New Roman" w:eastAsia="宋体" w:cs="Times New Roman"/>
                <w:i w:val="0"/>
                <w:iCs w:val="0"/>
                <w:color w:val="000000"/>
                <w:kern w:val="0"/>
                <w:sz w:val="18"/>
                <w:szCs w:val="18"/>
                <w:u w:val="none"/>
                <w:lang w:val="en-US" w:eastAsia="zh-CN" w:bidi="ar"/>
              </w:rPr>
              <w:t>6000×1000×1500mm</w:t>
            </w:r>
            <w:r>
              <w:rPr>
                <w:rFonts w:hint="eastAsia" w:ascii="宋体" w:hAnsi="宋体" w:eastAsia="宋体" w:cs="宋体"/>
                <w:i w:val="0"/>
                <w:iCs w:val="0"/>
                <w:color w:val="000000"/>
                <w:kern w:val="0"/>
                <w:sz w:val="18"/>
                <w:szCs w:val="18"/>
                <w:u w:val="none"/>
                <w:lang w:val="en-US" w:eastAsia="zh-CN" w:bidi="ar"/>
              </w:rPr>
              <w:t>（成套设备）</w:t>
            </w:r>
          </w:p>
        </w:tc>
      </w:tr>
      <w:tr w14:paraId="4FC5D67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3" w:hRule="atLeast"/>
        </w:trPr>
        <w:tc>
          <w:tcPr>
            <w:tcW w:w="273" w:type="pct"/>
            <w:tcBorders>
              <w:top w:val="nil"/>
              <w:left w:val="single" w:color="000000" w:sz="8" w:space="0"/>
              <w:bottom w:val="single" w:color="000000" w:sz="8" w:space="0"/>
              <w:right w:val="single" w:color="000000" w:sz="8" w:space="0"/>
            </w:tcBorders>
            <w:noWrap w:val="0"/>
            <w:vAlign w:val="center"/>
          </w:tcPr>
          <w:p w14:paraId="10E49ED6">
            <w:pPr>
              <w:spacing w:line="240" w:lineRule="auto"/>
              <w:ind w:firstLine="0" w:firstLineChars="0"/>
              <w:jc w:val="center"/>
              <w:rPr>
                <w:rFonts w:hint="default" w:ascii="Times New Roman" w:hAnsi="Times New Roman" w:eastAsia="宋体" w:cs="Times New Roman"/>
                <w:i w:val="0"/>
                <w:iCs w:val="0"/>
                <w:color w:val="000000"/>
                <w:sz w:val="18"/>
                <w:szCs w:val="18"/>
                <w:u w:val="none"/>
              </w:rPr>
            </w:pPr>
          </w:p>
        </w:tc>
        <w:tc>
          <w:tcPr>
            <w:tcW w:w="675" w:type="pct"/>
            <w:tcBorders>
              <w:top w:val="nil"/>
              <w:left w:val="nil"/>
              <w:bottom w:val="single" w:color="000000" w:sz="8" w:space="0"/>
              <w:right w:val="single" w:color="000000" w:sz="8" w:space="0"/>
            </w:tcBorders>
            <w:noWrap w:val="0"/>
            <w:vAlign w:val="center"/>
          </w:tcPr>
          <w:p w14:paraId="274BE52B">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超滤回流泵</w:t>
            </w:r>
          </w:p>
        </w:tc>
        <w:tc>
          <w:tcPr>
            <w:tcW w:w="398" w:type="pct"/>
            <w:tcBorders>
              <w:top w:val="nil"/>
              <w:left w:val="nil"/>
              <w:bottom w:val="single" w:color="000000" w:sz="8" w:space="0"/>
              <w:right w:val="single" w:color="000000" w:sz="8" w:space="0"/>
            </w:tcBorders>
            <w:noWrap w:val="0"/>
            <w:vAlign w:val="center"/>
          </w:tcPr>
          <w:p w14:paraId="3587023E">
            <w:pPr>
              <w:spacing w:line="240" w:lineRule="auto"/>
              <w:ind w:firstLine="0" w:firstLineChars="0"/>
              <w:jc w:val="center"/>
              <w:rPr>
                <w:rFonts w:hint="default" w:ascii="Times New Roman" w:hAnsi="Times New Roman" w:eastAsia="宋体" w:cs="Times New Roman"/>
                <w:i w:val="0"/>
                <w:iCs w:val="0"/>
                <w:color w:val="000000"/>
                <w:sz w:val="18"/>
                <w:szCs w:val="18"/>
                <w:u w:val="none"/>
              </w:rPr>
            </w:pPr>
          </w:p>
        </w:tc>
        <w:tc>
          <w:tcPr>
            <w:tcW w:w="398" w:type="pct"/>
            <w:tcBorders>
              <w:top w:val="nil"/>
              <w:left w:val="nil"/>
              <w:bottom w:val="single" w:color="000000" w:sz="8" w:space="0"/>
              <w:right w:val="single" w:color="000000" w:sz="8" w:space="0"/>
            </w:tcBorders>
            <w:noWrap w:val="0"/>
            <w:vAlign w:val="center"/>
          </w:tcPr>
          <w:p w14:paraId="6BAABF2B">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color w:val="000000"/>
                <w:kern w:val="0"/>
                <w:sz w:val="18"/>
                <w:szCs w:val="18"/>
                <w:u w:val="none"/>
                <w:lang w:val="en-US" w:eastAsia="zh-CN" w:bidi="ar"/>
              </w:rPr>
              <w:t>0.55</w:t>
            </w:r>
          </w:p>
        </w:tc>
        <w:tc>
          <w:tcPr>
            <w:tcW w:w="398" w:type="pct"/>
            <w:tcBorders>
              <w:top w:val="nil"/>
              <w:left w:val="nil"/>
              <w:bottom w:val="single" w:color="000000" w:sz="8" w:space="0"/>
              <w:right w:val="single" w:color="000000" w:sz="8" w:space="0"/>
            </w:tcBorders>
            <w:noWrap w:val="0"/>
            <w:vAlign w:val="center"/>
          </w:tcPr>
          <w:p w14:paraId="2F61C369">
            <w:pPr>
              <w:spacing w:line="240" w:lineRule="auto"/>
              <w:ind w:firstLine="0" w:firstLineChars="0"/>
              <w:jc w:val="center"/>
              <w:rPr>
                <w:rFonts w:hint="default" w:ascii="Times New Roman" w:hAnsi="Times New Roman" w:eastAsia="宋体" w:cs="Times New Roman"/>
                <w:i w:val="0"/>
                <w:iCs w:val="0"/>
                <w:color w:val="000000"/>
                <w:sz w:val="18"/>
                <w:szCs w:val="18"/>
                <w:u w:val="none"/>
              </w:rPr>
            </w:pPr>
          </w:p>
        </w:tc>
        <w:tc>
          <w:tcPr>
            <w:tcW w:w="346" w:type="pct"/>
            <w:tcBorders>
              <w:top w:val="nil"/>
              <w:left w:val="nil"/>
              <w:bottom w:val="single" w:color="000000" w:sz="8" w:space="0"/>
              <w:right w:val="single" w:color="000000" w:sz="8" w:space="0"/>
            </w:tcBorders>
            <w:noWrap w:val="0"/>
            <w:vAlign w:val="center"/>
          </w:tcPr>
          <w:p w14:paraId="4A1BA1E4">
            <w:pPr>
              <w:spacing w:line="240" w:lineRule="auto"/>
              <w:ind w:firstLine="0" w:firstLineChars="0"/>
              <w:jc w:val="center"/>
              <w:rPr>
                <w:rFonts w:hint="default" w:ascii="Times New Roman" w:hAnsi="Times New Roman" w:eastAsia="宋体" w:cs="Times New Roman"/>
                <w:i w:val="0"/>
                <w:iCs w:val="0"/>
                <w:color w:val="000000"/>
                <w:sz w:val="18"/>
                <w:szCs w:val="18"/>
                <w:u w:val="none"/>
              </w:rPr>
            </w:pPr>
          </w:p>
        </w:tc>
        <w:tc>
          <w:tcPr>
            <w:tcW w:w="326" w:type="pct"/>
            <w:tcBorders>
              <w:top w:val="nil"/>
              <w:left w:val="nil"/>
              <w:bottom w:val="single" w:color="000000" w:sz="8" w:space="0"/>
              <w:right w:val="single" w:color="000000" w:sz="8" w:space="0"/>
            </w:tcBorders>
            <w:noWrap w:val="0"/>
            <w:vAlign w:val="center"/>
          </w:tcPr>
          <w:p w14:paraId="2C18FE2A">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color w:val="000000"/>
                <w:kern w:val="0"/>
                <w:sz w:val="18"/>
                <w:szCs w:val="18"/>
                <w:u w:val="none"/>
                <w:lang w:val="en-US" w:eastAsia="zh-CN" w:bidi="ar"/>
              </w:rPr>
              <w:t>0.55</w:t>
            </w:r>
          </w:p>
        </w:tc>
        <w:tc>
          <w:tcPr>
            <w:tcW w:w="148" w:type="pct"/>
            <w:tcBorders>
              <w:top w:val="nil"/>
              <w:left w:val="nil"/>
              <w:bottom w:val="single" w:color="000000" w:sz="8" w:space="0"/>
              <w:right w:val="single" w:color="000000" w:sz="8" w:space="0"/>
            </w:tcBorders>
            <w:noWrap w:val="0"/>
            <w:vAlign w:val="center"/>
          </w:tcPr>
          <w:p w14:paraId="1B1CE965">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台</w:t>
            </w:r>
          </w:p>
        </w:tc>
        <w:tc>
          <w:tcPr>
            <w:tcW w:w="211" w:type="pct"/>
            <w:tcBorders>
              <w:top w:val="nil"/>
              <w:left w:val="nil"/>
              <w:bottom w:val="single" w:color="000000" w:sz="8" w:space="0"/>
              <w:right w:val="single" w:color="000000" w:sz="8" w:space="0"/>
            </w:tcBorders>
            <w:noWrap w:val="0"/>
            <w:vAlign w:val="center"/>
          </w:tcPr>
          <w:p w14:paraId="44BB5EA2">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color w:val="000000"/>
                <w:kern w:val="0"/>
                <w:sz w:val="18"/>
                <w:szCs w:val="18"/>
                <w:u w:val="none"/>
                <w:lang w:val="en-US" w:eastAsia="zh-CN" w:bidi="ar"/>
              </w:rPr>
              <w:t>1</w:t>
            </w:r>
          </w:p>
        </w:tc>
        <w:tc>
          <w:tcPr>
            <w:tcW w:w="478" w:type="pct"/>
            <w:tcBorders>
              <w:top w:val="nil"/>
              <w:left w:val="nil"/>
              <w:bottom w:val="single" w:color="000000" w:sz="8" w:space="0"/>
              <w:right w:val="single" w:color="000000" w:sz="8" w:space="0"/>
            </w:tcBorders>
            <w:noWrap w:val="0"/>
            <w:vAlign w:val="center"/>
          </w:tcPr>
          <w:p w14:paraId="3F8219D4">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20"/>
                <w:szCs w:val="20"/>
                <w:u w:val="none"/>
              </w:rPr>
            </w:pPr>
            <w:r>
              <w:rPr>
                <w:rFonts w:hint="default" w:ascii="Times New Roman" w:hAnsi="Times New Roman" w:eastAsia="宋体" w:cs="Times New Roman"/>
                <w:i w:val="0"/>
                <w:iCs w:val="0"/>
                <w:color w:val="000000"/>
                <w:kern w:val="0"/>
                <w:sz w:val="20"/>
                <w:szCs w:val="20"/>
                <w:u w:val="none"/>
                <w:lang w:val="en-US" w:eastAsia="zh-CN" w:bidi="ar"/>
              </w:rPr>
              <w:t>5500</w:t>
            </w:r>
          </w:p>
        </w:tc>
        <w:tc>
          <w:tcPr>
            <w:tcW w:w="329" w:type="pct"/>
            <w:tcBorders>
              <w:top w:val="nil"/>
              <w:left w:val="nil"/>
              <w:bottom w:val="single" w:color="000000" w:sz="8" w:space="0"/>
              <w:right w:val="single" w:color="000000" w:sz="8" w:space="0"/>
            </w:tcBorders>
            <w:noWrap w:val="0"/>
            <w:vAlign w:val="center"/>
          </w:tcPr>
          <w:p w14:paraId="4AB6D6BB">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b/>
                <w:bCs/>
                <w:i w:val="0"/>
                <w:iCs w:val="0"/>
                <w:color w:val="000000"/>
                <w:sz w:val="18"/>
                <w:szCs w:val="18"/>
                <w:u w:val="none"/>
              </w:rPr>
            </w:pPr>
            <w:r>
              <w:rPr>
                <w:rFonts w:hint="default" w:ascii="Times New Roman" w:hAnsi="Times New Roman" w:eastAsia="宋体" w:cs="Times New Roman"/>
                <w:b/>
                <w:bCs/>
                <w:i w:val="0"/>
                <w:iCs w:val="0"/>
                <w:color w:val="000000"/>
                <w:kern w:val="0"/>
                <w:sz w:val="18"/>
                <w:szCs w:val="18"/>
                <w:u w:val="none"/>
                <w:lang w:val="en-US" w:eastAsia="zh-CN" w:bidi="ar"/>
              </w:rPr>
              <w:t>0.01%</w:t>
            </w:r>
          </w:p>
        </w:tc>
        <w:tc>
          <w:tcPr>
            <w:tcW w:w="1013" w:type="pct"/>
            <w:tcBorders>
              <w:top w:val="nil"/>
              <w:left w:val="nil"/>
              <w:bottom w:val="single" w:color="000000" w:sz="8" w:space="0"/>
              <w:right w:val="single" w:color="000000" w:sz="8" w:space="0"/>
            </w:tcBorders>
            <w:noWrap w:val="0"/>
            <w:vAlign w:val="center"/>
          </w:tcPr>
          <w:p w14:paraId="154B3BA4">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color w:val="000000"/>
                <w:kern w:val="0"/>
                <w:sz w:val="18"/>
                <w:szCs w:val="18"/>
                <w:u w:val="none"/>
                <w:lang w:val="en-US" w:eastAsia="zh-CN" w:bidi="ar"/>
              </w:rPr>
              <w:t>Q=13m</w:t>
            </w:r>
            <w:r>
              <w:rPr>
                <w:rFonts w:hint="eastAsia" w:ascii="宋体" w:hAnsi="宋体" w:eastAsia="宋体" w:cs="宋体"/>
                <w:i w:val="0"/>
                <w:iCs w:val="0"/>
                <w:color w:val="000000"/>
                <w:kern w:val="0"/>
                <w:sz w:val="18"/>
                <w:szCs w:val="18"/>
                <w:u w:val="none"/>
                <w:lang w:val="en-US" w:eastAsia="zh-CN" w:bidi="ar"/>
              </w:rPr>
              <w:t>³</w:t>
            </w:r>
            <w:r>
              <w:rPr>
                <w:rFonts w:hint="default" w:ascii="Times New Roman" w:hAnsi="Times New Roman" w:eastAsia="宋体" w:cs="Times New Roman"/>
                <w:i w:val="0"/>
                <w:iCs w:val="0"/>
                <w:color w:val="000000"/>
                <w:kern w:val="0"/>
                <w:sz w:val="18"/>
                <w:szCs w:val="18"/>
                <w:u w:val="none"/>
                <w:lang w:val="en-US" w:eastAsia="zh-CN" w:bidi="ar"/>
              </w:rPr>
              <w:t>/h</w:t>
            </w:r>
            <w:r>
              <w:rPr>
                <w:rFonts w:hint="eastAsia" w:ascii="宋体" w:hAnsi="宋体" w:eastAsia="宋体" w:cs="宋体"/>
                <w:i w:val="0"/>
                <w:iCs w:val="0"/>
                <w:color w:val="000000"/>
                <w:kern w:val="0"/>
                <w:sz w:val="18"/>
                <w:szCs w:val="18"/>
                <w:u w:val="none"/>
                <w:lang w:val="en-US" w:eastAsia="zh-CN" w:bidi="ar"/>
              </w:rPr>
              <w:t>，</w:t>
            </w:r>
            <w:r>
              <w:rPr>
                <w:rFonts w:hint="default" w:ascii="Times New Roman" w:hAnsi="Times New Roman" w:eastAsia="宋体" w:cs="Times New Roman"/>
                <w:i w:val="0"/>
                <w:iCs w:val="0"/>
                <w:color w:val="000000"/>
                <w:kern w:val="0"/>
                <w:sz w:val="18"/>
                <w:szCs w:val="18"/>
                <w:u w:val="none"/>
                <w:lang w:val="en-US" w:eastAsia="zh-CN" w:bidi="ar"/>
              </w:rPr>
              <w:t>H=20m</w:t>
            </w:r>
            <w:r>
              <w:rPr>
                <w:rFonts w:hint="eastAsia" w:ascii="宋体" w:hAnsi="宋体" w:eastAsia="宋体" w:cs="宋体"/>
                <w:i w:val="0"/>
                <w:iCs w:val="0"/>
                <w:color w:val="000000"/>
                <w:kern w:val="0"/>
                <w:sz w:val="18"/>
                <w:szCs w:val="18"/>
                <w:u w:val="none"/>
                <w:lang w:val="en-US" w:eastAsia="zh-CN" w:bidi="ar"/>
              </w:rPr>
              <w:t>，</w:t>
            </w:r>
            <w:r>
              <w:rPr>
                <w:rFonts w:hint="default" w:ascii="Times New Roman" w:hAnsi="Times New Roman" w:eastAsia="宋体" w:cs="Times New Roman"/>
                <w:i w:val="0"/>
                <w:iCs w:val="0"/>
                <w:color w:val="000000"/>
                <w:kern w:val="0"/>
                <w:sz w:val="18"/>
                <w:szCs w:val="18"/>
                <w:u w:val="none"/>
                <w:lang w:val="en-US" w:eastAsia="zh-CN" w:bidi="ar"/>
              </w:rPr>
              <w:t>N=1.5kw</w:t>
            </w:r>
          </w:p>
        </w:tc>
      </w:tr>
      <w:tr w14:paraId="060C068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3" w:hRule="atLeast"/>
        </w:trPr>
        <w:tc>
          <w:tcPr>
            <w:tcW w:w="273" w:type="pct"/>
            <w:tcBorders>
              <w:top w:val="nil"/>
              <w:left w:val="single" w:color="000000" w:sz="8" w:space="0"/>
              <w:bottom w:val="single" w:color="000000" w:sz="8" w:space="0"/>
              <w:right w:val="single" w:color="000000" w:sz="8" w:space="0"/>
            </w:tcBorders>
            <w:noWrap w:val="0"/>
            <w:vAlign w:val="center"/>
          </w:tcPr>
          <w:p w14:paraId="67658D9D">
            <w:pPr>
              <w:spacing w:line="240" w:lineRule="auto"/>
              <w:ind w:firstLine="0" w:firstLineChars="0"/>
              <w:jc w:val="center"/>
              <w:rPr>
                <w:rFonts w:hint="default" w:ascii="Times New Roman" w:hAnsi="Times New Roman" w:eastAsia="宋体" w:cs="Times New Roman"/>
                <w:i w:val="0"/>
                <w:iCs w:val="0"/>
                <w:color w:val="000000"/>
                <w:sz w:val="18"/>
                <w:szCs w:val="18"/>
                <w:u w:val="none"/>
              </w:rPr>
            </w:pPr>
          </w:p>
        </w:tc>
        <w:tc>
          <w:tcPr>
            <w:tcW w:w="675" w:type="pct"/>
            <w:tcBorders>
              <w:top w:val="nil"/>
              <w:left w:val="nil"/>
              <w:bottom w:val="single" w:color="000000" w:sz="8" w:space="0"/>
              <w:right w:val="single" w:color="000000" w:sz="8" w:space="0"/>
            </w:tcBorders>
            <w:noWrap w:val="0"/>
            <w:vAlign w:val="center"/>
          </w:tcPr>
          <w:p w14:paraId="3A5DC730">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超滤清洗泵</w:t>
            </w:r>
          </w:p>
        </w:tc>
        <w:tc>
          <w:tcPr>
            <w:tcW w:w="398" w:type="pct"/>
            <w:tcBorders>
              <w:top w:val="nil"/>
              <w:left w:val="nil"/>
              <w:bottom w:val="single" w:color="000000" w:sz="8" w:space="0"/>
              <w:right w:val="single" w:color="000000" w:sz="8" w:space="0"/>
            </w:tcBorders>
            <w:noWrap w:val="0"/>
            <w:vAlign w:val="center"/>
          </w:tcPr>
          <w:p w14:paraId="797516B7">
            <w:pPr>
              <w:spacing w:line="240" w:lineRule="auto"/>
              <w:ind w:firstLine="0" w:firstLineChars="0"/>
              <w:jc w:val="center"/>
              <w:rPr>
                <w:rFonts w:hint="default" w:ascii="Times New Roman" w:hAnsi="Times New Roman" w:eastAsia="宋体" w:cs="Times New Roman"/>
                <w:i w:val="0"/>
                <w:iCs w:val="0"/>
                <w:color w:val="000000"/>
                <w:sz w:val="18"/>
                <w:szCs w:val="18"/>
                <w:u w:val="none"/>
              </w:rPr>
            </w:pPr>
          </w:p>
        </w:tc>
        <w:tc>
          <w:tcPr>
            <w:tcW w:w="398" w:type="pct"/>
            <w:tcBorders>
              <w:top w:val="nil"/>
              <w:left w:val="nil"/>
              <w:bottom w:val="single" w:color="000000" w:sz="8" w:space="0"/>
              <w:right w:val="single" w:color="000000" w:sz="8" w:space="0"/>
            </w:tcBorders>
            <w:noWrap w:val="0"/>
            <w:vAlign w:val="center"/>
          </w:tcPr>
          <w:p w14:paraId="705676F3">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color w:val="000000"/>
                <w:kern w:val="0"/>
                <w:sz w:val="18"/>
                <w:szCs w:val="18"/>
                <w:u w:val="none"/>
                <w:lang w:val="en-US" w:eastAsia="zh-CN" w:bidi="ar"/>
              </w:rPr>
              <w:t>0.5</w:t>
            </w:r>
          </w:p>
        </w:tc>
        <w:tc>
          <w:tcPr>
            <w:tcW w:w="398" w:type="pct"/>
            <w:tcBorders>
              <w:top w:val="nil"/>
              <w:left w:val="nil"/>
              <w:bottom w:val="single" w:color="000000" w:sz="8" w:space="0"/>
              <w:right w:val="single" w:color="000000" w:sz="8" w:space="0"/>
            </w:tcBorders>
            <w:noWrap w:val="0"/>
            <w:vAlign w:val="center"/>
          </w:tcPr>
          <w:p w14:paraId="2EA15E28">
            <w:pPr>
              <w:spacing w:line="240" w:lineRule="auto"/>
              <w:ind w:firstLine="0" w:firstLineChars="0"/>
              <w:jc w:val="center"/>
              <w:rPr>
                <w:rFonts w:hint="default" w:ascii="Times New Roman" w:hAnsi="Times New Roman" w:eastAsia="宋体" w:cs="Times New Roman"/>
                <w:i w:val="0"/>
                <w:iCs w:val="0"/>
                <w:color w:val="000000"/>
                <w:sz w:val="18"/>
                <w:szCs w:val="18"/>
                <w:u w:val="none"/>
              </w:rPr>
            </w:pPr>
          </w:p>
        </w:tc>
        <w:tc>
          <w:tcPr>
            <w:tcW w:w="346" w:type="pct"/>
            <w:tcBorders>
              <w:top w:val="nil"/>
              <w:left w:val="nil"/>
              <w:bottom w:val="single" w:color="000000" w:sz="8" w:space="0"/>
              <w:right w:val="single" w:color="000000" w:sz="8" w:space="0"/>
            </w:tcBorders>
            <w:noWrap w:val="0"/>
            <w:vAlign w:val="center"/>
          </w:tcPr>
          <w:p w14:paraId="04966813">
            <w:pPr>
              <w:spacing w:line="240" w:lineRule="auto"/>
              <w:ind w:firstLine="0" w:firstLineChars="0"/>
              <w:jc w:val="center"/>
              <w:rPr>
                <w:rFonts w:hint="default" w:ascii="Times New Roman" w:hAnsi="Times New Roman" w:eastAsia="宋体" w:cs="Times New Roman"/>
                <w:i w:val="0"/>
                <w:iCs w:val="0"/>
                <w:color w:val="000000"/>
                <w:sz w:val="18"/>
                <w:szCs w:val="18"/>
                <w:u w:val="none"/>
              </w:rPr>
            </w:pPr>
          </w:p>
        </w:tc>
        <w:tc>
          <w:tcPr>
            <w:tcW w:w="326" w:type="pct"/>
            <w:tcBorders>
              <w:top w:val="nil"/>
              <w:left w:val="nil"/>
              <w:bottom w:val="single" w:color="000000" w:sz="8" w:space="0"/>
              <w:right w:val="single" w:color="000000" w:sz="8" w:space="0"/>
            </w:tcBorders>
            <w:noWrap w:val="0"/>
            <w:vAlign w:val="center"/>
          </w:tcPr>
          <w:p w14:paraId="52E29254">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color w:val="000000"/>
                <w:kern w:val="0"/>
                <w:sz w:val="18"/>
                <w:szCs w:val="18"/>
                <w:u w:val="none"/>
                <w:lang w:val="en-US" w:eastAsia="zh-CN" w:bidi="ar"/>
              </w:rPr>
              <w:t>0.5</w:t>
            </w:r>
          </w:p>
        </w:tc>
        <w:tc>
          <w:tcPr>
            <w:tcW w:w="148" w:type="pct"/>
            <w:tcBorders>
              <w:top w:val="nil"/>
              <w:left w:val="nil"/>
              <w:bottom w:val="single" w:color="000000" w:sz="8" w:space="0"/>
              <w:right w:val="single" w:color="000000" w:sz="8" w:space="0"/>
            </w:tcBorders>
            <w:noWrap w:val="0"/>
            <w:vAlign w:val="center"/>
          </w:tcPr>
          <w:p w14:paraId="1C92CED4">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台</w:t>
            </w:r>
          </w:p>
        </w:tc>
        <w:tc>
          <w:tcPr>
            <w:tcW w:w="211" w:type="pct"/>
            <w:tcBorders>
              <w:top w:val="nil"/>
              <w:left w:val="nil"/>
              <w:bottom w:val="single" w:color="000000" w:sz="8" w:space="0"/>
              <w:right w:val="single" w:color="000000" w:sz="8" w:space="0"/>
            </w:tcBorders>
            <w:noWrap w:val="0"/>
            <w:vAlign w:val="center"/>
          </w:tcPr>
          <w:p w14:paraId="6697DE65">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color w:val="000000"/>
                <w:kern w:val="0"/>
                <w:sz w:val="18"/>
                <w:szCs w:val="18"/>
                <w:u w:val="none"/>
                <w:lang w:val="en-US" w:eastAsia="zh-CN" w:bidi="ar"/>
              </w:rPr>
              <w:t>1</w:t>
            </w:r>
          </w:p>
        </w:tc>
        <w:tc>
          <w:tcPr>
            <w:tcW w:w="478" w:type="pct"/>
            <w:tcBorders>
              <w:top w:val="nil"/>
              <w:left w:val="nil"/>
              <w:bottom w:val="single" w:color="000000" w:sz="8" w:space="0"/>
              <w:right w:val="single" w:color="000000" w:sz="8" w:space="0"/>
            </w:tcBorders>
            <w:noWrap w:val="0"/>
            <w:vAlign w:val="center"/>
          </w:tcPr>
          <w:p w14:paraId="7DB11B22">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20"/>
                <w:szCs w:val="20"/>
                <w:u w:val="none"/>
              </w:rPr>
            </w:pPr>
            <w:r>
              <w:rPr>
                <w:rFonts w:hint="default" w:ascii="Times New Roman" w:hAnsi="Times New Roman" w:eastAsia="宋体" w:cs="Times New Roman"/>
                <w:i w:val="0"/>
                <w:iCs w:val="0"/>
                <w:color w:val="000000"/>
                <w:kern w:val="0"/>
                <w:sz w:val="20"/>
                <w:szCs w:val="20"/>
                <w:u w:val="none"/>
                <w:lang w:val="en-US" w:eastAsia="zh-CN" w:bidi="ar"/>
              </w:rPr>
              <w:t>5000</w:t>
            </w:r>
          </w:p>
        </w:tc>
        <w:tc>
          <w:tcPr>
            <w:tcW w:w="329" w:type="pct"/>
            <w:tcBorders>
              <w:top w:val="nil"/>
              <w:left w:val="nil"/>
              <w:bottom w:val="single" w:color="000000" w:sz="8" w:space="0"/>
              <w:right w:val="single" w:color="000000" w:sz="8" w:space="0"/>
            </w:tcBorders>
            <w:noWrap w:val="0"/>
            <w:vAlign w:val="center"/>
          </w:tcPr>
          <w:p w14:paraId="1E8560EC">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b/>
                <w:bCs/>
                <w:i w:val="0"/>
                <w:iCs w:val="0"/>
                <w:color w:val="000000"/>
                <w:sz w:val="18"/>
                <w:szCs w:val="18"/>
                <w:u w:val="none"/>
              </w:rPr>
            </w:pPr>
            <w:r>
              <w:rPr>
                <w:rFonts w:hint="default" w:ascii="Times New Roman" w:hAnsi="Times New Roman" w:eastAsia="宋体" w:cs="Times New Roman"/>
                <w:b/>
                <w:bCs/>
                <w:i w:val="0"/>
                <w:iCs w:val="0"/>
                <w:color w:val="000000"/>
                <w:kern w:val="0"/>
                <w:sz w:val="18"/>
                <w:szCs w:val="18"/>
                <w:u w:val="none"/>
                <w:lang w:val="en-US" w:eastAsia="zh-CN" w:bidi="ar"/>
              </w:rPr>
              <w:t>0.00%</w:t>
            </w:r>
          </w:p>
        </w:tc>
        <w:tc>
          <w:tcPr>
            <w:tcW w:w="1013" w:type="pct"/>
            <w:tcBorders>
              <w:top w:val="nil"/>
              <w:left w:val="nil"/>
              <w:bottom w:val="single" w:color="000000" w:sz="8" w:space="0"/>
              <w:right w:val="single" w:color="000000" w:sz="8" w:space="0"/>
            </w:tcBorders>
            <w:noWrap w:val="0"/>
            <w:vAlign w:val="center"/>
          </w:tcPr>
          <w:p w14:paraId="498DBC58">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color w:val="000000"/>
                <w:kern w:val="0"/>
                <w:sz w:val="18"/>
                <w:szCs w:val="18"/>
                <w:u w:val="none"/>
                <w:lang w:val="en-US" w:eastAsia="zh-CN" w:bidi="ar"/>
              </w:rPr>
              <w:t>Q=25m</w:t>
            </w:r>
            <w:r>
              <w:rPr>
                <w:rFonts w:hint="eastAsia" w:ascii="宋体" w:hAnsi="宋体" w:eastAsia="宋体" w:cs="宋体"/>
                <w:i w:val="0"/>
                <w:iCs w:val="0"/>
                <w:color w:val="000000"/>
                <w:kern w:val="0"/>
                <w:sz w:val="18"/>
                <w:szCs w:val="18"/>
                <w:u w:val="none"/>
                <w:lang w:val="en-US" w:eastAsia="zh-CN" w:bidi="ar"/>
              </w:rPr>
              <w:t>³</w:t>
            </w:r>
            <w:r>
              <w:rPr>
                <w:rFonts w:hint="default" w:ascii="Times New Roman" w:hAnsi="Times New Roman" w:eastAsia="宋体" w:cs="Times New Roman"/>
                <w:i w:val="0"/>
                <w:iCs w:val="0"/>
                <w:color w:val="000000"/>
                <w:kern w:val="0"/>
                <w:sz w:val="18"/>
                <w:szCs w:val="18"/>
                <w:u w:val="none"/>
                <w:lang w:val="en-US" w:eastAsia="zh-CN" w:bidi="ar"/>
              </w:rPr>
              <w:t>/h</w:t>
            </w:r>
            <w:r>
              <w:rPr>
                <w:rFonts w:hint="eastAsia" w:ascii="宋体" w:hAnsi="宋体" w:eastAsia="宋体" w:cs="宋体"/>
                <w:i w:val="0"/>
                <w:iCs w:val="0"/>
                <w:color w:val="000000"/>
                <w:kern w:val="0"/>
                <w:sz w:val="18"/>
                <w:szCs w:val="18"/>
                <w:u w:val="none"/>
                <w:lang w:val="en-US" w:eastAsia="zh-CN" w:bidi="ar"/>
              </w:rPr>
              <w:t>，</w:t>
            </w:r>
            <w:r>
              <w:rPr>
                <w:rFonts w:hint="default" w:ascii="Times New Roman" w:hAnsi="Times New Roman" w:eastAsia="宋体" w:cs="Times New Roman"/>
                <w:i w:val="0"/>
                <w:iCs w:val="0"/>
                <w:color w:val="000000"/>
                <w:kern w:val="0"/>
                <w:sz w:val="18"/>
                <w:szCs w:val="18"/>
                <w:u w:val="none"/>
                <w:lang w:val="en-US" w:eastAsia="zh-CN" w:bidi="ar"/>
              </w:rPr>
              <w:t>H=18m</w:t>
            </w:r>
            <w:r>
              <w:rPr>
                <w:rFonts w:hint="eastAsia" w:ascii="宋体" w:hAnsi="宋体" w:eastAsia="宋体" w:cs="宋体"/>
                <w:i w:val="0"/>
                <w:iCs w:val="0"/>
                <w:color w:val="000000"/>
                <w:kern w:val="0"/>
                <w:sz w:val="18"/>
                <w:szCs w:val="18"/>
                <w:u w:val="none"/>
                <w:lang w:val="en-US" w:eastAsia="zh-CN" w:bidi="ar"/>
              </w:rPr>
              <w:t>，</w:t>
            </w:r>
            <w:r>
              <w:rPr>
                <w:rFonts w:hint="default" w:ascii="Times New Roman" w:hAnsi="Times New Roman" w:eastAsia="宋体" w:cs="Times New Roman"/>
                <w:i w:val="0"/>
                <w:iCs w:val="0"/>
                <w:color w:val="000000"/>
                <w:kern w:val="0"/>
                <w:sz w:val="18"/>
                <w:szCs w:val="18"/>
                <w:u w:val="none"/>
                <w:lang w:val="en-US" w:eastAsia="zh-CN" w:bidi="ar"/>
              </w:rPr>
              <w:t>N=2.2kw</w:t>
            </w:r>
          </w:p>
        </w:tc>
      </w:tr>
      <w:tr w14:paraId="0BF2954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3" w:hRule="atLeast"/>
        </w:trPr>
        <w:tc>
          <w:tcPr>
            <w:tcW w:w="273" w:type="pct"/>
            <w:tcBorders>
              <w:top w:val="nil"/>
              <w:left w:val="single" w:color="000000" w:sz="8" w:space="0"/>
              <w:bottom w:val="single" w:color="000000" w:sz="8" w:space="0"/>
              <w:right w:val="single" w:color="000000" w:sz="8" w:space="0"/>
            </w:tcBorders>
            <w:noWrap w:val="0"/>
            <w:vAlign w:val="center"/>
          </w:tcPr>
          <w:p w14:paraId="09723AA3">
            <w:pPr>
              <w:spacing w:line="240" w:lineRule="auto"/>
              <w:ind w:firstLine="0" w:firstLineChars="0"/>
              <w:jc w:val="center"/>
              <w:rPr>
                <w:rFonts w:hint="default" w:ascii="Times New Roman" w:hAnsi="Times New Roman" w:eastAsia="宋体" w:cs="Times New Roman"/>
                <w:i w:val="0"/>
                <w:iCs w:val="0"/>
                <w:color w:val="000000"/>
                <w:sz w:val="18"/>
                <w:szCs w:val="18"/>
                <w:u w:val="none"/>
              </w:rPr>
            </w:pPr>
          </w:p>
        </w:tc>
        <w:tc>
          <w:tcPr>
            <w:tcW w:w="675" w:type="pct"/>
            <w:tcBorders>
              <w:top w:val="nil"/>
              <w:left w:val="nil"/>
              <w:bottom w:val="single" w:color="000000" w:sz="8" w:space="0"/>
              <w:right w:val="single" w:color="000000" w:sz="8" w:space="0"/>
            </w:tcBorders>
            <w:noWrap w:val="0"/>
            <w:vAlign w:val="center"/>
          </w:tcPr>
          <w:p w14:paraId="656A0462">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超滤清液提升泵</w:t>
            </w:r>
          </w:p>
        </w:tc>
        <w:tc>
          <w:tcPr>
            <w:tcW w:w="398" w:type="pct"/>
            <w:tcBorders>
              <w:top w:val="nil"/>
              <w:left w:val="nil"/>
              <w:bottom w:val="single" w:color="000000" w:sz="8" w:space="0"/>
              <w:right w:val="single" w:color="000000" w:sz="8" w:space="0"/>
            </w:tcBorders>
            <w:noWrap w:val="0"/>
            <w:vAlign w:val="center"/>
          </w:tcPr>
          <w:p w14:paraId="791D87A6">
            <w:pPr>
              <w:spacing w:line="240" w:lineRule="auto"/>
              <w:ind w:firstLine="0" w:firstLineChars="0"/>
              <w:jc w:val="center"/>
              <w:rPr>
                <w:rFonts w:hint="default" w:ascii="Times New Roman" w:hAnsi="Times New Roman" w:eastAsia="宋体" w:cs="Times New Roman"/>
                <w:i w:val="0"/>
                <w:iCs w:val="0"/>
                <w:color w:val="000000"/>
                <w:sz w:val="18"/>
                <w:szCs w:val="18"/>
                <w:u w:val="none"/>
              </w:rPr>
            </w:pPr>
          </w:p>
        </w:tc>
        <w:tc>
          <w:tcPr>
            <w:tcW w:w="398" w:type="pct"/>
            <w:tcBorders>
              <w:top w:val="nil"/>
              <w:left w:val="nil"/>
              <w:bottom w:val="single" w:color="000000" w:sz="8" w:space="0"/>
              <w:right w:val="single" w:color="000000" w:sz="8" w:space="0"/>
            </w:tcBorders>
            <w:noWrap w:val="0"/>
            <w:vAlign w:val="center"/>
          </w:tcPr>
          <w:p w14:paraId="75168897">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color w:val="000000"/>
                <w:kern w:val="0"/>
                <w:sz w:val="18"/>
                <w:szCs w:val="18"/>
                <w:u w:val="none"/>
                <w:lang w:val="en-US" w:eastAsia="zh-CN" w:bidi="ar"/>
              </w:rPr>
              <w:t>0.6</w:t>
            </w:r>
          </w:p>
        </w:tc>
        <w:tc>
          <w:tcPr>
            <w:tcW w:w="398" w:type="pct"/>
            <w:tcBorders>
              <w:top w:val="nil"/>
              <w:left w:val="nil"/>
              <w:bottom w:val="single" w:color="000000" w:sz="8" w:space="0"/>
              <w:right w:val="single" w:color="000000" w:sz="8" w:space="0"/>
            </w:tcBorders>
            <w:noWrap w:val="0"/>
            <w:vAlign w:val="center"/>
          </w:tcPr>
          <w:p w14:paraId="4D6DF1D0">
            <w:pPr>
              <w:spacing w:line="240" w:lineRule="auto"/>
              <w:ind w:firstLine="0" w:firstLineChars="0"/>
              <w:jc w:val="center"/>
              <w:rPr>
                <w:rFonts w:hint="default" w:ascii="Times New Roman" w:hAnsi="Times New Roman" w:eastAsia="宋体" w:cs="Times New Roman"/>
                <w:i w:val="0"/>
                <w:iCs w:val="0"/>
                <w:color w:val="000000"/>
                <w:sz w:val="18"/>
                <w:szCs w:val="18"/>
                <w:u w:val="none"/>
              </w:rPr>
            </w:pPr>
          </w:p>
        </w:tc>
        <w:tc>
          <w:tcPr>
            <w:tcW w:w="346" w:type="pct"/>
            <w:tcBorders>
              <w:top w:val="nil"/>
              <w:left w:val="nil"/>
              <w:bottom w:val="single" w:color="000000" w:sz="8" w:space="0"/>
              <w:right w:val="single" w:color="000000" w:sz="8" w:space="0"/>
            </w:tcBorders>
            <w:noWrap w:val="0"/>
            <w:vAlign w:val="center"/>
          </w:tcPr>
          <w:p w14:paraId="481465FE">
            <w:pPr>
              <w:spacing w:line="240" w:lineRule="auto"/>
              <w:ind w:firstLine="0" w:firstLineChars="0"/>
              <w:jc w:val="center"/>
              <w:rPr>
                <w:rFonts w:hint="default" w:ascii="Times New Roman" w:hAnsi="Times New Roman" w:eastAsia="宋体" w:cs="Times New Roman"/>
                <w:i w:val="0"/>
                <w:iCs w:val="0"/>
                <w:color w:val="000000"/>
                <w:sz w:val="18"/>
                <w:szCs w:val="18"/>
                <w:u w:val="none"/>
              </w:rPr>
            </w:pPr>
          </w:p>
        </w:tc>
        <w:tc>
          <w:tcPr>
            <w:tcW w:w="326" w:type="pct"/>
            <w:tcBorders>
              <w:top w:val="nil"/>
              <w:left w:val="nil"/>
              <w:bottom w:val="single" w:color="000000" w:sz="8" w:space="0"/>
              <w:right w:val="single" w:color="000000" w:sz="8" w:space="0"/>
            </w:tcBorders>
            <w:noWrap w:val="0"/>
            <w:vAlign w:val="center"/>
          </w:tcPr>
          <w:p w14:paraId="1CE3FE37">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color w:val="000000"/>
                <w:kern w:val="0"/>
                <w:sz w:val="18"/>
                <w:szCs w:val="18"/>
                <w:u w:val="none"/>
                <w:lang w:val="en-US" w:eastAsia="zh-CN" w:bidi="ar"/>
              </w:rPr>
              <w:t>0.6</w:t>
            </w:r>
          </w:p>
        </w:tc>
        <w:tc>
          <w:tcPr>
            <w:tcW w:w="148" w:type="pct"/>
            <w:tcBorders>
              <w:top w:val="nil"/>
              <w:left w:val="nil"/>
              <w:bottom w:val="single" w:color="000000" w:sz="8" w:space="0"/>
              <w:right w:val="single" w:color="000000" w:sz="8" w:space="0"/>
            </w:tcBorders>
            <w:noWrap w:val="0"/>
            <w:vAlign w:val="center"/>
          </w:tcPr>
          <w:p w14:paraId="452B9F33">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台</w:t>
            </w:r>
          </w:p>
        </w:tc>
        <w:tc>
          <w:tcPr>
            <w:tcW w:w="211" w:type="pct"/>
            <w:tcBorders>
              <w:top w:val="nil"/>
              <w:left w:val="nil"/>
              <w:bottom w:val="single" w:color="000000" w:sz="8" w:space="0"/>
              <w:right w:val="single" w:color="000000" w:sz="8" w:space="0"/>
            </w:tcBorders>
            <w:noWrap w:val="0"/>
            <w:vAlign w:val="center"/>
          </w:tcPr>
          <w:p w14:paraId="487BF8C2">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color w:val="000000"/>
                <w:kern w:val="0"/>
                <w:sz w:val="18"/>
                <w:szCs w:val="18"/>
                <w:u w:val="none"/>
                <w:lang w:val="en-US" w:eastAsia="zh-CN" w:bidi="ar"/>
              </w:rPr>
              <w:t>2</w:t>
            </w:r>
          </w:p>
        </w:tc>
        <w:tc>
          <w:tcPr>
            <w:tcW w:w="478" w:type="pct"/>
            <w:tcBorders>
              <w:top w:val="nil"/>
              <w:left w:val="nil"/>
              <w:bottom w:val="single" w:color="000000" w:sz="8" w:space="0"/>
              <w:right w:val="single" w:color="000000" w:sz="8" w:space="0"/>
            </w:tcBorders>
            <w:noWrap w:val="0"/>
            <w:vAlign w:val="center"/>
          </w:tcPr>
          <w:p w14:paraId="178D713A">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20"/>
                <w:szCs w:val="20"/>
                <w:u w:val="none"/>
              </w:rPr>
            </w:pPr>
            <w:r>
              <w:rPr>
                <w:rFonts w:hint="default" w:ascii="Times New Roman" w:hAnsi="Times New Roman" w:eastAsia="宋体" w:cs="Times New Roman"/>
                <w:i w:val="0"/>
                <w:iCs w:val="0"/>
                <w:color w:val="000000"/>
                <w:kern w:val="0"/>
                <w:sz w:val="20"/>
                <w:szCs w:val="20"/>
                <w:u w:val="none"/>
                <w:lang w:val="en-US" w:eastAsia="zh-CN" w:bidi="ar"/>
              </w:rPr>
              <w:t>3000</w:t>
            </w:r>
          </w:p>
        </w:tc>
        <w:tc>
          <w:tcPr>
            <w:tcW w:w="329" w:type="pct"/>
            <w:tcBorders>
              <w:top w:val="nil"/>
              <w:left w:val="nil"/>
              <w:bottom w:val="single" w:color="000000" w:sz="8" w:space="0"/>
              <w:right w:val="single" w:color="000000" w:sz="8" w:space="0"/>
            </w:tcBorders>
            <w:noWrap w:val="0"/>
            <w:vAlign w:val="center"/>
          </w:tcPr>
          <w:p w14:paraId="1DF92D05">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b/>
                <w:bCs/>
                <w:i w:val="0"/>
                <w:iCs w:val="0"/>
                <w:color w:val="000000"/>
                <w:sz w:val="18"/>
                <w:szCs w:val="18"/>
                <w:u w:val="none"/>
              </w:rPr>
            </w:pPr>
            <w:r>
              <w:rPr>
                <w:rFonts w:hint="default" w:ascii="Times New Roman" w:hAnsi="Times New Roman" w:eastAsia="宋体" w:cs="Times New Roman"/>
                <w:b/>
                <w:bCs/>
                <w:i w:val="0"/>
                <w:iCs w:val="0"/>
                <w:color w:val="000000"/>
                <w:kern w:val="0"/>
                <w:sz w:val="18"/>
                <w:szCs w:val="18"/>
                <w:u w:val="none"/>
                <w:lang w:val="en-US" w:eastAsia="zh-CN" w:bidi="ar"/>
              </w:rPr>
              <w:t>0.01%</w:t>
            </w:r>
          </w:p>
        </w:tc>
        <w:tc>
          <w:tcPr>
            <w:tcW w:w="1013" w:type="pct"/>
            <w:tcBorders>
              <w:top w:val="nil"/>
              <w:left w:val="nil"/>
              <w:bottom w:val="single" w:color="000000" w:sz="8" w:space="0"/>
              <w:right w:val="single" w:color="000000" w:sz="8" w:space="0"/>
            </w:tcBorders>
            <w:noWrap w:val="0"/>
            <w:vAlign w:val="center"/>
          </w:tcPr>
          <w:p w14:paraId="3A866369">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color w:val="000000"/>
                <w:kern w:val="0"/>
                <w:sz w:val="18"/>
                <w:szCs w:val="18"/>
                <w:u w:val="none"/>
                <w:lang w:val="en-US" w:eastAsia="zh-CN" w:bidi="ar"/>
              </w:rPr>
              <w:t>Q=2.8m</w:t>
            </w:r>
            <w:r>
              <w:rPr>
                <w:rFonts w:hint="eastAsia" w:ascii="宋体" w:hAnsi="宋体" w:eastAsia="宋体" w:cs="宋体"/>
                <w:i w:val="0"/>
                <w:iCs w:val="0"/>
                <w:color w:val="000000"/>
                <w:kern w:val="0"/>
                <w:sz w:val="18"/>
                <w:szCs w:val="18"/>
                <w:u w:val="none"/>
                <w:lang w:val="en-US" w:eastAsia="zh-CN" w:bidi="ar"/>
              </w:rPr>
              <w:t>³</w:t>
            </w:r>
            <w:r>
              <w:rPr>
                <w:rFonts w:hint="default" w:ascii="Times New Roman" w:hAnsi="Times New Roman" w:eastAsia="宋体" w:cs="Times New Roman"/>
                <w:i w:val="0"/>
                <w:iCs w:val="0"/>
                <w:color w:val="000000"/>
                <w:kern w:val="0"/>
                <w:sz w:val="18"/>
                <w:szCs w:val="18"/>
                <w:u w:val="none"/>
                <w:lang w:val="en-US" w:eastAsia="zh-CN" w:bidi="ar"/>
              </w:rPr>
              <w:t>/h</w:t>
            </w:r>
            <w:r>
              <w:rPr>
                <w:rFonts w:hint="eastAsia" w:ascii="宋体" w:hAnsi="宋体" w:eastAsia="宋体" w:cs="宋体"/>
                <w:i w:val="0"/>
                <w:iCs w:val="0"/>
                <w:color w:val="000000"/>
                <w:kern w:val="0"/>
                <w:sz w:val="18"/>
                <w:szCs w:val="18"/>
                <w:u w:val="none"/>
                <w:lang w:val="en-US" w:eastAsia="zh-CN" w:bidi="ar"/>
              </w:rPr>
              <w:t>，</w:t>
            </w:r>
            <w:r>
              <w:rPr>
                <w:rFonts w:hint="default" w:ascii="Times New Roman" w:hAnsi="Times New Roman" w:eastAsia="宋体" w:cs="Times New Roman"/>
                <w:i w:val="0"/>
                <w:iCs w:val="0"/>
                <w:color w:val="000000"/>
                <w:kern w:val="0"/>
                <w:sz w:val="18"/>
                <w:szCs w:val="18"/>
                <w:u w:val="none"/>
                <w:lang w:val="en-US" w:eastAsia="zh-CN" w:bidi="ar"/>
              </w:rPr>
              <w:t>H=12m</w:t>
            </w:r>
            <w:r>
              <w:rPr>
                <w:rFonts w:hint="eastAsia" w:ascii="宋体" w:hAnsi="宋体" w:eastAsia="宋体" w:cs="宋体"/>
                <w:i w:val="0"/>
                <w:iCs w:val="0"/>
                <w:color w:val="000000"/>
                <w:kern w:val="0"/>
                <w:sz w:val="18"/>
                <w:szCs w:val="18"/>
                <w:u w:val="none"/>
                <w:lang w:val="en-US" w:eastAsia="zh-CN" w:bidi="ar"/>
              </w:rPr>
              <w:t>，</w:t>
            </w:r>
            <w:r>
              <w:rPr>
                <w:rFonts w:hint="default" w:ascii="Times New Roman" w:hAnsi="Times New Roman" w:eastAsia="宋体" w:cs="Times New Roman"/>
                <w:i w:val="0"/>
                <w:iCs w:val="0"/>
                <w:color w:val="000000"/>
                <w:kern w:val="0"/>
                <w:sz w:val="18"/>
                <w:szCs w:val="18"/>
                <w:u w:val="none"/>
                <w:lang w:val="en-US" w:eastAsia="zh-CN" w:bidi="ar"/>
              </w:rPr>
              <w:t>N=0.37kw</w:t>
            </w:r>
          </w:p>
        </w:tc>
      </w:tr>
      <w:tr w14:paraId="4CE6EDB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3" w:hRule="atLeast"/>
        </w:trPr>
        <w:tc>
          <w:tcPr>
            <w:tcW w:w="273" w:type="pct"/>
            <w:tcBorders>
              <w:top w:val="nil"/>
              <w:left w:val="single" w:color="000000" w:sz="8" w:space="0"/>
              <w:bottom w:val="single" w:color="000000" w:sz="8" w:space="0"/>
              <w:right w:val="single" w:color="000000" w:sz="8" w:space="0"/>
            </w:tcBorders>
            <w:noWrap w:val="0"/>
            <w:vAlign w:val="center"/>
          </w:tcPr>
          <w:p w14:paraId="03FB9775">
            <w:pPr>
              <w:spacing w:line="240" w:lineRule="auto"/>
              <w:ind w:firstLine="0" w:firstLineChars="0"/>
              <w:jc w:val="center"/>
              <w:rPr>
                <w:rFonts w:hint="default" w:ascii="Times New Roman" w:hAnsi="Times New Roman" w:eastAsia="宋体" w:cs="Times New Roman"/>
                <w:i w:val="0"/>
                <w:iCs w:val="0"/>
                <w:color w:val="000000"/>
                <w:sz w:val="18"/>
                <w:szCs w:val="18"/>
                <w:u w:val="none"/>
              </w:rPr>
            </w:pPr>
          </w:p>
        </w:tc>
        <w:tc>
          <w:tcPr>
            <w:tcW w:w="675" w:type="pct"/>
            <w:tcBorders>
              <w:top w:val="nil"/>
              <w:left w:val="nil"/>
              <w:bottom w:val="single" w:color="000000" w:sz="8" w:space="0"/>
              <w:right w:val="single" w:color="000000" w:sz="8" w:space="0"/>
            </w:tcBorders>
            <w:noWrap w:val="0"/>
            <w:vAlign w:val="center"/>
          </w:tcPr>
          <w:p w14:paraId="32C951F6">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超滤清液罐</w:t>
            </w:r>
          </w:p>
        </w:tc>
        <w:tc>
          <w:tcPr>
            <w:tcW w:w="398" w:type="pct"/>
            <w:tcBorders>
              <w:top w:val="nil"/>
              <w:left w:val="nil"/>
              <w:bottom w:val="single" w:color="000000" w:sz="8" w:space="0"/>
              <w:right w:val="single" w:color="000000" w:sz="8" w:space="0"/>
            </w:tcBorders>
            <w:noWrap w:val="0"/>
            <w:vAlign w:val="center"/>
          </w:tcPr>
          <w:p w14:paraId="0F3D3359">
            <w:pPr>
              <w:spacing w:line="240" w:lineRule="auto"/>
              <w:ind w:firstLine="0" w:firstLineChars="0"/>
              <w:jc w:val="center"/>
              <w:rPr>
                <w:rFonts w:hint="default" w:ascii="Times New Roman" w:hAnsi="Times New Roman" w:eastAsia="宋体" w:cs="Times New Roman"/>
                <w:i w:val="0"/>
                <w:iCs w:val="0"/>
                <w:color w:val="000000"/>
                <w:sz w:val="18"/>
                <w:szCs w:val="18"/>
                <w:u w:val="none"/>
              </w:rPr>
            </w:pPr>
          </w:p>
        </w:tc>
        <w:tc>
          <w:tcPr>
            <w:tcW w:w="398" w:type="pct"/>
            <w:tcBorders>
              <w:top w:val="nil"/>
              <w:left w:val="nil"/>
              <w:bottom w:val="single" w:color="000000" w:sz="8" w:space="0"/>
              <w:right w:val="single" w:color="000000" w:sz="8" w:space="0"/>
            </w:tcBorders>
            <w:noWrap w:val="0"/>
            <w:vAlign w:val="center"/>
          </w:tcPr>
          <w:p w14:paraId="01296566">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color w:val="000000"/>
                <w:kern w:val="0"/>
                <w:sz w:val="18"/>
                <w:szCs w:val="18"/>
                <w:u w:val="none"/>
                <w:lang w:val="en-US" w:eastAsia="zh-CN" w:bidi="ar"/>
              </w:rPr>
              <w:t>1.2</w:t>
            </w:r>
          </w:p>
        </w:tc>
        <w:tc>
          <w:tcPr>
            <w:tcW w:w="398" w:type="pct"/>
            <w:tcBorders>
              <w:top w:val="nil"/>
              <w:left w:val="nil"/>
              <w:bottom w:val="single" w:color="000000" w:sz="8" w:space="0"/>
              <w:right w:val="single" w:color="000000" w:sz="8" w:space="0"/>
            </w:tcBorders>
            <w:noWrap w:val="0"/>
            <w:vAlign w:val="center"/>
          </w:tcPr>
          <w:p w14:paraId="3B593D3C">
            <w:pPr>
              <w:spacing w:line="240" w:lineRule="auto"/>
              <w:ind w:firstLine="0" w:firstLineChars="0"/>
              <w:jc w:val="center"/>
              <w:rPr>
                <w:rFonts w:hint="default" w:ascii="Times New Roman" w:hAnsi="Times New Roman" w:eastAsia="宋体" w:cs="Times New Roman"/>
                <w:i w:val="0"/>
                <w:iCs w:val="0"/>
                <w:color w:val="000000"/>
                <w:sz w:val="18"/>
                <w:szCs w:val="18"/>
                <w:u w:val="none"/>
              </w:rPr>
            </w:pPr>
          </w:p>
        </w:tc>
        <w:tc>
          <w:tcPr>
            <w:tcW w:w="346" w:type="pct"/>
            <w:tcBorders>
              <w:top w:val="nil"/>
              <w:left w:val="nil"/>
              <w:bottom w:val="single" w:color="000000" w:sz="8" w:space="0"/>
              <w:right w:val="single" w:color="000000" w:sz="8" w:space="0"/>
            </w:tcBorders>
            <w:noWrap w:val="0"/>
            <w:vAlign w:val="center"/>
          </w:tcPr>
          <w:p w14:paraId="6A8D2E76">
            <w:pPr>
              <w:spacing w:line="240" w:lineRule="auto"/>
              <w:ind w:firstLine="0" w:firstLineChars="0"/>
              <w:jc w:val="center"/>
              <w:rPr>
                <w:rFonts w:hint="default" w:ascii="Times New Roman" w:hAnsi="Times New Roman" w:eastAsia="宋体" w:cs="Times New Roman"/>
                <w:i w:val="0"/>
                <w:iCs w:val="0"/>
                <w:color w:val="000000"/>
                <w:sz w:val="18"/>
                <w:szCs w:val="18"/>
                <w:u w:val="none"/>
              </w:rPr>
            </w:pPr>
          </w:p>
        </w:tc>
        <w:tc>
          <w:tcPr>
            <w:tcW w:w="326" w:type="pct"/>
            <w:tcBorders>
              <w:top w:val="nil"/>
              <w:left w:val="nil"/>
              <w:bottom w:val="single" w:color="000000" w:sz="8" w:space="0"/>
              <w:right w:val="single" w:color="000000" w:sz="8" w:space="0"/>
            </w:tcBorders>
            <w:noWrap w:val="0"/>
            <w:vAlign w:val="center"/>
          </w:tcPr>
          <w:p w14:paraId="7C20A35C">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color w:val="000000"/>
                <w:kern w:val="0"/>
                <w:sz w:val="18"/>
                <w:szCs w:val="18"/>
                <w:u w:val="none"/>
                <w:lang w:val="en-US" w:eastAsia="zh-CN" w:bidi="ar"/>
              </w:rPr>
              <w:t>1.2</w:t>
            </w:r>
          </w:p>
        </w:tc>
        <w:tc>
          <w:tcPr>
            <w:tcW w:w="148" w:type="pct"/>
            <w:tcBorders>
              <w:top w:val="nil"/>
              <w:left w:val="nil"/>
              <w:bottom w:val="single" w:color="000000" w:sz="8" w:space="0"/>
              <w:right w:val="single" w:color="000000" w:sz="8" w:space="0"/>
            </w:tcBorders>
            <w:noWrap w:val="0"/>
            <w:vAlign w:val="center"/>
          </w:tcPr>
          <w:p w14:paraId="0A135E41">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套</w:t>
            </w:r>
          </w:p>
        </w:tc>
        <w:tc>
          <w:tcPr>
            <w:tcW w:w="211" w:type="pct"/>
            <w:tcBorders>
              <w:top w:val="nil"/>
              <w:left w:val="nil"/>
              <w:bottom w:val="single" w:color="000000" w:sz="8" w:space="0"/>
              <w:right w:val="single" w:color="000000" w:sz="8" w:space="0"/>
            </w:tcBorders>
            <w:noWrap w:val="0"/>
            <w:vAlign w:val="center"/>
          </w:tcPr>
          <w:p w14:paraId="1A4C50CD">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color w:val="000000"/>
                <w:kern w:val="0"/>
                <w:sz w:val="18"/>
                <w:szCs w:val="18"/>
                <w:u w:val="none"/>
                <w:lang w:val="en-US" w:eastAsia="zh-CN" w:bidi="ar"/>
              </w:rPr>
              <w:t>1</w:t>
            </w:r>
          </w:p>
        </w:tc>
        <w:tc>
          <w:tcPr>
            <w:tcW w:w="478" w:type="pct"/>
            <w:tcBorders>
              <w:top w:val="nil"/>
              <w:left w:val="nil"/>
              <w:bottom w:val="single" w:color="000000" w:sz="8" w:space="0"/>
              <w:right w:val="single" w:color="000000" w:sz="8" w:space="0"/>
            </w:tcBorders>
            <w:noWrap w:val="0"/>
            <w:vAlign w:val="center"/>
          </w:tcPr>
          <w:p w14:paraId="7AC77DB1">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20"/>
                <w:szCs w:val="20"/>
                <w:u w:val="none"/>
              </w:rPr>
            </w:pPr>
            <w:r>
              <w:rPr>
                <w:rFonts w:hint="default" w:ascii="Times New Roman" w:hAnsi="Times New Roman" w:eastAsia="宋体" w:cs="Times New Roman"/>
                <w:i w:val="0"/>
                <w:iCs w:val="0"/>
                <w:color w:val="000000"/>
                <w:kern w:val="0"/>
                <w:sz w:val="20"/>
                <w:szCs w:val="20"/>
                <w:u w:val="none"/>
                <w:lang w:val="en-US" w:eastAsia="zh-CN" w:bidi="ar"/>
              </w:rPr>
              <w:t>12000</w:t>
            </w:r>
          </w:p>
        </w:tc>
        <w:tc>
          <w:tcPr>
            <w:tcW w:w="329" w:type="pct"/>
            <w:tcBorders>
              <w:top w:val="nil"/>
              <w:left w:val="nil"/>
              <w:bottom w:val="single" w:color="000000" w:sz="8" w:space="0"/>
              <w:right w:val="single" w:color="000000" w:sz="8" w:space="0"/>
            </w:tcBorders>
            <w:noWrap w:val="0"/>
            <w:vAlign w:val="center"/>
          </w:tcPr>
          <w:p w14:paraId="7F44B943">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b/>
                <w:bCs/>
                <w:i w:val="0"/>
                <w:iCs w:val="0"/>
                <w:color w:val="000000"/>
                <w:sz w:val="18"/>
                <w:szCs w:val="18"/>
                <w:u w:val="none"/>
              </w:rPr>
            </w:pPr>
            <w:r>
              <w:rPr>
                <w:rFonts w:hint="default" w:ascii="Times New Roman" w:hAnsi="Times New Roman" w:eastAsia="宋体" w:cs="Times New Roman"/>
                <w:b/>
                <w:bCs/>
                <w:i w:val="0"/>
                <w:iCs w:val="0"/>
                <w:color w:val="000000"/>
                <w:kern w:val="0"/>
                <w:sz w:val="18"/>
                <w:szCs w:val="18"/>
                <w:u w:val="none"/>
                <w:lang w:val="en-US" w:eastAsia="zh-CN" w:bidi="ar"/>
              </w:rPr>
              <w:t>0.01%</w:t>
            </w:r>
          </w:p>
        </w:tc>
        <w:tc>
          <w:tcPr>
            <w:tcW w:w="1013" w:type="pct"/>
            <w:tcBorders>
              <w:top w:val="nil"/>
              <w:left w:val="nil"/>
              <w:bottom w:val="single" w:color="000000" w:sz="8" w:space="0"/>
              <w:right w:val="single" w:color="000000" w:sz="8" w:space="0"/>
            </w:tcBorders>
            <w:noWrap w:val="0"/>
            <w:vAlign w:val="center"/>
          </w:tcPr>
          <w:p w14:paraId="6CAB2537">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color w:val="000000"/>
                <w:kern w:val="0"/>
                <w:sz w:val="18"/>
                <w:szCs w:val="18"/>
                <w:u w:val="none"/>
                <w:lang w:val="en-US" w:eastAsia="zh-CN" w:bidi="ar"/>
              </w:rPr>
              <w:t>V=5m</w:t>
            </w:r>
            <w:r>
              <w:rPr>
                <w:rFonts w:hint="eastAsia" w:ascii="宋体" w:hAnsi="宋体" w:eastAsia="宋体" w:cs="宋体"/>
                <w:i w:val="0"/>
                <w:iCs w:val="0"/>
                <w:color w:val="000000"/>
                <w:kern w:val="0"/>
                <w:sz w:val="18"/>
                <w:szCs w:val="18"/>
                <w:u w:val="none"/>
                <w:lang w:val="en-US" w:eastAsia="zh-CN" w:bidi="ar"/>
              </w:rPr>
              <w:t>³</w:t>
            </w:r>
          </w:p>
        </w:tc>
      </w:tr>
      <w:tr w14:paraId="68CD870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3" w:hRule="atLeast"/>
        </w:trPr>
        <w:tc>
          <w:tcPr>
            <w:tcW w:w="273" w:type="pct"/>
            <w:tcBorders>
              <w:top w:val="nil"/>
              <w:left w:val="single" w:color="000000" w:sz="8" w:space="0"/>
              <w:bottom w:val="single" w:color="000000" w:sz="8" w:space="0"/>
              <w:right w:val="single" w:color="000000" w:sz="8" w:space="0"/>
            </w:tcBorders>
            <w:noWrap w:val="0"/>
            <w:vAlign w:val="center"/>
          </w:tcPr>
          <w:p w14:paraId="1079D20E">
            <w:pPr>
              <w:spacing w:line="240" w:lineRule="auto"/>
              <w:ind w:firstLine="0" w:firstLineChars="0"/>
              <w:jc w:val="center"/>
              <w:rPr>
                <w:rFonts w:hint="default" w:ascii="Times New Roman" w:hAnsi="Times New Roman" w:eastAsia="宋体" w:cs="Times New Roman"/>
                <w:i w:val="0"/>
                <w:iCs w:val="0"/>
                <w:color w:val="000000"/>
                <w:sz w:val="18"/>
                <w:szCs w:val="18"/>
                <w:u w:val="none"/>
              </w:rPr>
            </w:pPr>
          </w:p>
        </w:tc>
        <w:tc>
          <w:tcPr>
            <w:tcW w:w="675" w:type="pct"/>
            <w:tcBorders>
              <w:top w:val="nil"/>
              <w:left w:val="nil"/>
              <w:bottom w:val="single" w:color="000000" w:sz="8" w:space="0"/>
              <w:right w:val="single" w:color="000000" w:sz="8" w:space="0"/>
            </w:tcBorders>
            <w:noWrap w:val="0"/>
            <w:vAlign w:val="center"/>
          </w:tcPr>
          <w:p w14:paraId="54BE9898">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超滤清液罐</w:t>
            </w:r>
          </w:p>
        </w:tc>
        <w:tc>
          <w:tcPr>
            <w:tcW w:w="398" w:type="pct"/>
            <w:tcBorders>
              <w:top w:val="nil"/>
              <w:left w:val="nil"/>
              <w:bottom w:val="single" w:color="000000" w:sz="8" w:space="0"/>
              <w:right w:val="single" w:color="000000" w:sz="8" w:space="0"/>
            </w:tcBorders>
            <w:noWrap w:val="0"/>
            <w:vAlign w:val="center"/>
          </w:tcPr>
          <w:p w14:paraId="68CB8C36">
            <w:pPr>
              <w:spacing w:line="240" w:lineRule="auto"/>
              <w:ind w:firstLine="0" w:firstLineChars="0"/>
              <w:jc w:val="center"/>
              <w:rPr>
                <w:rFonts w:hint="default" w:ascii="Times New Roman" w:hAnsi="Times New Roman" w:eastAsia="宋体" w:cs="Times New Roman"/>
                <w:i w:val="0"/>
                <w:iCs w:val="0"/>
                <w:color w:val="000000"/>
                <w:sz w:val="18"/>
                <w:szCs w:val="18"/>
                <w:u w:val="none"/>
              </w:rPr>
            </w:pPr>
          </w:p>
        </w:tc>
        <w:tc>
          <w:tcPr>
            <w:tcW w:w="398" w:type="pct"/>
            <w:tcBorders>
              <w:top w:val="nil"/>
              <w:left w:val="nil"/>
              <w:bottom w:val="single" w:color="000000" w:sz="8" w:space="0"/>
              <w:right w:val="single" w:color="000000" w:sz="8" w:space="0"/>
            </w:tcBorders>
            <w:noWrap w:val="0"/>
            <w:vAlign w:val="center"/>
          </w:tcPr>
          <w:p w14:paraId="433FEA22">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color w:val="000000"/>
                <w:kern w:val="0"/>
                <w:sz w:val="18"/>
                <w:szCs w:val="18"/>
                <w:u w:val="none"/>
                <w:lang w:val="en-US" w:eastAsia="zh-CN" w:bidi="ar"/>
              </w:rPr>
              <w:t>0.65</w:t>
            </w:r>
          </w:p>
        </w:tc>
        <w:tc>
          <w:tcPr>
            <w:tcW w:w="398" w:type="pct"/>
            <w:tcBorders>
              <w:top w:val="nil"/>
              <w:left w:val="nil"/>
              <w:bottom w:val="single" w:color="000000" w:sz="8" w:space="0"/>
              <w:right w:val="single" w:color="000000" w:sz="8" w:space="0"/>
            </w:tcBorders>
            <w:noWrap w:val="0"/>
            <w:vAlign w:val="center"/>
          </w:tcPr>
          <w:p w14:paraId="5C0561B8">
            <w:pPr>
              <w:spacing w:line="240" w:lineRule="auto"/>
              <w:ind w:firstLine="0" w:firstLineChars="0"/>
              <w:jc w:val="center"/>
              <w:rPr>
                <w:rFonts w:hint="default" w:ascii="Times New Roman" w:hAnsi="Times New Roman" w:eastAsia="宋体" w:cs="Times New Roman"/>
                <w:i w:val="0"/>
                <w:iCs w:val="0"/>
                <w:color w:val="000000"/>
                <w:sz w:val="18"/>
                <w:szCs w:val="18"/>
                <w:u w:val="none"/>
              </w:rPr>
            </w:pPr>
          </w:p>
        </w:tc>
        <w:tc>
          <w:tcPr>
            <w:tcW w:w="346" w:type="pct"/>
            <w:tcBorders>
              <w:top w:val="nil"/>
              <w:left w:val="nil"/>
              <w:bottom w:val="single" w:color="000000" w:sz="8" w:space="0"/>
              <w:right w:val="single" w:color="000000" w:sz="8" w:space="0"/>
            </w:tcBorders>
            <w:noWrap w:val="0"/>
            <w:vAlign w:val="center"/>
          </w:tcPr>
          <w:p w14:paraId="6287CD0F">
            <w:pPr>
              <w:spacing w:line="240" w:lineRule="auto"/>
              <w:ind w:firstLine="0" w:firstLineChars="0"/>
              <w:jc w:val="center"/>
              <w:rPr>
                <w:rFonts w:hint="default" w:ascii="Times New Roman" w:hAnsi="Times New Roman" w:eastAsia="宋体" w:cs="Times New Roman"/>
                <w:i w:val="0"/>
                <w:iCs w:val="0"/>
                <w:color w:val="000000"/>
                <w:sz w:val="18"/>
                <w:szCs w:val="18"/>
                <w:u w:val="none"/>
              </w:rPr>
            </w:pPr>
          </w:p>
        </w:tc>
        <w:tc>
          <w:tcPr>
            <w:tcW w:w="326" w:type="pct"/>
            <w:tcBorders>
              <w:top w:val="nil"/>
              <w:left w:val="nil"/>
              <w:bottom w:val="single" w:color="000000" w:sz="8" w:space="0"/>
              <w:right w:val="single" w:color="000000" w:sz="8" w:space="0"/>
            </w:tcBorders>
            <w:noWrap w:val="0"/>
            <w:vAlign w:val="center"/>
          </w:tcPr>
          <w:p w14:paraId="7F5844FD">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color w:val="000000"/>
                <w:kern w:val="0"/>
                <w:sz w:val="18"/>
                <w:szCs w:val="18"/>
                <w:u w:val="none"/>
                <w:lang w:val="en-US" w:eastAsia="zh-CN" w:bidi="ar"/>
              </w:rPr>
              <w:t>0.65</w:t>
            </w:r>
          </w:p>
        </w:tc>
        <w:tc>
          <w:tcPr>
            <w:tcW w:w="148" w:type="pct"/>
            <w:tcBorders>
              <w:top w:val="nil"/>
              <w:left w:val="nil"/>
              <w:bottom w:val="single" w:color="000000" w:sz="8" w:space="0"/>
              <w:right w:val="single" w:color="000000" w:sz="8" w:space="0"/>
            </w:tcBorders>
            <w:noWrap w:val="0"/>
            <w:vAlign w:val="center"/>
          </w:tcPr>
          <w:p w14:paraId="5B433B11">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套</w:t>
            </w:r>
          </w:p>
        </w:tc>
        <w:tc>
          <w:tcPr>
            <w:tcW w:w="211" w:type="pct"/>
            <w:tcBorders>
              <w:top w:val="nil"/>
              <w:left w:val="nil"/>
              <w:bottom w:val="single" w:color="000000" w:sz="8" w:space="0"/>
              <w:right w:val="single" w:color="000000" w:sz="8" w:space="0"/>
            </w:tcBorders>
            <w:noWrap w:val="0"/>
            <w:vAlign w:val="center"/>
          </w:tcPr>
          <w:p w14:paraId="61F2FB12">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color w:val="000000"/>
                <w:kern w:val="0"/>
                <w:sz w:val="18"/>
                <w:szCs w:val="18"/>
                <w:u w:val="none"/>
                <w:lang w:val="en-US" w:eastAsia="zh-CN" w:bidi="ar"/>
              </w:rPr>
              <w:t>1</w:t>
            </w:r>
          </w:p>
        </w:tc>
        <w:tc>
          <w:tcPr>
            <w:tcW w:w="478" w:type="pct"/>
            <w:tcBorders>
              <w:top w:val="nil"/>
              <w:left w:val="nil"/>
              <w:bottom w:val="single" w:color="000000" w:sz="8" w:space="0"/>
              <w:right w:val="single" w:color="000000" w:sz="8" w:space="0"/>
            </w:tcBorders>
            <w:noWrap w:val="0"/>
            <w:vAlign w:val="center"/>
          </w:tcPr>
          <w:p w14:paraId="3836784A">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20"/>
                <w:szCs w:val="20"/>
                <w:u w:val="none"/>
              </w:rPr>
            </w:pPr>
            <w:r>
              <w:rPr>
                <w:rFonts w:hint="default" w:ascii="Times New Roman" w:hAnsi="Times New Roman" w:eastAsia="宋体" w:cs="Times New Roman"/>
                <w:i w:val="0"/>
                <w:iCs w:val="0"/>
                <w:color w:val="000000"/>
                <w:kern w:val="0"/>
                <w:sz w:val="20"/>
                <w:szCs w:val="20"/>
                <w:u w:val="none"/>
                <w:lang w:val="en-US" w:eastAsia="zh-CN" w:bidi="ar"/>
              </w:rPr>
              <w:t>6500</w:t>
            </w:r>
          </w:p>
        </w:tc>
        <w:tc>
          <w:tcPr>
            <w:tcW w:w="329" w:type="pct"/>
            <w:tcBorders>
              <w:top w:val="nil"/>
              <w:left w:val="nil"/>
              <w:bottom w:val="single" w:color="000000" w:sz="8" w:space="0"/>
              <w:right w:val="single" w:color="000000" w:sz="8" w:space="0"/>
            </w:tcBorders>
            <w:noWrap w:val="0"/>
            <w:vAlign w:val="center"/>
          </w:tcPr>
          <w:p w14:paraId="5751F5B5">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b/>
                <w:bCs/>
                <w:i w:val="0"/>
                <w:iCs w:val="0"/>
                <w:color w:val="000000"/>
                <w:sz w:val="18"/>
                <w:szCs w:val="18"/>
                <w:u w:val="none"/>
              </w:rPr>
            </w:pPr>
            <w:r>
              <w:rPr>
                <w:rFonts w:hint="default" w:ascii="Times New Roman" w:hAnsi="Times New Roman" w:eastAsia="宋体" w:cs="Times New Roman"/>
                <w:b/>
                <w:bCs/>
                <w:i w:val="0"/>
                <w:iCs w:val="0"/>
                <w:color w:val="000000"/>
                <w:kern w:val="0"/>
                <w:sz w:val="18"/>
                <w:szCs w:val="18"/>
                <w:u w:val="none"/>
                <w:lang w:val="en-US" w:eastAsia="zh-CN" w:bidi="ar"/>
              </w:rPr>
              <w:t>0.01%</w:t>
            </w:r>
          </w:p>
        </w:tc>
        <w:tc>
          <w:tcPr>
            <w:tcW w:w="1013" w:type="pct"/>
            <w:tcBorders>
              <w:top w:val="nil"/>
              <w:left w:val="nil"/>
              <w:bottom w:val="single" w:color="000000" w:sz="8" w:space="0"/>
              <w:right w:val="single" w:color="000000" w:sz="8" w:space="0"/>
            </w:tcBorders>
            <w:noWrap w:val="0"/>
            <w:vAlign w:val="center"/>
          </w:tcPr>
          <w:p w14:paraId="56F2D228">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color w:val="000000"/>
                <w:kern w:val="0"/>
                <w:sz w:val="18"/>
                <w:szCs w:val="18"/>
                <w:u w:val="none"/>
                <w:lang w:val="en-US" w:eastAsia="zh-CN" w:bidi="ar"/>
              </w:rPr>
              <w:t>V=2m</w:t>
            </w:r>
            <w:r>
              <w:rPr>
                <w:rFonts w:hint="eastAsia" w:ascii="宋体" w:hAnsi="宋体" w:eastAsia="宋体" w:cs="宋体"/>
                <w:i w:val="0"/>
                <w:iCs w:val="0"/>
                <w:color w:val="000000"/>
                <w:kern w:val="0"/>
                <w:sz w:val="18"/>
                <w:szCs w:val="18"/>
                <w:u w:val="none"/>
                <w:lang w:val="en-US" w:eastAsia="zh-CN" w:bidi="ar"/>
              </w:rPr>
              <w:t>³</w:t>
            </w:r>
          </w:p>
        </w:tc>
      </w:tr>
      <w:tr w14:paraId="2022C6A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3" w:hRule="atLeast"/>
        </w:trPr>
        <w:tc>
          <w:tcPr>
            <w:tcW w:w="273" w:type="pct"/>
            <w:tcBorders>
              <w:top w:val="nil"/>
              <w:left w:val="single" w:color="000000" w:sz="8" w:space="0"/>
              <w:bottom w:val="single" w:color="000000" w:sz="8" w:space="0"/>
              <w:right w:val="single" w:color="000000" w:sz="8" w:space="0"/>
            </w:tcBorders>
            <w:noWrap w:val="0"/>
            <w:vAlign w:val="center"/>
          </w:tcPr>
          <w:p w14:paraId="7B42ACAB">
            <w:pPr>
              <w:spacing w:line="240" w:lineRule="auto"/>
              <w:ind w:firstLine="0" w:firstLineChars="0"/>
              <w:jc w:val="center"/>
              <w:rPr>
                <w:rFonts w:hint="default" w:ascii="Times New Roman" w:hAnsi="Times New Roman" w:eastAsia="宋体" w:cs="Times New Roman"/>
                <w:i w:val="0"/>
                <w:iCs w:val="0"/>
                <w:color w:val="000000"/>
                <w:sz w:val="18"/>
                <w:szCs w:val="18"/>
                <w:u w:val="none"/>
              </w:rPr>
            </w:pPr>
          </w:p>
        </w:tc>
        <w:tc>
          <w:tcPr>
            <w:tcW w:w="675" w:type="pct"/>
            <w:tcBorders>
              <w:top w:val="nil"/>
              <w:left w:val="nil"/>
              <w:bottom w:val="single" w:color="000000" w:sz="8" w:space="0"/>
              <w:right w:val="single" w:color="000000" w:sz="8" w:space="0"/>
            </w:tcBorders>
            <w:noWrap w:val="0"/>
            <w:vAlign w:val="center"/>
          </w:tcPr>
          <w:p w14:paraId="785DBF71">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高效沉淀装置</w:t>
            </w:r>
          </w:p>
        </w:tc>
        <w:tc>
          <w:tcPr>
            <w:tcW w:w="398" w:type="pct"/>
            <w:tcBorders>
              <w:top w:val="nil"/>
              <w:left w:val="nil"/>
              <w:bottom w:val="single" w:color="000000" w:sz="8" w:space="0"/>
              <w:right w:val="single" w:color="000000" w:sz="8" w:space="0"/>
            </w:tcBorders>
            <w:noWrap w:val="0"/>
            <w:vAlign w:val="center"/>
          </w:tcPr>
          <w:p w14:paraId="635B0CB1">
            <w:pPr>
              <w:spacing w:line="240" w:lineRule="auto"/>
              <w:ind w:firstLine="0" w:firstLineChars="0"/>
              <w:jc w:val="center"/>
              <w:rPr>
                <w:rFonts w:hint="default" w:ascii="Times New Roman" w:hAnsi="Times New Roman" w:eastAsia="宋体" w:cs="Times New Roman"/>
                <w:i w:val="0"/>
                <w:iCs w:val="0"/>
                <w:color w:val="000000"/>
                <w:sz w:val="18"/>
                <w:szCs w:val="18"/>
                <w:u w:val="none"/>
              </w:rPr>
            </w:pPr>
          </w:p>
        </w:tc>
        <w:tc>
          <w:tcPr>
            <w:tcW w:w="398" w:type="pct"/>
            <w:tcBorders>
              <w:top w:val="nil"/>
              <w:left w:val="nil"/>
              <w:bottom w:val="single" w:color="000000" w:sz="8" w:space="0"/>
              <w:right w:val="single" w:color="000000" w:sz="8" w:space="0"/>
            </w:tcBorders>
            <w:noWrap w:val="0"/>
            <w:vAlign w:val="center"/>
          </w:tcPr>
          <w:p w14:paraId="48AA7589">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color w:val="000000"/>
                <w:kern w:val="0"/>
                <w:sz w:val="18"/>
                <w:szCs w:val="18"/>
                <w:u w:val="none"/>
                <w:lang w:val="en-US" w:eastAsia="zh-CN" w:bidi="ar"/>
              </w:rPr>
              <w:t>18</w:t>
            </w:r>
          </w:p>
        </w:tc>
        <w:tc>
          <w:tcPr>
            <w:tcW w:w="398" w:type="pct"/>
            <w:tcBorders>
              <w:top w:val="nil"/>
              <w:left w:val="nil"/>
              <w:bottom w:val="single" w:color="000000" w:sz="8" w:space="0"/>
              <w:right w:val="single" w:color="000000" w:sz="8" w:space="0"/>
            </w:tcBorders>
            <w:noWrap w:val="0"/>
            <w:vAlign w:val="center"/>
          </w:tcPr>
          <w:p w14:paraId="648E2C65">
            <w:pPr>
              <w:spacing w:line="240" w:lineRule="auto"/>
              <w:ind w:firstLine="0" w:firstLineChars="0"/>
              <w:jc w:val="center"/>
              <w:rPr>
                <w:rFonts w:hint="default" w:ascii="Times New Roman" w:hAnsi="Times New Roman" w:eastAsia="宋体" w:cs="Times New Roman"/>
                <w:i w:val="0"/>
                <w:iCs w:val="0"/>
                <w:color w:val="000000"/>
                <w:sz w:val="18"/>
                <w:szCs w:val="18"/>
                <w:u w:val="none"/>
              </w:rPr>
            </w:pPr>
          </w:p>
        </w:tc>
        <w:tc>
          <w:tcPr>
            <w:tcW w:w="346" w:type="pct"/>
            <w:tcBorders>
              <w:top w:val="nil"/>
              <w:left w:val="nil"/>
              <w:bottom w:val="single" w:color="000000" w:sz="8" w:space="0"/>
              <w:right w:val="single" w:color="000000" w:sz="8" w:space="0"/>
            </w:tcBorders>
            <w:noWrap w:val="0"/>
            <w:vAlign w:val="center"/>
          </w:tcPr>
          <w:p w14:paraId="12ADC0C9">
            <w:pPr>
              <w:spacing w:line="240" w:lineRule="auto"/>
              <w:ind w:firstLine="0" w:firstLineChars="0"/>
              <w:jc w:val="center"/>
              <w:rPr>
                <w:rFonts w:hint="default" w:ascii="Times New Roman" w:hAnsi="Times New Roman" w:eastAsia="宋体" w:cs="Times New Roman"/>
                <w:i w:val="0"/>
                <w:iCs w:val="0"/>
                <w:color w:val="000000"/>
                <w:sz w:val="18"/>
                <w:szCs w:val="18"/>
                <w:u w:val="none"/>
              </w:rPr>
            </w:pPr>
          </w:p>
        </w:tc>
        <w:tc>
          <w:tcPr>
            <w:tcW w:w="326" w:type="pct"/>
            <w:tcBorders>
              <w:top w:val="nil"/>
              <w:left w:val="nil"/>
              <w:bottom w:val="single" w:color="000000" w:sz="8" w:space="0"/>
              <w:right w:val="single" w:color="000000" w:sz="8" w:space="0"/>
            </w:tcBorders>
            <w:noWrap w:val="0"/>
            <w:vAlign w:val="center"/>
          </w:tcPr>
          <w:p w14:paraId="4550C2B8">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color w:val="000000"/>
                <w:kern w:val="0"/>
                <w:sz w:val="18"/>
                <w:szCs w:val="18"/>
                <w:u w:val="none"/>
                <w:lang w:val="en-US" w:eastAsia="zh-CN" w:bidi="ar"/>
              </w:rPr>
              <w:t>18</w:t>
            </w:r>
          </w:p>
        </w:tc>
        <w:tc>
          <w:tcPr>
            <w:tcW w:w="148" w:type="pct"/>
            <w:tcBorders>
              <w:top w:val="nil"/>
              <w:left w:val="nil"/>
              <w:bottom w:val="single" w:color="000000" w:sz="8" w:space="0"/>
              <w:right w:val="single" w:color="000000" w:sz="8" w:space="0"/>
            </w:tcBorders>
            <w:noWrap w:val="0"/>
            <w:vAlign w:val="center"/>
          </w:tcPr>
          <w:p w14:paraId="35611CDB">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套</w:t>
            </w:r>
          </w:p>
        </w:tc>
        <w:tc>
          <w:tcPr>
            <w:tcW w:w="211" w:type="pct"/>
            <w:tcBorders>
              <w:top w:val="nil"/>
              <w:left w:val="nil"/>
              <w:bottom w:val="single" w:color="000000" w:sz="8" w:space="0"/>
              <w:right w:val="single" w:color="000000" w:sz="8" w:space="0"/>
            </w:tcBorders>
            <w:noWrap w:val="0"/>
            <w:vAlign w:val="center"/>
          </w:tcPr>
          <w:p w14:paraId="150C9283">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color w:val="000000"/>
                <w:kern w:val="0"/>
                <w:sz w:val="18"/>
                <w:szCs w:val="18"/>
                <w:u w:val="none"/>
                <w:lang w:val="en-US" w:eastAsia="zh-CN" w:bidi="ar"/>
              </w:rPr>
              <w:t>1</w:t>
            </w:r>
          </w:p>
        </w:tc>
        <w:tc>
          <w:tcPr>
            <w:tcW w:w="478" w:type="pct"/>
            <w:tcBorders>
              <w:top w:val="nil"/>
              <w:left w:val="nil"/>
              <w:bottom w:val="single" w:color="000000" w:sz="8" w:space="0"/>
              <w:right w:val="single" w:color="000000" w:sz="8" w:space="0"/>
            </w:tcBorders>
            <w:noWrap w:val="0"/>
            <w:vAlign w:val="center"/>
          </w:tcPr>
          <w:p w14:paraId="752E1960">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20"/>
                <w:szCs w:val="20"/>
                <w:u w:val="none"/>
              </w:rPr>
            </w:pPr>
            <w:r>
              <w:rPr>
                <w:rFonts w:hint="default" w:ascii="Times New Roman" w:hAnsi="Times New Roman" w:eastAsia="宋体" w:cs="Times New Roman"/>
                <w:i w:val="0"/>
                <w:iCs w:val="0"/>
                <w:color w:val="000000"/>
                <w:kern w:val="0"/>
                <w:sz w:val="20"/>
                <w:szCs w:val="20"/>
                <w:u w:val="none"/>
                <w:lang w:val="en-US" w:eastAsia="zh-CN" w:bidi="ar"/>
              </w:rPr>
              <w:t>180000</w:t>
            </w:r>
          </w:p>
        </w:tc>
        <w:tc>
          <w:tcPr>
            <w:tcW w:w="329" w:type="pct"/>
            <w:tcBorders>
              <w:top w:val="nil"/>
              <w:left w:val="nil"/>
              <w:bottom w:val="single" w:color="000000" w:sz="8" w:space="0"/>
              <w:right w:val="single" w:color="000000" w:sz="8" w:space="0"/>
            </w:tcBorders>
            <w:noWrap w:val="0"/>
            <w:vAlign w:val="center"/>
          </w:tcPr>
          <w:p w14:paraId="1A254CB2">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b/>
                <w:bCs/>
                <w:i w:val="0"/>
                <w:iCs w:val="0"/>
                <w:color w:val="000000"/>
                <w:sz w:val="18"/>
                <w:szCs w:val="18"/>
                <w:u w:val="none"/>
              </w:rPr>
            </w:pPr>
            <w:r>
              <w:rPr>
                <w:rFonts w:hint="default" w:ascii="Times New Roman" w:hAnsi="Times New Roman" w:eastAsia="宋体" w:cs="Times New Roman"/>
                <w:b/>
                <w:bCs/>
                <w:i w:val="0"/>
                <w:iCs w:val="0"/>
                <w:color w:val="000000"/>
                <w:kern w:val="0"/>
                <w:sz w:val="18"/>
                <w:szCs w:val="18"/>
                <w:u w:val="none"/>
                <w:lang w:val="en-US" w:eastAsia="zh-CN" w:bidi="ar"/>
              </w:rPr>
              <w:t>0.18%</w:t>
            </w:r>
          </w:p>
        </w:tc>
        <w:tc>
          <w:tcPr>
            <w:tcW w:w="1013" w:type="pct"/>
            <w:tcBorders>
              <w:top w:val="nil"/>
              <w:left w:val="nil"/>
              <w:bottom w:val="single" w:color="000000" w:sz="8" w:space="0"/>
              <w:right w:val="single" w:color="000000" w:sz="8" w:space="0"/>
            </w:tcBorders>
            <w:noWrap w:val="0"/>
            <w:vAlign w:val="center"/>
          </w:tcPr>
          <w:p w14:paraId="39B17B84">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color w:val="000000"/>
                <w:kern w:val="0"/>
                <w:sz w:val="18"/>
                <w:szCs w:val="18"/>
                <w:u w:val="none"/>
                <w:lang w:val="en-US" w:eastAsia="zh-CN" w:bidi="ar"/>
              </w:rPr>
              <w:t>RHGX/50</w:t>
            </w:r>
            <w:r>
              <w:rPr>
                <w:rFonts w:hint="eastAsia" w:ascii="宋体" w:hAnsi="宋体" w:eastAsia="宋体" w:cs="宋体"/>
                <w:i w:val="0"/>
                <w:iCs w:val="0"/>
                <w:color w:val="000000"/>
                <w:kern w:val="0"/>
                <w:sz w:val="18"/>
                <w:szCs w:val="18"/>
                <w:u w:val="none"/>
                <w:lang w:val="en-US" w:eastAsia="zh-CN" w:bidi="ar"/>
              </w:rPr>
              <w:t>，</w:t>
            </w:r>
            <w:r>
              <w:rPr>
                <w:rFonts w:hint="default" w:ascii="Times New Roman" w:hAnsi="Times New Roman" w:eastAsia="宋体" w:cs="Times New Roman"/>
                <w:i w:val="0"/>
                <w:iCs w:val="0"/>
                <w:color w:val="000000"/>
                <w:kern w:val="0"/>
                <w:sz w:val="18"/>
                <w:szCs w:val="18"/>
                <w:u w:val="none"/>
                <w:lang w:val="en-US" w:eastAsia="zh-CN" w:bidi="ar"/>
              </w:rPr>
              <w:t>N=4.5KW</w:t>
            </w:r>
            <w:r>
              <w:rPr>
                <w:rFonts w:hint="eastAsia" w:ascii="宋体" w:hAnsi="宋体" w:eastAsia="宋体" w:cs="宋体"/>
                <w:i w:val="0"/>
                <w:iCs w:val="0"/>
                <w:color w:val="000000"/>
                <w:kern w:val="0"/>
                <w:sz w:val="18"/>
                <w:szCs w:val="18"/>
                <w:u w:val="none"/>
                <w:lang w:val="en-US" w:eastAsia="zh-CN" w:bidi="ar"/>
              </w:rPr>
              <w:t>（成套设备）</w:t>
            </w:r>
          </w:p>
        </w:tc>
      </w:tr>
      <w:tr w14:paraId="1A43066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3" w:hRule="atLeast"/>
        </w:trPr>
        <w:tc>
          <w:tcPr>
            <w:tcW w:w="273" w:type="pct"/>
            <w:tcBorders>
              <w:top w:val="nil"/>
              <w:left w:val="single" w:color="000000" w:sz="8" w:space="0"/>
              <w:bottom w:val="single" w:color="000000" w:sz="8" w:space="0"/>
              <w:right w:val="single" w:color="000000" w:sz="8" w:space="0"/>
            </w:tcBorders>
            <w:noWrap w:val="0"/>
            <w:vAlign w:val="center"/>
          </w:tcPr>
          <w:p w14:paraId="234E9476">
            <w:pPr>
              <w:spacing w:line="240" w:lineRule="auto"/>
              <w:ind w:firstLine="0" w:firstLineChars="0"/>
              <w:jc w:val="center"/>
              <w:rPr>
                <w:rFonts w:hint="default" w:ascii="Times New Roman" w:hAnsi="Times New Roman" w:eastAsia="宋体" w:cs="Times New Roman"/>
                <w:i w:val="0"/>
                <w:iCs w:val="0"/>
                <w:color w:val="000000"/>
                <w:sz w:val="18"/>
                <w:szCs w:val="18"/>
                <w:u w:val="none"/>
              </w:rPr>
            </w:pPr>
          </w:p>
        </w:tc>
        <w:tc>
          <w:tcPr>
            <w:tcW w:w="675" w:type="pct"/>
            <w:tcBorders>
              <w:top w:val="nil"/>
              <w:left w:val="nil"/>
              <w:bottom w:val="single" w:color="000000" w:sz="8" w:space="0"/>
              <w:right w:val="single" w:color="000000" w:sz="8" w:space="0"/>
            </w:tcBorders>
            <w:noWrap w:val="0"/>
            <w:vAlign w:val="center"/>
          </w:tcPr>
          <w:p w14:paraId="3DDAA174">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混凝剂自动加药装置</w:t>
            </w:r>
          </w:p>
        </w:tc>
        <w:tc>
          <w:tcPr>
            <w:tcW w:w="398" w:type="pct"/>
            <w:tcBorders>
              <w:top w:val="nil"/>
              <w:left w:val="nil"/>
              <w:bottom w:val="single" w:color="000000" w:sz="8" w:space="0"/>
              <w:right w:val="single" w:color="000000" w:sz="8" w:space="0"/>
            </w:tcBorders>
            <w:noWrap w:val="0"/>
            <w:vAlign w:val="center"/>
          </w:tcPr>
          <w:p w14:paraId="3731322E">
            <w:pPr>
              <w:spacing w:line="240" w:lineRule="auto"/>
              <w:ind w:firstLine="0" w:firstLineChars="0"/>
              <w:jc w:val="center"/>
              <w:rPr>
                <w:rFonts w:hint="default" w:ascii="Times New Roman" w:hAnsi="Times New Roman" w:eastAsia="宋体" w:cs="Times New Roman"/>
                <w:i w:val="0"/>
                <w:iCs w:val="0"/>
                <w:color w:val="000000"/>
                <w:sz w:val="18"/>
                <w:szCs w:val="18"/>
                <w:u w:val="none"/>
              </w:rPr>
            </w:pPr>
          </w:p>
        </w:tc>
        <w:tc>
          <w:tcPr>
            <w:tcW w:w="398" w:type="pct"/>
            <w:tcBorders>
              <w:top w:val="nil"/>
              <w:left w:val="nil"/>
              <w:bottom w:val="single" w:color="000000" w:sz="8" w:space="0"/>
              <w:right w:val="single" w:color="000000" w:sz="8" w:space="0"/>
            </w:tcBorders>
            <w:noWrap w:val="0"/>
            <w:vAlign w:val="center"/>
          </w:tcPr>
          <w:p w14:paraId="26499025">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color w:val="000000"/>
                <w:kern w:val="0"/>
                <w:sz w:val="18"/>
                <w:szCs w:val="18"/>
                <w:u w:val="none"/>
                <w:lang w:val="en-US" w:eastAsia="zh-CN" w:bidi="ar"/>
              </w:rPr>
              <w:t>1.2</w:t>
            </w:r>
          </w:p>
        </w:tc>
        <w:tc>
          <w:tcPr>
            <w:tcW w:w="398" w:type="pct"/>
            <w:tcBorders>
              <w:top w:val="nil"/>
              <w:left w:val="nil"/>
              <w:bottom w:val="single" w:color="000000" w:sz="8" w:space="0"/>
              <w:right w:val="single" w:color="000000" w:sz="8" w:space="0"/>
            </w:tcBorders>
            <w:noWrap w:val="0"/>
            <w:vAlign w:val="center"/>
          </w:tcPr>
          <w:p w14:paraId="48A054CD">
            <w:pPr>
              <w:spacing w:line="240" w:lineRule="auto"/>
              <w:ind w:firstLine="0" w:firstLineChars="0"/>
              <w:jc w:val="center"/>
              <w:rPr>
                <w:rFonts w:hint="default" w:ascii="Times New Roman" w:hAnsi="Times New Roman" w:eastAsia="宋体" w:cs="Times New Roman"/>
                <w:i w:val="0"/>
                <w:iCs w:val="0"/>
                <w:color w:val="000000"/>
                <w:sz w:val="18"/>
                <w:szCs w:val="18"/>
                <w:u w:val="none"/>
              </w:rPr>
            </w:pPr>
          </w:p>
        </w:tc>
        <w:tc>
          <w:tcPr>
            <w:tcW w:w="346" w:type="pct"/>
            <w:tcBorders>
              <w:top w:val="nil"/>
              <w:left w:val="nil"/>
              <w:bottom w:val="single" w:color="000000" w:sz="8" w:space="0"/>
              <w:right w:val="single" w:color="000000" w:sz="8" w:space="0"/>
            </w:tcBorders>
            <w:noWrap w:val="0"/>
            <w:vAlign w:val="center"/>
          </w:tcPr>
          <w:p w14:paraId="027FDFAE">
            <w:pPr>
              <w:spacing w:line="240" w:lineRule="auto"/>
              <w:ind w:firstLine="0" w:firstLineChars="0"/>
              <w:jc w:val="center"/>
              <w:rPr>
                <w:rFonts w:hint="default" w:ascii="Times New Roman" w:hAnsi="Times New Roman" w:eastAsia="宋体" w:cs="Times New Roman"/>
                <w:i w:val="0"/>
                <w:iCs w:val="0"/>
                <w:color w:val="000000"/>
                <w:sz w:val="18"/>
                <w:szCs w:val="18"/>
                <w:u w:val="none"/>
              </w:rPr>
            </w:pPr>
          </w:p>
        </w:tc>
        <w:tc>
          <w:tcPr>
            <w:tcW w:w="326" w:type="pct"/>
            <w:tcBorders>
              <w:top w:val="nil"/>
              <w:left w:val="nil"/>
              <w:bottom w:val="single" w:color="000000" w:sz="8" w:space="0"/>
              <w:right w:val="single" w:color="000000" w:sz="8" w:space="0"/>
            </w:tcBorders>
            <w:noWrap w:val="0"/>
            <w:vAlign w:val="center"/>
          </w:tcPr>
          <w:p w14:paraId="1564FCBC">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color w:val="000000"/>
                <w:kern w:val="0"/>
                <w:sz w:val="18"/>
                <w:szCs w:val="18"/>
                <w:u w:val="none"/>
                <w:lang w:val="en-US" w:eastAsia="zh-CN" w:bidi="ar"/>
              </w:rPr>
              <w:t>1.2</w:t>
            </w:r>
          </w:p>
        </w:tc>
        <w:tc>
          <w:tcPr>
            <w:tcW w:w="148" w:type="pct"/>
            <w:tcBorders>
              <w:top w:val="nil"/>
              <w:left w:val="nil"/>
              <w:bottom w:val="single" w:color="000000" w:sz="8" w:space="0"/>
              <w:right w:val="single" w:color="000000" w:sz="8" w:space="0"/>
            </w:tcBorders>
            <w:noWrap w:val="0"/>
            <w:vAlign w:val="center"/>
          </w:tcPr>
          <w:p w14:paraId="6D865945">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套</w:t>
            </w:r>
          </w:p>
        </w:tc>
        <w:tc>
          <w:tcPr>
            <w:tcW w:w="211" w:type="pct"/>
            <w:tcBorders>
              <w:top w:val="nil"/>
              <w:left w:val="nil"/>
              <w:bottom w:val="single" w:color="000000" w:sz="8" w:space="0"/>
              <w:right w:val="single" w:color="000000" w:sz="8" w:space="0"/>
            </w:tcBorders>
            <w:noWrap w:val="0"/>
            <w:vAlign w:val="center"/>
          </w:tcPr>
          <w:p w14:paraId="2A874FF3">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color w:val="000000"/>
                <w:kern w:val="0"/>
                <w:sz w:val="18"/>
                <w:szCs w:val="18"/>
                <w:u w:val="none"/>
                <w:lang w:val="en-US" w:eastAsia="zh-CN" w:bidi="ar"/>
              </w:rPr>
              <w:t>1</w:t>
            </w:r>
          </w:p>
        </w:tc>
        <w:tc>
          <w:tcPr>
            <w:tcW w:w="478" w:type="pct"/>
            <w:tcBorders>
              <w:top w:val="nil"/>
              <w:left w:val="nil"/>
              <w:bottom w:val="single" w:color="000000" w:sz="8" w:space="0"/>
              <w:right w:val="single" w:color="000000" w:sz="8" w:space="0"/>
            </w:tcBorders>
            <w:noWrap w:val="0"/>
            <w:vAlign w:val="center"/>
          </w:tcPr>
          <w:p w14:paraId="11792270">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20"/>
                <w:szCs w:val="20"/>
                <w:u w:val="none"/>
              </w:rPr>
            </w:pPr>
            <w:r>
              <w:rPr>
                <w:rFonts w:hint="default" w:ascii="Times New Roman" w:hAnsi="Times New Roman" w:eastAsia="宋体" w:cs="Times New Roman"/>
                <w:i w:val="0"/>
                <w:iCs w:val="0"/>
                <w:color w:val="000000"/>
                <w:kern w:val="0"/>
                <w:sz w:val="20"/>
                <w:szCs w:val="20"/>
                <w:u w:val="none"/>
                <w:lang w:val="en-US" w:eastAsia="zh-CN" w:bidi="ar"/>
              </w:rPr>
              <w:t>12000</w:t>
            </w:r>
          </w:p>
        </w:tc>
        <w:tc>
          <w:tcPr>
            <w:tcW w:w="329" w:type="pct"/>
            <w:tcBorders>
              <w:top w:val="nil"/>
              <w:left w:val="nil"/>
              <w:bottom w:val="single" w:color="000000" w:sz="8" w:space="0"/>
              <w:right w:val="single" w:color="000000" w:sz="8" w:space="0"/>
            </w:tcBorders>
            <w:noWrap w:val="0"/>
            <w:vAlign w:val="center"/>
          </w:tcPr>
          <w:p w14:paraId="79284A5B">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b/>
                <w:bCs/>
                <w:i w:val="0"/>
                <w:iCs w:val="0"/>
                <w:color w:val="000000"/>
                <w:sz w:val="18"/>
                <w:szCs w:val="18"/>
                <w:u w:val="none"/>
              </w:rPr>
            </w:pPr>
            <w:r>
              <w:rPr>
                <w:rFonts w:hint="default" w:ascii="Times New Roman" w:hAnsi="Times New Roman" w:eastAsia="宋体" w:cs="Times New Roman"/>
                <w:b/>
                <w:bCs/>
                <w:i w:val="0"/>
                <w:iCs w:val="0"/>
                <w:color w:val="000000"/>
                <w:kern w:val="0"/>
                <w:sz w:val="18"/>
                <w:szCs w:val="18"/>
                <w:u w:val="none"/>
                <w:lang w:val="en-US" w:eastAsia="zh-CN" w:bidi="ar"/>
              </w:rPr>
              <w:t>0.01%</w:t>
            </w:r>
          </w:p>
        </w:tc>
        <w:tc>
          <w:tcPr>
            <w:tcW w:w="1013" w:type="pct"/>
            <w:tcBorders>
              <w:top w:val="nil"/>
              <w:left w:val="nil"/>
              <w:bottom w:val="single" w:color="000000" w:sz="8" w:space="0"/>
              <w:right w:val="single" w:color="000000" w:sz="8" w:space="0"/>
            </w:tcBorders>
            <w:noWrap w:val="0"/>
            <w:vAlign w:val="center"/>
          </w:tcPr>
          <w:p w14:paraId="576370ED">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color w:val="000000"/>
                <w:kern w:val="0"/>
                <w:sz w:val="18"/>
                <w:szCs w:val="18"/>
                <w:u w:val="none"/>
                <w:lang w:val="en-US" w:eastAsia="zh-CN" w:bidi="ar"/>
              </w:rPr>
              <w:t>JBY1/1-1.6/0.76</w:t>
            </w:r>
            <w:r>
              <w:rPr>
                <w:rFonts w:hint="eastAsia" w:ascii="宋体" w:hAnsi="宋体" w:eastAsia="宋体" w:cs="宋体"/>
                <w:i w:val="0"/>
                <w:iCs w:val="0"/>
                <w:color w:val="000000"/>
                <w:kern w:val="0"/>
                <w:sz w:val="18"/>
                <w:szCs w:val="18"/>
                <w:u w:val="none"/>
                <w:lang w:val="en-US" w:eastAsia="zh-CN" w:bidi="ar"/>
              </w:rPr>
              <w:t>（成套设备）</w:t>
            </w:r>
          </w:p>
        </w:tc>
      </w:tr>
      <w:tr w14:paraId="51F0914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3" w:hRule="atLeast"/>
        </w:trPr>
        <w:tc>
          <w:tcPr>
            <w:tcW w:w="273" w:type="pct"/>
            <w:tcBorders>
              <w:top w:val="nil"/>
              <w:left w:val="single" w:color="000000" w:sz="8" w:space="0"/>
              <w:bottom w:val="single" w:color="000000" w:sz="8" w:space="0"/>
              <w:right w:val="single" w:color="000000" w:sz="8" w:space="0"/>
            </w:tcBorders>
            <w:noWrap w:val="0"/>
            <w:vAlign w:val="center"/>
          </w:tcPr>
          <w:p w14:paraId="0F291906">
            <w:pPr>
              <w:spacing w:line="240" w:lineRule="auto"/>
              <w:ind w:firstLine="0" w:firstLineChars="0"/>
              <w:jc w:val="center"/>
              <w:rPr>
                <w:rFonts w:hint="default" w:ascii="Times New Roman" w:hAnsi="Times New Roman" w:eastAsia="宋体" w:cs="Times New Roman"/>
                <w:i w:val="0"/>
                <w:iCs w:val="0"/>
                <w:color w:val="000000"/>
                <w:sz w:val="18"/>
                <w:szCs w:val="18"/>
                <w:u w:val="none"/>
              </w:rPr>
            </w:pPr>
          </w:p>
        </w:tc>
        <w:tc>
          <w:tcPr>
            <w:tcW w:w="675" w:type="pct"/>
            <w:tcBorders>
              <w:top w:val="nil"/>
              <w:left w:val="nil"/>
              <w:bottom w:val="single" w:color="000000" w:sz="8" w:space="0"/>
              <w:right w:val="single" w:color="000000" w:sz="8" w:space="0"/>
            </w:tcBorders>
            <w:noWrap w:val="0"/>
            <w:vAlign w:val="center"/>
          </w:tcPr>
          <w:p w14:paraId="1579F2CF">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絮凝剂自动加药装置</w:t>
            </w:r>
          </w:p>
        </w:tc>
        <w:tc>
          <w:tcPr>
            <w:tcW w:w="398" w:type="pct"/>
            <w:tcBorders>
              <w:top w:val="nil"/>
              <w:left w:val="nil"/>
              <w:bottom w:val="single" w:color="000000" w:sz="8" w:space="0"/>
              <w:right w:val="single" w:color="000000" w:sz="8" w:space="0"/>
            </w:tcBorders>
            <w:noWrap w:val="0"/>
            <w:vAlign w:val="center"/>
          </w:tcPr>
          <w:p w14:paraId="5C14E931">
            <w:pPr>
              <w:spacing w:line="240" w:lineRule="auto"/>
              <w:ind w:firstLine="0" w:firstLineChars="0"/>
              <w:jc w:val="center"/>
              <w:rPr>
                <w:rFonts w:hint="default" w:ascii="Times New Roman" w:hAnsi="Times New Roman" w:eastAsia="宋体" w:cs="Times New Roman"/>
                <w:i w:val="0"/>
                <w:iCs w:val="0"/>
                <w:color w:val="000000"/>
                <w:sz w:val="18"/>
                <w:szCs w:val="18"/>
                <w:u w:val="none"/>
              </w:rPr>
            </w:pPr>
          </w:p>
        </w:tc>
        <w:tc>
          <w:tcPr>
            <w:tcW w:w="398" w:type="pct"/>
            <w:tcBorders>
              <w:top w:val="nil"/>
              <w:left w:val="nil"/>
              <w:bottom w:val="single" w:color="000000" w:sz="8" w:space="0"/>
              <w:right w:val="single" w:color="000000" w:sz="8" w:space="0"/>
            </w:tcBorders>
            <w:noWrap w:val="0"/>
            <w:vAlign w:val="center"/>
          </w:tcPr>
          <w:p w14:paraId="3A4B8006">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color w:val="000000"/>
                <w:kern w:val="0"/>
                <w:sz w:val="18"/>
                <w:szCs w:val="18"/>
                <w:u w:val="none"/>
                <w:lang w:val="en-US" w:eastAsia="zh-CN" w:bidi="ar"/>
              </w:rPr>
              <w:t>1.2</w:t>
            </w:r>
          </w:p>
        </w:tc>
        <w:tc>
          <w:tcPr>
            <w:tcW w:w="398" w:type="pct"/>
            <w:tcBorders>
              <w:top w:val="nil"/>
              <w:left w:val="nil"/>
              <w:bottom w:val="single" w:color="000000" w:sz="8" w:space="0"/>
              <w:right w:val="single" w:color="000000" w:sz="8" w:space="0"/>
            </w:tcBorders>
            <w:noWrap w:val="0"/>
            <w:vAlign w:val="center"/>
          </w:tcPr>
          <w:p w14:paraId="64E49F20">
            <w:pPr>
              <w:spacing w:line="240" w:lineRule="auto"/>
              <w:ind w:firstLine="0" w:firstLineChars="0"/>
              <w:jc w:val="center"/>
              <w:rPr>
                <w:rFonts w:hint="default" w:ascii="Times New Roman" w:hAnsi="Times New Roman" w:eastAsia="宋体" w:cs="Times New Roman"/>
                <w:i w:val="0"/>
                <w:iCs w:val="0"/>
                <w:color w:val="000000"/>
                <w:sz w:val="18"/>
                <w:szCs w:val="18"/>
                <w:u w:val="none"/>
              </w:rPr>
            </w:pPr>
          </w:p>
        </w:tc>
        <w:tc>
          <w:tcPr>
            <w:tcW w:w="346" w:type="pct"/>
            <w:tcBorders>
              <w:top w:val="nil"/>
              <w:left w:val="nil"/>
              <w:bottom w:val="single" w:color="000000" w:sz="8" w:space="0"/>
              <w:right w:val="single" w:color="000000" w:sz="8" w:space="0"/>
            </w:tcBorders>
            <w:noWrap w:val="0"/>
            <w:vAlign w:val="center"/>
          </w:tcPr>
          <w:p w14:paraId="6C489F44">
            <w:pPr>
              <w:spacing w:line="240" w:lineRule="auto"/>
              <w:ind w:firstLine="0" w:firstLineChars="0"/>
              <w:jc w:val="center"/>
              <w:rPr>
                <w:rFonts w:hint="default" w:ascii="Times New Roman" w:hAnsi="Times New Roman" w:eastAsia="宋体" w:cs="Times New Roman"/>
                <w:i w:val="0"/>
                <w:iCs w:val="0"/>
                <w:color w:val="000000"/>
                <w:sz w:val="18"/>
                <w:szCs w:val="18"/>
                <w:u w:val="none"/>
              </w:rPr>
            </w:pPr>
          </w:p>
        </w:tc>
        <w:tc>
          <w:tcPr>
            <w:tcW w:w="326" w:type="pct"/>
            <w:tcBorders>
              <w:top w:val="nil"/>
              <w:left w:val="nil"/>
              <w:bottom w:val="single" w:color="000000" w:sz="8" w:space="0"/>
              <w:right w:val="single" w:color="000000" w:sz="8" w:space="0"/>
            </w:tcBorders>
            <w:noWrap w:val="0"/>
            <w:vAlign w:val="center"/>
          </w:tcPr>
          <w:p w14:paraId="73AE187C">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color w:val="000000"/>
                <w:kern w:val="0"/>
                <w:sz w:val="18"/>
                <w:szCs w:val="18"/>
                <w:u w:val="none"/>
                <w:lang w:val="en-US" w:eastAsia="zh-CN" w:bidi="ar"/>
              </w:rPr>
              <w:t>1.2</w:t>
            </w:r>
          </w:p>
        </w:tc>
        <w:tc>
          <w:tcPr>
            <w:tcW w:w="148" w:type="pct"/>
            <w:tcBorders>
              <w:top w:val="nil"/>
              <w:left w:val="nil"/>
              <w:bottom w:val="single" w:color="000000" w:sz="8" w:space="0"/>
              <w:right w:val="single" w:color="000000" w:sz="8" w:space="0"/>
            </w:tcBorders>
            <w:noWrap w:val="0"/>
            <w:vAlign w:val="center"/>
          </w:tcPr>
          <w:p w14:paraId="2D2CB0F5">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套</w:t>
            </w:r>
          </w:p>
        </w:tc>
        <w:tc>
          <w:tcPr>
            <w:tcW w:w="211" w:type="pct"/>
            <w:tcBorders>
              <w:top w:val="nil"/>
              <w:left w:val="nil"/>
              <w:bottom w:val="single" w:color="000000" w:sz="8" w:space="0"/>
              <w:right w:val="single" w:color="000000" w:sz="8" w:space="0"/>
            </w:tcBorders>
            <w:noWrap w:val="0"/>
            <w:vAlign w:val="center"/>
          </w:tcPr>
          <w:p w14:paraId="0E00CE86">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color w:val="000000"/>
                <w:kern w:val="0"/>
                <w:sz w:val="18"/>
                <w:szCs w:val="18"/>
                <w:u w:val="none"/>
                <w:lang w:val="en-US" w:eastAsia="zh-CN" w:bidi="ar"/>
              </w:rPr>
              <w:t>1</w:t>
            </w:r>
          </w:p>
        </w:tc>
        <w:tc>
          <w:tcPr>
            <w:tcW w:w="478" w:type="pct"/>
            <w:tcBorders>
              <w:top w:val="nil"/>
              <w:left w:val="nil"/>
              <w:bottom w:val="single" w:color="000000" w:sz="8" w:space="0"/>
              <w:right w:val="single" w:color="000000" w:sz="8" w:space="0"/>
            </w:tcBorders>
            <w:noWrap w:val="0"/>
            <w:vAlign w:val="center"/>
          </w:tcPr>
          <w:p w14:paraId="561610D0">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20"/>
                <w:szCs w:val="20"/>
                <w:u w:val="none"/>
              </w:rPr>
            </w:pPr>
            <w:r>
              <w:rPr>
                <w:rFonts w:hint="default" w:ascii="Times New Roman" w:hAnsi="Times New Roman" w:eastAsia="宋体" w:cs="Times New Roman"/>
                <w:i w:val="0"/>
                <w:iCs w:val="0"/>
                <w:color w:val="000000"/>
                <w:kern w:val="0"/>
                <w:sz w:val="20"/>
                <w:szCs w:val="20"/>
                <w:u w:val="none"/>
                <w:lang w:val="en-US" w:eastAsia="zh-CN" w:bidi="ar"/>
              </w:rPr>
              <w:t>12000</w:t>
            </w:r>
          </w:p>
        </w:tc>
        <w:tc>
          <w:tcPr>
            <w:tcW w:w="329" w:type="pct"/>
            <w:tcBorders>
              <w:top w:val="nil"/>
              <w:left w:val="nil"/>
              <w:bottom w:val="single" w:color="000000" w:sz="8" w:space="0"/>
              <w:right w:val="single" w:color="000000" w:sz="8" w:space="0"/>
            </w:tcBorders>
            <w:noWrap w:val="0"/>
            <w:vAlign w:val="center"/>
          </w:tcPr>
          <w:p w14:paraId="7EB226D6">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b/>
                <w:bCs/>
                <w:i w:val="0"/>
                <w:iCs w:val="0"/>
                <w:color w:val="000000"/>
                <w:sz w:val="18"/>
                <w:szCs w:val="18"/>
                <w:u w:val="none"/>
              </w:rPr>
            </w:pPr>
            <w:r>
              <w:rPr>
                <w:rFonts w:hint="default" w:ascii="Times New Roman" w:hAnsi="Times New Roman" w:eastAsia="宋体" w:cs="Times New Roman"/>
                <w:b/>
                <w:bCs/>
                <w:i w:val="0"/>
                <w:iCs w:val="0"/>
                <w:color w:val="000000"/>
                <w:kern w:val="0"/>
                <w:sz w:val="18"/>
                <w:szCs w:val="18"/>
                <w:u w:val="none"/>
                <w:lang w:val="en-US" w:eastAsia="zh-CN" w:bidi="ar"/>
              </w:rPr>
              <w:t>0.01%</w:t>
            </w:r>
          </w:p>
        </w:tc>
        <w:tc>
          <w:tcPr>
            <w:tcW w:w="1013" w:type="pct"/>
            <w:tcBorders>
              <w:top w:val="nil"/>
              <w:left w:val="nil"/>
              <w:bottom w:val="single" w:color="000000" w:sz="8" w:space="0"/>
              <w:right w:val="single" w:color="000000" w:sz="8" w:space="0"/>
            </w:tcBorders>
            <w:noWrap w:val="0"/>
            <w:vAlign w:val="center"/>
          </w:tcPr>
          <w:p w14:paraId="4A253413">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color w:val="000000"/>
                <w:kern w:val="0"/>
                <w:sz w:val="18"/>
                <w:szCs w:val="18"/>
                <w:u w:val="none"/>
                <w:lang w:val="en-US" w:eastAsia="zh-CN" w:bidi="ar"/>
              </w:rPr>
              <w:t>JBY1/1-1.6/0.76</w:t>
            </w:r>
            <w:r>
              <w:rPr>
                <w:rFonts w:hint="eastAsia" w:ascii="宋体" w:hAnsi="宋体" w:eastAsia="宋体" w:cs="宋体"/>
                <w:i w:val="0"/>
                <w:iCs w:val="0"/>
                <w:color w:val="000000"/>
                <w:kern w:val="0"/>
                <w:sz w:val="18"/>
                <w:szCs w:val="18"/>
                <w:u w:val="none"/>
                <w:lang w:val="en-US" w:eastAsia="zh-CN" w:bidi="ar"/>
              </w:rPr>
              <w:t>（成套设备）</w:t>
            </w:r>
          </w:p>
        </w:tc>
      </w:tr>
      <w:tr w14:paraId="08EA1A1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71" w:hRule="atLeast"/>
        </w:trPr>
        <w:tc>
          <w:tcPr>
            <w:tcW w:w="273" w:type="pct"/>
            <w:tcBorders>
              <w:top w:val="nil"/>
              <w:left w:val="single" w:color="000000" w:sz="8" w:space="0"/>
              <w:bottom w:val="single" w:color="000000" w:sz="8" w:space="0"/>
              <w:right w:val="single" w:color="000000" w:sz="8" w:space="0"/>
            </w:tcBorders>
            <w:noWrap w:val="0"/>
            <w:vAlign w:val="center"/>
          </w:tcPr>
          <w:p w14:paraId="2BB21D0E">
            <w:pPr>
              <w:spacing w:line="240" w:lineRule="auto"/>
              <w:ind w:firstLine="0" w:firstLineChars="0"/>
              <w:jc w:val="center"/>
              <w:rPr>
                <w:rFonts w:hint="default" w:ascii="Times New Roman" w:hAnsi="Times New Roman" w:eastAsia="宋体" w:cs="Times New Roman"/>
                <w:i w:val="0"/>
                <w:iCs w:val="0"/>
                <w:color w:val="000000"/>
                <w:sz w:val="18"/>
                <w:szCs w:val="18"/>
                <w:u w:val="none"/>
              </w:rPr>
            </w:pPr>
          </w:p>
        </w:tc>
        <w:tc>
          <w:tcPr>
            <w:tcW w:w="675" w:type="pct"/>
            <w:tcBorders>
              <w:top w:val="nil"/>
              <w:left w:val="nil"/>
              <w:bottom w:val="single" w:color="000000" w:sz="8" w:space="0"/>
              <w:right w:val="single" w:color="000000" w:sz="8" w:space="0"/>
            </w:tcBorders>
            <w:noWrap w:val="0"/>
            <w:vAlign w:val="center"/>
          </w:tcPr>
          <w:p w14:paraId="1025A9F5">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一级</w:t>
            </w:r>
            <w:r>
              <w:rPr>
                <w:rFonts w:hint="default" w:ascii="Times New Roman" w:hAnsi="Times New Roman" w:eastAsia="宋体" w:cs="Times New Roman"/>
                <w:i w:val="0"/>
                <w:iCs w:val="0"/>
                <w:color w:val="000000"/>
                <w:kern w:val="0"/>
                <w:sz w:val="18"/>
                <w:szCs w:val="18"/>
                <w:u w:val="none"/>
                <w:lang w:val="en-US" w:eastAsia="zh-CN" w:bidi="ar"/>
              </w:rPr>
              <w:t>RO</w:t>
            </w:r>
            <w:r>
              <w:rPr>
                <w:rFonts w:hint="eastAsia" w:ascii="宋体" w:hAnsi="宋体" w:eastAsia="宋体" w:cs="宋体"/>
                <w:i w:val="0"/>
                <w:iCs w:val="0"/>
                <w:color w:val="000000"/>
                <w:kern w:val="0"/>
                <w:sz w:val="18"/>
                <w:szCs w:val="18"/>
                <w:u w:val="none"/>
                <w:lang w:val="en-US" w:eastAsia="zh-CN" w:bidi="ar"/>
              </w:rPr>
              <w:t>系统</w:t>
            </w:r>
          </w:p>
        </w:tc>
        <w:tc>
          <w:tcPr>
            <w:tcW w:w="398" w:type="pct"/>
            <w:tcBorders>
              <w:top w:val="nil"/>
              <w:left w:val="nil"/>
              <w:bottom w:val="single" w:color="000000" w:sz="8" w:space="0"/>
              <w:right w:val="single" w:color="000000" w:sz="8" w:space="0"/>
            </w:tcBorders>
            <w:noWrap w:val="0"/>
            <w:vAlign w:val="center"/>
          </w:tcPr>
          <w:p w14:paraId="60034D7B">
            <w:pPr>
              <w:spacing w:line="240" w:lineRule="auto"/>
              <w:ind w:firstLine="0" w:firstLineChars="0"/>
              <w:jc w:val="center"/>
              <w:rPr>
                <w:rFonts w:hint="default" w:ascii="Times New Roman" w:hAnsi="Times New Roman" w:eastAsia="宋体" w:cs="Times New Roman"/>
                <w:i w:val="0"/>
                <w:iCs w:val="0"/>
                <w:color w:val="000000"/>
                <w:sz w:val="18"/>
                <w:szCs w:val="18"/>
                <w:u w:val="none"/>
              </w:rPr>
            </w:pPr>
          </w:p>
        </w:tc>
        <w:tc>
          <w:tcPr>
            <w:tcW w:w="398" w:type="pct"/>
            <w:tcBorders>
              <w:top w:val="nil"/>
              <w:left w:val="nil"/>
              <w:bottom w:val="single" w:color="000000" w:sz="8" w:space="0"/>
              <w:right w:val="single" w:color="000000" w:sz="8" w:space="0"/>
            </w:tcBorders>
            <w:noWrap w:val="0"/>
            <w:vAlign w:val="center"/>
          </w:tcPr>
          <w:p w14:paraId="254143E6">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color w:val="000000"/>
                <w:kern w:val="0"/>
                <w:sz w:val="18"/>
                <w:szCs w:val="18"/>
                <w:u w:val="none"/>
                <w:lang w:val="en-US" w:eastAsia="zh-CN" w:bidi="ar"/>
              </w:rPr>
              <w:t>26.5</w:t>
            </w:r>
          </w:p>
        </w:tc>
        <w:tc>
          <w:tcPr>
            <w:tcW w:w="398" w:type="pct"/>
            <w:tcBorders>
              <w:top w:val="nil"/>
              <w:left w:val="nil"/>
              <w:bottom w:val="single" w:color="000000" w:sz="8" w:space="0"/>
              <w:right w:val="single" w:color="000000" w:sz="8" w:space="0"/>
            </w:tcBorders>
            <w:noWrap w:val="0"/>
            <w:vAlign w:val="center"/>
          </w:tcPr>
          <w:p w14:paraId="2F0561FD">
            <w:pPr>
              <w:spacing w:line="240" w:lineRule="auto"/>
              <w:ind w:firstLine="0" w:firstLineChars="0"/>
              <w:jc w:val="center"/>
              <w:rPr>
                <w:rFonts w:hint="default" w:ascii="Times New Roman" w:hAnsi="Times New Roman" w:eastAsia="宋体" w:cs="Times New Roman"/>
                <w:i w:val="0"/>
                <w:iCs w:val="0"/>
                <w:color w:val="000000"/>
                <w:sz w:val="18"/>
                <w:szCs w:val="18"/>
                <w:u w:val="none"/>
              </w:rPr>
            </w:pPr>
          </w:p>
        </w:tc>
        <w:tc>
          <w:tcPr>
            <w:tcW w:w="346" w:type="pct"/>
            <w:tcBorders>
              <w:top w:val="nil"/>
              <w:left w:val="nil"/>
              <w:bottom w:val="single" w:color="000000" w:sz="8" w:space="0"/>
              <w:right w:val="single" w:color="000000" w:sz="8" w:space="0"/>
            </w:tcBorders>
            <w:noWrap w:val="0"/>
            <w:vAlign w:val="center"/>
          </w:tcPr>
          <w:p w14:paraId="7D2E9016">
            <w:pPr>
              <w:spacing w:line="240" w:lineRule="auto"/>
              <w:ind w:firstLine="0" w:firstLineChars="0"/>
              <w:jc w:val="center"/>
              <w:rPr>
                <w:rFonts w:hint="default" w:ascii="Times New Roman" w:hAnsi="Times New Roman" w:eastAsia="宋体" w:cs="Times New Roman"/>
                <w:i w:val="0"/>
                <w:iCs w:val="0"/>
                <w:color w:val="000000"/>
                <w:sz w:val="18"/>
                <w:szCs w:val="18"/>
                <w:u w:val="none"/>
              </w:rPr>
            </w:pPr>
          </w:p>
        </w:tc>
        <w:tc>
          <w:tcPr>
            <w:tcW w:w="326" w:type="pct"/>
            <w:tcBorders>
              <w:top w:val="nil"/>
              <w:left w:val="nil"/>
              <w:bottom w:val="single" w:color="000000" w:sz="8" w:space="0"/>
              <w:right w:val="single" w:color="000000" w:sz="8" w:space="0"/>
            </w:tcBorders>
            <w:noWrap w:val="0"/>
            <w:vAlign w:val="center"/>
          </w:tcPr>
          <w:p w14:paraId="1A096A50">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color w:val="000000"/>
                <w:kern w:val="0"/>
                <w:sz w:val="18"/>
                <w:szCs w:val="18"/>
                <w:u w:val="none"/>
                <w:lang w:val="en-US" w:eastAsia="zh-CN" w:bidi="ar"/>
              </w:rPr>
              <w:t>26.5</w:t>
            </w:r>
          </w:p>
        </w:tc>
        <w:tc>
          <w:tcPr>
            <w:tcW w:w="148" w:type="pct"/>
            <w:tcBorders>
              <w:top w:val="nil"/>
              <w:left w:val="nil"/>
              <w:bottom w:val="single" w:color="000000" w:sz="8" w:space="0"/>
              <w:right w:val="single" w:color="000000" w:sz="8" w:space="0"/>
            </w:tcBorders>
            <w:noWrap w:val="0"/>
            <w:vAlign w:val="center"/>
          </w:tcPr>
          <w:p w14:paraId="4295F324">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套</w:t>
            </w:r>
          </w:p>
        </w:tc>
        <w:tc>
          <w:tcPr>
            <w:tcW w:w="211" w:type="pct"/>
            <w:tcBorders>
              <w:top w:val="nil"/>
              <w:left w:val="nil"/>
              <w:bottom w:val="single" w:color="000000" w:sz="8" w:space="0"/>
              <w:right w:val="single" w:color="000000" w:sz="8" w:space="0"/>
            </w:tcBorders>
            <w:noWrap w:val="0"/>
            <w:vAlign w:val="center"/>
          </w:tcPr>
          <w:p w14:paraId="406981D5">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color w:val="000000"/>
                <w:kern w:val="0"/>
                <w:sz w:val="18"/>
                <w:szCs w:val="18"/>
                <w:u w:val="none"/>
                <w:lang w:val="en-US" w:eastAsia="zh-CN" w:bidi="ar"/>
              </w:rPr>
              <w:t>1</w:t>
            </w:r>
          </w:p>
        </w:tc>
        <w:tc>
          <w:tcPr>
            <w:tcW w:w="478" w:type="pct"/>
            <w:tcBorders>
              <w:top w:val="nil"/>
              <w:left w:val="nil"/>
              <w:bottom w:val="single" w:color="000000" w:sz="8" w:space="0"/>
              <w:right w:val="single" w:color="000000" w:sz="8" w:space="0"/>
            </w:tcBorders>
            <w:noWrap w:val="0"/>
            <w:vAlign w:val="center"/>
          </w:tcPr>
          <w:p w14:paraId="5408B1D7">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20"/>
                <w:szCs w:val="20"/>
                <w:u w:val="none"/>
              </w:rPr>
            </w:pPr>
            <w:r>
              <w:rPr>
                <w:rFonts w:hint="default" w:ascii="Times New Roman" w:hAnsi="Times New Roman" w:eastAsia="宋体" w:cs="Times New Roman"/>
                <w:i w:val="0"/>
                <w:iCs w:val="0"/>
                <w:color w:val="000000"/>
                <w:kern w:val="0"/>
                <w:sz w:val="20"/>
                <w:szCs w:val="20"/>
                <w:u w:val="none"/>
                <w:lang w:val="en-US" w:eastAsia="zh-CN" w:bidi="ar"/>
              </w:rPr>
              <w:t>265000</w:t>
            </w:r>
          </w:p>
        </w:tc>
        <w:tc>
          <w:tcPr>
            <w:tcW w:w="329" w:type="pct"/>
            <w:tcBorders>
              <w:top w:val="nil"/>
              <w:left w:val="nil"/>
              <w:bottom w:val="single" w:color="000000" w:sz="8" w:space="0"/>
              <w:right w:val="single" w:color="000000" w:sz="8" w:space="0"/>
            </w:tcBorders>
            <w:noWrap w:val="0"/>
            <w:vAlign w:val="center"/>
          </w:tcPr>
          <w:p w14:paraId="7E2F0CD1">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b/>
                <w:bCs/>
                <w:i w:val="0"/>
                <w:iCs w:val="0"/>
                <w:color w:val="000000"/>
                <w:sz w:val="18"/>
                <w:szCs w:val="18"/>
                <w:u w:val="none"/>
              </w:rPr>
            </w:pPr>
            <w:r>
              <w:rPr>
                <w:rFonts w:hint="default" w:ascii="Times New Roman" w:hAnsi="Times New Roman" w:eastAsia="宋体" w:cs="Times New Roman"/>
                <w:b/>
                <w:bCs/>
                <w:i w:val="0"/>
                <w:iCs w:val="0"/>
                <w:color w:val="000000"/>
                <w:kern w:val="0"/>
                <w:sz w:val="18"/>
                <w:szCs w:val="18"/>
                <w:u w:val="none"/>
                <w:lang w:val="en-US" w:eastAsia="zh-CN" w:bidi="ar"/>
              </w:rPr>
              <w:t>0.26%</w:t>
            </w:r>
          </w:p>
        </w:tc>
        <w:tc>
          <w:tcPr>
            <w:tcW w:w="1013" w:type="pct"/>
            <w:tcBorders>
              <w:top w:val="nil"/>
              <w:left w:val="nil"/>
              <w:bottom w:val="single" w:color="000000" w:sz="8" w:space="0"/>
              <w:right w:val="single" w:color="000000" w:sz="8" w:space="0"/>
            </w:tcBorders>
            <w:noWrap w:val="0"/>
            <w:vAlign w:val="center"/>
          </w:tcPr>
          <w:p w14:paraId="42581ADA">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color w:val="000000"/>
                <w:kern w:val="0"/>
                <w:sz w:val="18"/>
                <w:szCs w:val="18"/>
                <w:u w:val="none"/>
                <w:lang w:val="en-US" w:eastAsia="zh-CN" w:bidi="ar"/>
              </w:rPr>
              <w:t>THRO/50/1</w:t>
            </w:r>
            <w:r>
              <w:rPr>
                <w:rFonts w:hint="eastAsia" w:ascii="宋体" w:hAnsi="宋体" w:eastAsia="宋体" w:cs="宋体"/>
                <w:i w:val="0"/>
                <w:iCs w:val="0"/>
                <w:color w:val="000000"/>
                <w:kern w:val="0"/>
                <w:sz w:val="18"/>
                <w:szCs w:val="18"/>
                <w:u w:val="none"/>
                <w:lang w:val="en-US" w:eastAsia="zh-CN" w:bidi="ar"/>
              </w:rPr>
              <w:t>，系统回收率</w:t>
            </w:r>
            <w:r>
              <w:rPr>
                <w:rFonts w:hint="default" w:ascii="Times New Roman" w:hAnsi="Times New Roman" w:eastAsia="宋体" w:cs="Times New Roman"/>
                <w:i w:val="0"/>
                <w:iCs w:val="0"/>
                <w:color w:val="000000"/>
                <w:kern w:val="0"/>
                <w:sz w:val="18"/>
                <w:szCs w:val="18"/>
                <w:u w:val="none"/>
                <w:lang w:val="en-US" w:eastAsia="zh-CN" w:bidi="ar"/>
              </w:rPr>
              <w:t>75%</w:t>
            </w:r>
            <w:r>
              <w:rPr>
                <w:rFonts w:hint="eastAsia" w:ascii="宋体" w:hAnsi="宋体" w:eastAsia="宋体" w:cs="宋体"/>
                <w:i w:val="0"/>
                <w:iCs w:val="0"/>
                <w:color w:val="000000"/>
                <w:kern w:val="0"/>
                <w:sz w:val="18"/>
                <w:szCs w:val="18"/>
                <w:u w:val="none"/>
                <w:lang w:val="en-US" w:eastAsia="zh-CN" w:bidi="ar"/>
              </w:rPr>
              <w:t>（成套设备）</w:t>
            </w:r>
          </w:p>
        </w:tc>
      </w:tr>
      <w:tr w14:paraId="63476C1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3" w:hRule="atLeast"/>
        </w:trPr>
        <w:tc>
          <w:tcPr>
            <w:tcW w:w="273" w:type="pct"/>
            <w:tcBorders>
              <w:top w:val="nil"/>
              <w:left w:val="single" w:color="000000" w:sz="8" w:space="0"/>
              <w:bottom w:val="single" w:color="000000" w:sz="8" w:space="0"/>
              <w:right w:val="single" w:color="000000" w:sz="8" w:space="0"/>
            </w:tcBorders>
            <w:noWrap w:val="0"/>
            <w:vAlign w:val="center"/>
          </w:tcPr>
          <w:p w14:paraId="455AAD9D">
            <w:pPr>
              <w:spacing w:line="240" w:lineRule="auto"/>
              <w:ind w:firstLine="0" w:firstLineChars="0"/>
              <w:jc w:val="center"/>
              <w:rPr>
                <w:rFonts w:hint="default" w:ascii="Times New Roman" w:hAnsi="Times New Roman" w:eastAsia="宋体" w:cs="Times New Roman"/>
                <w:i w:val="0"/>
                <w:iCs w:val="0"/>
                <w:color w:val="000000"/>
                <w:sz w:val="18"/>
                <w:szCs w:val="18"/>
                <w:u w:val="none"/>
              </w:rPr>
            </w:pPr>
          </w:p>
        </w:tc>
        <w:tc>
          <w:tcPr>
            <w:tcW w:w="675" w:type="pct"/>
            <w:tcBorders>
              <w:top w:val="nil"/>
              <w:left w:val="nil"/>
              <w:bottom w:val="single" w:color="000000" w:sz="8" w:space="0"/>
              <w:right w:val="single" w:color="000000" w:sz="8" w:space="0"/>
            </w:tcBorders>
            <w:noWrap w:val="0"/>
            <w:vAlign w:val="center"/>
          </w:tcPr>
          <w:p w14:paraId="7C006612">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一级</w:t>
            </w:r>
            <w:r>
              <w:rPr>
                <w:rFonts w:hint="default" w:ascii="Times New Roman" w:hAnsi="Times New Roman" w:eastAsia="宋体" w:cs="Times New Roman"/>
                <w:i w:val="0"/>
                <w:iCs w:val="0"/>
                <w:color w:val="000000"/>
                <w:kern w:val="0"/>
                <w:sz w:val="18"/>
                <w:szCs w:val="18"/>
                <w:u w:val="none"/>
                <w:lang w:val="en-US" w:eastAsia="zh-CN" w:bidi="ar"/>
              </w:rPr>
              <w:t>RO</w:t>
            </w:r>
            <w:r>
              <w:rPr>
                <w:rFonts w:hint="eastAsia" w:ascii="宋体" w:hAnsi="宋体" w:eastAsia="宋体" w:cs="宋体"/>
                <w:i w:val="0"/>
                <w:iCs w:val="0"/>
                <w:color w:val="000000"/>
                <w:kern w:val="0"/>
                <w:sz w:val="18"/>
                <w:szCs w:val="18"/>
                <w:u w:val="none"/>
                <w:lang w:val="en-US" w:eastAsia="zh-CN" w:bidi="ar"/>
              </w:rPr>
              <w:t>清液罐</w:t>
            </w:r>
          </w:p>
        </w:tc>
        <w:tc>
          <w:tcPr>
            <w:tcW w:w="398" w:type="pct"/>
            <w:tcBorders>
              <w:top w:val="nil"/>
              <w:left w:val="nil"/>
              <w:bottom w:val="single" w:color="000000" w:sz="8" w:space="0"/>
              <w:right w:val="single" w:color="000000" w:sz="8" w:space="0"/>
            </w:tcBorders>
            <w:noWrap w:val="0"/>
            <w:vAlign w:val="center"/>
          </w:tcPr>
          <w:p w14:paraId="40997EE4">
            <w:pPr>
              <w:spacing w:line="240" w:lineRule="auto"/>
              <w:ind w:firstLine="0" w:firstLineChars="0"/>
              <w:jc w:val="center"/>
              <w:rPr>
                <w:rFonts w:hint="default" w:ascii="Times New Roman" w:hAnsi="Times New Roman" w:eastAsia="宋体" w:cs="Times New Roman"/>
                <w:i w:val="0"/>
                <w:iCs w:val="0"/>
                <w:color w:val="000000"/>
                <w:sz w:val="18"/>
                <w:szCs w:val="18"/>
                <w:u w:val="none"/>
              </w:rPr>
            </w:pPr>
          </w:p>
        </w:tc>
        <w:tc>
          <w:tcPr>
            <w:tcW w:w="398" w:type="pct"/>
            <w:tcBorders>
              <w:top w:val="nil"/>
              <w:left w:val="nil"/>
              <w:bottom w:val="single" w:color="000000" w:sz="8" w:space="0"/>
              <w:right w:val="single" w:color="000000" w:sz="8" w:space="0"/>
            </w:tcBorders>
            <w:noWrap w:val="0"/>
            <w:vAlign w:val="center"/>
          </w:tcPr>
          <w:p w14:paraId="1933F4F7">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color w:val="000000"/>
                <w:kern w:val="0"/>
                <w:sz w:val="18"/>
                <w:szCs w:val="18"/>
                <w:u w:val="none"/>
                <w:lang w:val="en-US" w:eastAsia="zh-CN" w:bidi="ar"/>
              </w:rPr>
              <w:t>1.22</w:t>
            </w:r>
          </w:p>
        </w:tc>
        <w:tc>
          <w:tcPr>
            <w:tcW w:w="398" w:type="pct"/>
            <w:tcBorders>
              <w:top w:val="nil"/>
              <w:left w:val="nil"/>
              <w:bottom w:val="single" w:color="000000" w:sz="8" w:space="0"/>
              <w:right w:val="single" w:color="000000" w:sz="8" w:space="0"/>
            </w:tcBorders>
            <w:noWrap w:val="0"/>
            <w:vAlign w:val="center"/>
          </w:tcPr>
          <w:p w14:paraId="62C9D269">
            <w:pPr>
              <w:spacing w:line="240" w:lineRule="auto"/>
              <w:ind w:firstLine="0" w:firstLineChars="0"/>
              <w:jc w:val="center"/>
              <w:rPr>
                <w:rFonts w:hint="default" w:ascii="Times New Roman" w:hAnsi="Times New Roman" w:eastAsia="宋体" w:cs="Times New Roman"/>
                <w:i w:val="0"/>
                <w:iCs w:val="0"/>
                <w:color w:val="000000"/>
                <w:sz w:val="18"/>
                <w:szCs w:val="18"/>
                <w:u w:val="none"/>
              </w:rPr>
            </w:pPr>
          </w:p>
        </w:tc>
        <w:tc>
          <w:tcPr>
            <w:tcW w:w="346" w:type="pct"/>
            <w:tcBorders>
              <w:top w:val="nil"/>
              <w:left w:val="nil"/>
              <w:bottom w:val="single" w:color="000000" w:sz="8" w:space="0"/>
              <w:right w:val="single" w:color="000000" w:sz="8" w:space="0"/>
            </w:tcBorders>
            <w:noWrap w:val="0"/>
            <w:vAlign w:val="center"/>
          </w:tcPr>
          <w:p w14:paraId="106E3DC5">
            <w:pPr>
              <w:spacing w:line="240" w:lineRule="auto"/>
              <w:ind w:firstLine="0" w:firstLineChars="0"/>
              <w:jc w:val="center"/>
              <w:rPr>
                <w:rFonts w:hint="default" w:ascii="Times New Roman" w:hAnsi="Times New Roman" w:eastAsia="宋体" w:cs="Times New Roman"/>
                <w:i w:val="0"/>
                <w:iCs w:val="0"/>
                <w:color w:val="000000"/>
                <w:sz w:val="18"/>
                <w:szCs w:val="18"/>
                <w:u w:val="none"/>
              </w:rPr>
            </w:pPr>
          </w:p>
        </w:tc>
        <w:tc>
          <w:tcPr>
            <w:tcW w:w="326" w:type="pct"/>
            <w:tcBorders>
              <w:top w:val="nil"/>
              <w:left w:val="nil"/>
              <w:bottom w:val="single" w:color="000000" w:sz="8" w:space="0"/>
              <w:right w:val="single" w:color="000000" w:sz="8" w:space="0"/>
            </w:tcBorders>
            <w:noWrap w:val="0"/>
            <w:vAlign w:val="center"/>
          </w:tcPr>
          <w:p w14:paraId="373B4809">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color w:val="000000"/>
                <w:kern w:val="0"/>
                <w:sz w:val="18"/>
                <w:szCs w:val="18"/>
                <w:u w:val="none"/>
                <w:lang w:val="en-US" w:eastAsia="zh-CN" w:bidi="ar"/>
              </w:rPr>
              <w:t>1.22</w:t>
            </w:r>
          </w:p>
        </w:tc>
        <w:tc>
          <w:tcPr>
            <w:tcW w:w="148" w:type="pct"/>
            <w:tcBorders>
              <w:top w:val="nil"/>
              <w:left w:val="nil"/>
              <w:bottom w:val="single" w:color="000000" w:sz="8" w:space="0"/>
              <w:right w:val="single" w:color="000000" w:sz="8" w:space="0"/>
            </w:tcBorders>
            <w:noWrap w:val="0"/>
            <w:vAlign w:val="center"/>
          </w:tcPr>
          <w:p w14:paraId="57246BFB">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套</w:t>
            </w:r>
          </w:p>
        </w:tc>
        <w:tc>
          <w:tcPr>
            <w:tcW w:w="211" w:type="pct"/>
            <w:tcBorders>
              <w:top w:val="nil"/>
              <w:left w:val="nil"/>
              <w:bottom w:val="single" w:color="000000" w:sz="8" w:space="0"/>
              <w:right w:val="single" w:color="000000" w:sz="8" w:space="0"/>
            </w:tcBorders>
            <w:noWrap w:val="0"/>
            <w:vAlign w:val="center"/>
          </w:tcPr>
          <w:p w14:paraId="0871495A">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color w:val="000000"/>
                <w:kern w:val="0"/>
                <w:sz w:val="18"/>
                <w:szCs w:val="18"/>
                <w:u w:val="none"/>
                <w:lang w:val="en-US" w:eastAsia="zh-CN" w:bidi="ar"/>
              </w:rPr>
              <w:t>1</w:t>
            </w:r>
          </w:p>
        </w:tc>
        <w:tc>
          <w:tcPr>
            <w:tcW w:w="478" w:type="pct"/>
            <w:tcBorders>
              <w:top w:val="nil"/>
              <w:left w:val="nil"/>
              <w:bottom w:val="single" w:color="000000" w:sz="8" w:space="0"/>
              <w:right w:val="single" w:color="000000" w:sz="8" w:space="0"/>
            </w:tcBorders>
            <w:noWrap w:val="0"/>
            <w:vAlign w:val="center"/>
          </w:tcPr>
          <w:p w14:paraId="564B25BF">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20"/>
                <w:szCs w:val="20"/>
                <w:u w:val="none"/>
              </w:rPr>
            </w:pPr>
            <w:r>
              <w:rPr>
                <w:rFonts w:hint="default" w:ascii="Times New Roman" w:hAnsi="Times New Roman" w:eastAsia="宋体" w:cs="Times New Roman"/>
                <w:i w:val="0"/>
                <w:iCs w:val="0"/>
                <w:color w:val="000000"/>
                <w:kern w:val="0"/>
                <w:sz w:val="20"/>
                <w:szCs w:val="20"/>
                <w:u w:val="none"/>
                <w:lang w:val="en-US" w:eastAsia="zh-CN" w:bidi="ar"/>
              </w:rPr>
              <w:t>12200</w:t>
            </w:r>
          </w:p>
        </w:tc>
        <w:tc>
          <w:tcPr>
            <w:tcW w:w="329" w:type="pct"/>
            <w:tcBorders>
              <w:top w:val="nil"/>
              <w:left w:val="nil"/>
              <w:bottom w:val="single" w:color="000000" w:sz="8" w:space="0"/>
              <w:right w:val="single" w:color="000000" w:sz="8" w:space="0"/>
            </w:tcBorders>
            <w:noWrap w:val="0"/>
            <w:vAlign w:val="center"/>
          </w:tcPr>
          <w:p w14:paraId="5665BB11">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b/>
                <w:bCs/>
                <w:i w:val="0"/>
                <w:iCs w:val="0"/>
                <w:color w:val="000000"/>
                <w:sz w:val="18"/>
                <w:szCs w:val="18"/>
                <w:u w:val="none"/>
              </w:rPr>
            </w:pPr>
            <w:r>
              <w:rPr>
                <w:rFonts w:hint="default" w:ascii="Times New Roman" w:hAnsi="Times New Roman" w:eastAsia="宋体" w:cs="Times New Roman"/>
                <w:b/>
                <w:bCs/>
                <w:i w:val="0"/>
                <w:iCs w:val="0"/>
                <w:color w:val="000000"/>
                <w:kern w:val="0"/>
                <w:sz w:val="18"/>
                <w:szCs w:val="18"/>
                <w:u w:val="none"/>
                <w:lang w:val="en-US" w:eastAsia="zh-CN" w:bidi="ar"/>
              </w:rPr>
              <w:t>0.01%</w:t>
            </w:r>
          </w:p>
        </w:tc>
        <w:tc>
          <w:tcPr>
            <w:tcW w:w="1013" w:type="pct"/>
            <w:tcBorders>
              <w:top w:val="nil"/>
              <w:left w:val="nil"/>
              <w:bottom w:val="single" w:color="000000" w:sz="8" w:space="0"/>
              <w:right w:val="single" w:color="000000" w:sz="8" w:space="0"/>
            </w:tcBorders>
            <w:noWrap w:val="0"/>
            <w:vAlign w:val="center"/>
          </w:tcPr>
          <w:p w14:paraId="75D4A91C">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color w:val="000000"/>
                <w:kern w:val="0"/>
                <w:sz w:val="18"/>
                <w:szCs w:val="18"/>
                <w:u w:val="none"/>
                <w:lang w:val="en-US" w:eastAsia="zh-CN" w:bidi="ar"/>
              </w:rPr>
              <w:t>V=5m</w:t>
            </w:r>
            <w:r>
              <w:rPr>
                <w:rFonts w:hint="eastAsia" w:ascii="宋体" w:hAnsi="宋体" w:eastAsia="宋体" w:cs="宋体"/>
                <w:i w:val="0"/>
                <w:iCs w:val="0"/>
                <w:color w:val="000000"/>
                <w:kern w:val="0"/>
                <w:sz w:val="18"/>
                <w:szCs w:val="18"/>
                <w:u w:val="none"/>
                <w:lang w:val="en-US" w:eastAsia="zh-CN" w:bidi="ar"/>
              </w:rPr>
              <w:t>³</w:t>
            </w:r>
          </w:p>
        </w:tc>
      </w:tr>
      <w:tr w14:paraId="13E29FC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3" w:hRule="atLeast"/>
        </w:trPr>
        <w:tc>
          <w:tcPr>
            <w:tcW w:w="273" w:type="pct"/>
            <w:tcBorders>
              <w:top w:val="nil"/>
              <w:left w:val="single" w:color="000000" w:sz="8" w:space="0"/>
              <w:bottom w:val="single" w:color="000000" w:sz="8" w:space="0"/>
              <w:right w:val="single" w:color="000000" w:sz="8" w:space="0"/>
            </w:tcBorders>
            <w:noWrap w:val="0"/>
            <w:vAlign w:val="center"/>
          </w:tcPr>
          <w:p w14:paraId="7CA7F6D1">
            <w:pPr>
              <w:spacing w:line="240" w:lineRule="auto"/>
              <w:ind w:firstLine="0" w:firstLineChars="0"/>
              <w:jc w:val="center"/>
              <w:rPr>
                <w:rFonts w:hint="default" w:ascii="Times New Roman" w:hAnsi="Times New Roman" w:eastAsia="宋体" w:cs="Times New Roman"/>
                <w:i w:val="0"/>
                <w:iCs w:val="0"/>
                <w:color w:val="000000"/>
                <w:sz w:val="18"/>
                <w:szCs w:val="18"/>
                <w:u w:val="none"/>
              </w:rPr>
            </w:pPr>
          </w:p>
        </w:tc>
        <w:tc>
          <w:tcPr>
            <w:tcW w:w="675" w:type="pct"/>
            <w:tcBorders>
              <w:top w:val="nil"/>
              <w:left w:val="nil"/>
              <w:bottom w:val="single" w:color="000000" w:sz="8" w:space="0"/>
              <w:right w:val="single" w:color="000000" w:sz="8" w:space="0"/>
            </w:tcBorders>
            <w:noWrap w:val="0"/>
            <w:vAlign w:val="center"/>
          </w:tcPr>
          <w:p w14:paraId="0981CD0B">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一级</w:t>
            </w:r>
            <w:r>
              <w:rPr>
                <w:rFonts w:hint="default" w:ascii="Times New Roman" w:hAnsi="Times New Roman" w:eastAsia="宋体" w:cs="Times New Roman"/>
                <w:i w:val="0"/>
                <w:iCs w:val="0"/>
                <w:color w:val="000000"/>
                <w:kern w:val="0"/>
                <w:sz w:val="18"/>
                <w:szCs w:val="18"/>
                <w:u w:val="none"/>
                <w:lang w:val="en-US" w:eastAsia="zh-CN" w:bidi="ar"/>
              </w:rPr>
              <w:t>RO</w:t>
            </w:r>
            <w:r>
              <w:rPr>
                <w:rFonts w:hint="eastAsia" w:ascii="宋体" w:hAnsi="宋体" w:eastAsia="宋体" w:cs="宋体"/>
                <w:i w:val="0"/>
                <w:iCs w:val="0"/>
                <w:color w:val="000000"/>
                <w:kern w:val="0"/>
                <w:sz w:val="18"/>
                <w:szCs w:val="18"/>
                <w:u w:val="none"/>
                <w:lang w:val="en-US" w:eastAsia="zh-CN" w:bidi="ar"/>
              </w:rPr>
              <w:t>浓液罐</w:t>
            </w:r>
          </w:p>
        </w:tc>
        <w:tc>
          <w:tcPr>
            <w:tcW w:w="398" w:type="pct"/>
            <w:tcBorders>
              <w:top w:val="nil"/>
              <w:left w:val="nil"/>
              <w:bottom w:val="single" w:color="000000" w:sz="8" w:space="0"/>
              <w:right w:val="single" w:color="000000" w:sz="8" w:space="0"/>
            </w:tcBorders>
            <w:noWrap w:val="0"/>
            <w:vAlign w:val="center"/>
          </w:tcPr>
          <w:p w14:paraId="0CFF37BD">
            <w:pPr>
              <w:spacing w:line="240" w:lineRule="auto"/>
              <w:ind w:firstLine="0" w:firstLineChars="0"/>
              <w:jc w:val="center"/>
              <w:rPr>
                <w:rFonts w:hint="default" w:ascii="Times New Roman" w:hAnsi="Times New Roman" w:eastAsia="宋体" w:cs="Times New Roman"/>
                <w:i w:val="0"/>
                <w:iCs w:val="0"/>
                <w:color w:val="000000"/>
                <w:sz w:val="18"/>
                <w:szCs w:val="18"/>
                <w:u w:val="none"/>
              </w:rPr>
            </w:pPr>
          </w:p>
        </w:tc>
        <w:tc>
          <w:tcPr>
            <w:tcW w:w="398" w:type="pct"/>
            <w:tcBorders>
              <w:top w:val="nil"/>
              <w:left w:val="nil"/>
              <w:bottom w:val="single" w:color="000000" w:sz="8" w:space="0"/>
              <w:right w:val="single" w:color="000000" w:sz="8" w:space="0"/>
            </w:tcBorders>
            <w:noWrap w:val="0"/>
            <w:vAlign w:val="center"/>
          </w:tcPr>
          <w:p w14:paraId="3FC8AA47">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color w:val="000000"/>
                <w:kern w:val="0"/>
                <w:sz w:val="18"/>
                <w:szCs w:val="18"/>
                <w:u w:val="none"/>
                <w:lang w:val="en-US" w:eastAsia="zh-CN" w:bidi="ar"/>
              </w:rPr>
              <w:t>0.66</w:t>
            </w:r>
          </w:p>
        </w:tc>
        <w:tc>
          <w:tcPr>
            <w:tcW w:w="398" w:type="pct"/>
            <w:tcBorders>
              <w:top w:val="nil"/>
              <w:left w:val="nil"/>
              <w:bottom w:val="single" w:color="000000" w:sz="8" w:space="0"/>
              <w:right w:val="single" w:color="000000" w:sz="8" w:space="0"/>
            </w:tcBorders>
            <w:noWrap w:val="0"/>
            <w:vAlign w:val="center"/>
          </w:tcPr>
          <w:p w14:paraId="17A087A1">
            <w:pPr>
              <w:spacing w:line="240" w:lineRule="auto"/>
              <w:ind w:firstLine="0" w:firstLineChars="0"/>
              <w:jc w:val="center"/>
              <w:rPr>
                <w:rFonts w:hint="default" w:ascii="Times New Roman" w:hAnsi="Times New Roman" w:eastAsia="宋体" w:cs="Times New Roman"/>
                <w:i w:val="0"/>
                <w:iCs w:val="0"/>
                <w:color w:val="000000"/>
                <w:sz w:val="18"/>
                <w:szCs w:val="18"/>
                <w:u w:val="none"/>
              </w:rPr>
            </w:pPr>
          </w:p>
        </w:tc>
        <w:tc>
          <w:tcPr>
            <w:tcW w:w="346" w:type="pct"/>
            <w:tcBorders>
              <w:top w:val="nil"/>
              <w:left w:val="nil"/>
              <w:bottom w:val="single" w:color="000000" w:sz="8" w:space="0"/>
              <w:right w:val="single" w:color="000000" w:sz="8" w:space="0"/>
            </w:tcBorders>
            <w:noWrap w:val="0"/>
            <w:vAlign w:val="center"/>
          </w:tcPr>
          <w:p w14:paraId="06675C0C">
            <w:pPr>
              <w:spacing w:line="240" w:lineRule="auto"/>
              <w:ind w:firstLine="0" w:firstLineChars="0"/>
              <w:jc w:val="center"/>
              <w:rPr>
                <w:rFonts w:hint="default" w:ascii="Times New Roman" w:hAnsi="Times New Roman" w:eastAsia="宋体" w:cs="Times New Roman"/>
                <w:i w:val="0"/>
                <w:iCs w:val="0"/>
                <w:color w:val="000000"/>
                <w:sz w:val="18"/>
                <w:szCs w:val="18"/>
                <w:u w:val="none"/>
              </w:rPr>
            </w:pPr>
          </w:p>
        </w:tc>
        <w:tc>
          <w:tcPr>
            <w:tcW w:w="326" w:type="pct"/>
            <w:tcBorders>
              <w:top w:val="nil"/>
              <w:left w:val="nil"/>
              <w:bottom w:val="single" w:color="000000" w:sz="8" w:space="0"/>
              <w:right w:val="single" w:color="000000" w:sz="8" w:space="0"/>
            </w:tcBorders>
            <w:noWrap w:val="0"/>
            <w:vAlign w:val="center"/>
          </w:tcPr>
          <w:p w14:paraId="5F12F7DF">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color w:val="000000"/>
                <w:kern w:val="0"/>
                <w:sz w:val="18"/>
                <w:szCs w:val="18"/>
                <w:u w:val="none"/>
                <w:lang w:val="en-US" w:eastAsia="zh-CN" w:bidi="ar"/>
              </w:rPr>
              <w:t>0.66</w:t>
            </w:r>
          </w:p>
        </w:tc>
        <w:tc>
          <w:tcPr>
            <w:tcW w:w="148" w:type="pct"/>
            <w:tcBorders>
              <w:top w:val="nil"/>
              <w:left w:val="nil"/>
              <w:bottom w:val="single" w:color="000000" w:sz="8" w:space="0"/>
              <w:right w:val="single" w:color="000000" w:sz="8" w:space="0"/>
            </w:tcBorders>
            <w:noWrap w:val="0"/>
            <w:vAlign w:val="center"/>
          </w:tcPr>
          <w:p w14:paraId="7934FC5F">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套</w:t>
            </w:r>
          </w:p>
        </w:tc>
        <w:tc>
          <w:tcPr>
            <w:tcW w:w="211" w:type="pct"/>
            <w:tcBorders>
              <w:top w:val="nil"/>
              <w:left w:val="nil"/>
              <w:bottom w:val="single" w:color="000000" w:sz="8" w:space="0"/>
              <w:right w:val="single" w:color="000000" w:sz="8" w:space="0"/>
            </w:tcBorders>
            <w:noWrap w:val="0"/>
            <w:vAlign w:val="center"/>
          </w:tcPr>
          <w:p w14:paraId="446CB05B">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color w:val="000000"/>
                <w:kern w:val="0"/>
                <w:sz w:val="18"/>
                <w:szCs w:val="18"/>
                <w:u w:val="none"/>
                <w:lang w:val="en-US" w:eastAsia="zh-CN" w:bidi="ar"/>
              </w:rPr>
              <w:t>1</w:t>
            </w:r>
          </w:p>
        </w:tc>
        <w:tc>
          <w:tcPr>
            <w:tcW w:w="478" w:type="pct"/>
            <w:tcBorders>
              <w:top w:val="nil"/>
              <w:left w:val="nil"/>
              <w:bottom w:val="single" w:color="000000" w:sz="8" w:space="0"/>
              <w:right w:val="single" w:color="000000" w:sz="8" w:space="0"/>
            </w:tcBorders>
            <w:noWrap w:val="0"/>
            <w:vAlign w:val="center"/>
          </w:tcPr>
          <w:p w14:paraId="099A8121">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20"/>
                <w:szCs w:val="20"/>
                <w:u w:val="none"/>
              </w:rPr>
            </w:pPr>
            <w:r>
              <w:rPr>
                <w:rFonts w:hint="default" w:ascii="Times New Roman" w:hAnsi="Times New Roman" w:eastAsia="宋体" w:cs="Times New Roman"/>
                <w:i w:val="0"/>
                <w:iCs w:val="0"/>
                <w:color w:val="000000"/>
                <w:kern w:val="0"/>
                <w:sz w:val="20"/>
                <w:szCs w:val="20"/>
                <w:u w:val="none"/>
                <w:lang w:val="en-US" w:eastAsia="zh-CN" w:bidi="ar"/>
              </w:rPr>
              <w:t>6600</w:t>
            </w:r>
          </w:p>
        </w:tc>
        <w:tc>
          <w:tcPr>
            <w:tcW w:w="329" w:type="pct"/>
            <w:tcBorders>
              <w:top w:val="nil"/>
              <w:left w:val="nil"/>
              <w:bottom w:val="single" w:color="000000" w:sz="8" w:space="0"/>
              <w:right w:val="single" w:color="000000" w:sz="8" w:space="0"/>
            </w:tcBorders>
            <w:noWrap w:val="0"/>
            <w:vAlign w:val="center"/>
          </w:tcPr>
          <w:p w14:paraId="02B76581">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b/>
                <w:bCs/>
                <w:i w:val="0"/>
                <w:iCs w:val="0"/>
                <w:color w:val="000000"/>
                <w:sz w:val="18"/>
                <w:szCs w:val="18"/>
                <w:u w:val="none"/>
              </w:rPr>
            </w:pPr>
            <w:r>
              <w:rPr>
                <w:rFonts w:hint="default" w:ascii="Times New Roman" w:hAnsi="Times New Roman" w:eastAsia="宋体" w:cs="Times New Roman"/>
                <w:b/>
                <w:bCs/>
                <w:i w:val="0"/>
                <w:iCs w:val="0"/>
                <w:color w:val="000000"/>
                <w:kern w:val="0"/>
                <w:sz w:val="18"/>
                <w:szCs w:val="18"/>
                <w:u w:val="none"/>
                <w:lang w:val="en-US" w:eastAsia="zh-CN" w:bidi="ar"/>
              </w:rPr>
              <w:t>0.01%</w:t>
            </w:r>
          </w:p>
        </w:tc>
        <w:tc>
          <w:tcPr>
            <w:tcW w:w="1013" w:type="pct"/>
            <w:tcBorders>
              <w:top w:val="nil"/>
              <w:left w:val="nil"/>
              <w:bottom w:val="single" w:color="000000" w:sz="8" w:space="0"/>
              <w:right w:val="single" w:color="000000" w:sz="8" w:space="0"/>
            </w:tcBorders>
            <w:noWrap w:val="0"/>
            <w:vAlign w:val="center"/>
          </w:tcPr>
          <w:p w14:paraId="471BAA6D">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color w:val="000000"/>
                <w:kern w:val="0"/>
                <w:sz w:val="18"/>
                <w:szCs w:val="18"/>
                <w:u w:val="none"/>
                <w:lang w:val="en-US" w:eastAsia="zh-CN" w:bidi="ar"/>
              </w:rPr>
              <w:t>V=2m</w:t>
            </w:r>
            <w:r>
              <w:rPr>
                <w:rFonts w:hint="eastAsia" w:ascii="宋体" w:hAnsi="宋体" w:eastAsia="宋体" w:cs="宋体"/>
                <w:i w:val="0"/>
                <w:iCs w:val="0"/>
                <w:color w:val="000000"/>
                <w:kern w:val="0"/>
                <w:sz w:val="18"/>
                <w:szCs w:val="18"/>
                <w:u w:val="none"/>
                <w:lang w:val="en-US" w:eastAsia="zh-CN" w:bidi="ar"/>
              </w:rPr>
              <w:t>³</w:t>
            </w:r>
          </w:p>
        </w:tc>
      </w:tr>
      <w:tr w14:paraId="3A0538F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3" w:hRule="atLeast"/>
        </w:trPr>
        <w:tc>
          <w:tcPr>
            <w:tcW w:w="273" w:type="pct"/>
            <w:tcBorders>
              <w:top w:val="nil"/>
              <w:left w:val="single" w:color="000000" w:sz="8" w:space="0"/>
              <w:bottom w:val="single" w:color="000000" w:sz="8" w:space="0"/>
              <w:right w:val="single" w:color="000000" w:sz="8" w:space="0"/>
            </w:tcBorders>
            <w:noWrap w:val="0"/>
            <w:vAlign w:val="center"/>
          </w:tcPr>
          <w:p w14:paraId="0A629650">
            <w:pPr>
              <w:spacing w:line="240" w:lineRule="auto"/>
              <w:ind w:firstLine="0" w:firstLineChars="0"/>
              <w:jc w:val="center"/>
              <w:rPr>
                <w:rFonts w:hint="default" w:ascii="Times New Roman" w:hAnsi="Times New Roman" w:eastAsia="宋体" w:cs="Times New Roman"/>
                <w:i w:val="0"/>
                <w:iCs w:val="0"/>
                <w:color w:val="000000"/>
                <w:sz w:val="18"/>
                <w:szCs w:val="18"/>
                <w:u w:val="none"/>
              </w:rPr>
            </w:pPr>
          </w:p>
        </w:tc>
        <w:tc>
          <w:tcPr>
            <w:tcW w:w="675" w:type="pct"/>
            <w:tcBorders>
              <w:top w:val="nil"/>
              <w:left w:val="nil"/>
              <w:bottom w:val="single" w:color="000000" w:sz="8" w:space="0"/>
              <w:right w:val="single" w:color="000000" w:sz="8" w:space="0"/>
            </w:tcBorders>
            <w:noWrap w:val="0"/>
            <w:vAlign w:val="center"/>
          </w:tcPr>
          <w:p w14:paraId="64E0CAFE">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阻垢剂自动投加系统</w:t>
            </w:r>
          </w:p>
        </w:tc>
        <w:tc>
          <w:tcPr>
            <w:tcW w:w="398" w:type="pct"/>
            <w:tcBorders>
              <w:top w:val="nil"/>
              <w:left w:val="nil"/>
              <w:bottom w:val="single" w:color="000000" w:sz="8" w:space="0"/>
              <w:right w:val="single" w:color="000000" w:sz="8" w:space="0"/>
            </w:tcBorders>
            <w:noWrap w:val="0"/>
            <w:vAlign w:val="center"/>
          </w:tcPr>
          <w:p w14:paraId="614E45BE">
            <w:pPr>
              <w:spacing w:line="240" w:lineRule="auto"/>
              <w:ind w:firstLine="0" w:firstLineChars="0"/>
              <w:jc w:val="center"/>
              <w:rPr>
                <w:rFonts w:hint="default" w:ascii="Times New Roman" w:hAnsi="Times New Roman" w:eastAsia="宋体" w:cs="Times New Roman"/>
                <w:i w:val="0"/>
                <w:iCs w:val="0"/>
                <w:color w:val="000000"/>
                <w:sz w:val="18"/>
                <w:szCs w:val="18"/>
                <w:u w:val="none"/>
              </w:rPr>
            </w:pPr>
          </w:p>
        </w:tc>
        <w:tc>
          <w:tcPr>
            <w:tcW w:w="398" w:type="pct"/>
            <w:tcBorders>
              <w:top w:val="nil"/>
              <w:left w:val="nil"/>
              <w:bottom w:val="single" w:color="000000" w:sz="8" w:space="0"/>
              <w:right w:val="single" w:color="000000" w:sz="8" w:space="0"/>
            </w:tcBorders>
            <w:noWrap w:val="0"/>
            <w:vAlign w:val="center"/>
          </w:tcPr>
          <w:p w14:paraId="26035E97">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color w:val="000000"/>
                <w:kern w:val="0"/>
                <w:sz w:val="18"/>
                <w:szCs w:val="18"/>
                <w:u w:val="none"/>
                <w:lang w:val="en-US" w:eastAsia="zh-CN" w:bidi="ar"/>
              </w:rPr>
              <w:t>1.2</w:t>
            </w:r>
          </w:p>
        </w:tc>
        <w:tc>
          <w:tcPr>
            <w:tcW w:w="398" w:type="pct"/>
            <w:tcBorders>
              <w:top w:val="nil"/>
              <w:left w:val="nil"/>
              <w:bottom w:val="single" w:color="000000" w:sz="8" w:space="0"/>
              <w:right w:val="single" w:color="000000" w:sz="8" w:space="0"/>
            </w:tcBorders>
            <w:noWrap w:val="0"/>
            <w:vAlign w:val="center"/>
          </w:tcPr>
          <w:p w14:paraId="587954FD">
            <w:pPr>
              <w:spacing w:line="240" w:lineRule="auto"/>
              <w:ind w:firstLine="0" w:firstLineChars="0"/>
              <w:jc w:val="center"/>
              <w:rPr>
                <w:rFonts w:hint="default" w:ascii="Times New Roman" w:hAnsi="Times New Roman" w:eastAsia="宋体" w:cs="Times New Roman"/>
                <w:i w:val="0"/>
                <w:iCs w:val="0"/>
                <w:color w:val="000000"/>
                <w:sz w:val="18"/>
                <w:szCs w:val="18"/>
                <w:u w:val="none"/>
              </w:rPr>
            </w:pPr>
          </w:p>
        </w:tc>
        <w:tc>
          <w:tcPr>
            <w:tcW w:w="346" w:type="pct"/>
            <w:tcBorders>
              <w:top w:val="nil"/>
              <w:left w:val="nil"/>
              <w:bottom w:val="single" w:color="000000" w:sz="8" w:space="0"/>
              <w:right w:val="single" w:color="000000" w:sz="8" w:space="0"/>
            </w:tcBorders>
            <w:noWrap w:val="0"/>
            <w:vAlign w:val="center"/>
          </w:tcPr>
          <w:p w14:paraId="04D47336">
            <w:pPr>
              <w:spacing w:line="240" w:lineRule="auto"/>
              <w:ind w:firstLine="0" w:firstLineChars="0"/>
              <w:jc w:val="center"/>
              <w:rPr>
                <w:rFonts w:hint="default" w:ascii="Times New Roman" w:hAnsi="Times New Roman" w:eastAsia="宋体" w:cs="Times New Roman"/>
                <w:i w:val="0"/>
                <w:iCs w:val="0"/>
                <w:color w:val="000000"/>
                <w:sz w:val="18"/>
                <w:szCs w:val="18"/>
                <w:u w:val="none"/>
              </w:rPr>
            </w:pPr>
          </w:p>
        </w:tc>
        <w:tc>
          <w:tcPr>
            <w:tcW w:w="326" w:type="pct"/>
            <w:tcBorders>
              <w:top w:val="nil"/>
              <w:left w:val="nil"/>
              <w:bottom w:val="single" w:color="000000" w:sz="8" w:space="0"/>
              <w:right w:val="single" w:color="000000" w:sz="8" w:space="0"/>
            </w:tcBorders>
            <w:noWrap w:val="0"/>
            <w:vAlign w:val="center"/>
          </w:tcPr>
          <w:p w14:paraId="68DBB3B1">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color w:val="000000"/>
                <w:kern w:val="0"/>
                <w:sz w:val="18"/>
                <w:szCs w:val="18"/>
                <w:u w:val="none"/>
                <w:lang w:val="en-US" w:eastAsia="zh-CN" w:bidi="ar"/>
              </w:rPr>
              <w:t>1.2</w:t>
            </w:r>
          </w:p>
        </w:tc>
        <w:tc>
          <w:tcPr>
            <w:tcW w:w="148" w:type="pct"/>
            <w:tcBorders>
              <w:top w:val="nil"/>
              <w:left w:val="nil"/>
              <w:bottom w:val="single" w:color="000000" w:sz="8" w:space="0"/>
              <w:right w:val="single" w:color="000000" w:sz="8" w:space="0"/>
            </w:tcBorders>
            <w:noWrap w:val="0"/>
            <w:vAlign w:val="center"/>
          </w:tcPr>
          <w:p w14:paraId="11DE25AA">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套</w:t>
            </w:r>
          </w:p>
        </w:tc>
        <w:tc>
          <w:tcPr>
            <w:tcW w:w="211" w:type="pct"/>
            <w:tcBorders>
              <w:top w:val="nil"/>
              <w:left w:val="nil"/>
              <w:bottom w:val="single" w:color="000000" w:sz="8" w:space="0"/>
              <w:right w:val="single" w:color="000000" w:sz="8" w:space="0"/>
            </w:tcBorders>
            <w:noWrap w:val="0"/>
            <w:vAlign w:val="center"/>
          </w:tcPr>
          <w:p w14:paraId="29B104A0">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color w:val="000000"/>
                <w:kern w:val="0"/>
                <w:sz w:val="18"/>
                <w:szCs w:val="18"/>
                <w:u w:val="none"/>
                <w:lang w:val="en-US" w:eastAsia="zh-CN" w:bidi="ar"/>
              </w:rPr>
              <w:t>1</w:t>
            </w:r>
          </w:p>
        </w:tc>
        <w:tc>
          <w:tcPr>
            <w:tcW w:w="478" w:type="pct"/>
            <w:tcBorders>
              <w:top w:val="nil"/>
              <w:left w:val="nil"/>
              <w:bottom w:val="single" w:color="000000" w:sz="8" w:space="0"/>
              <w:right w:val="single" w:color="000000" w:sz="8" w:space="0"/>
            </w:tcBorders>
            <w:noWrap w:val="0"/>
            <w:vAlign w:val="center"/>
          </w:tcPr>
          <w:p w14:paraId="406F891F">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20"/>
                <w:szCs w:val="20"/>
                <w:u w:val="none"/>
              </w:rPr>
            </w:pPr>
            <w:r>
              <w:rPr>
                <w:rFonts w:hint="default" w:ascii="Times New Roman" w:hAnsi="Times New Roman" w:eastAsia="宋体" w:cs="Times New Roman"/>
                <w:i w:val="0"/>
                <w:iCs w:val="0"/>
                <w:color w:val="000000"/>
                <w:kern w:val="0"/>
                <w:sz w:val="20"/>
                <w:szCs w:val="20"/>
                <w:u w:val="none"/>
                <w:lang w:val="en-US" w:eastAsia="zh-CN" w:bidi="ar"/>
              </w:rPr>
              <w:t>12000</w:t>
            </w:r>
          </w:p>
        </w:tc>
        <w:tc>
          <w:tcPr>
            <w:tcW w:w="329" w:type="pct"/>
            <w:tcBorders>
              <w:top w:val="nil"/>
              <w:left w:val="nil"/>
              <w:bottom w:val="single" w:color="000000" w:sz="8" w:space="0"/>
              <w:right w:val="single" w:color="000000" w:sz="8" w:space="0"/>
            </w:tcBorders>
            <w:noWrap w:val="0"/>
            <w:vAlign w:val="center"/>
          </w:tcPr>
          <w:p w14:paraId="43FD1458">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b/>
                <w:bCs/>
                <w:i w:val="0"/>
                <w:iCs w:val="0"/>
                <w:color w:val="000000"/>
                <w:sz w:val="18"/>
                <w:szCs w:val="18"/>
                <w:u w:val="none"/>
              </w:rPr>
            </w:pPr>
            <w:r>
              <w:rPr>
                <w:rFonts w:hint="default" w:ascii="Times New Roman" w:hAnsi="Times New Roman" w:eastAsia="宋体" w:cs="Times New Roman"/>
                <w:b/>
                <w:bCs/>
                <w:i w:val="0"/>
                <w:iCs w:val="0"/>
                <w:color w:val="000000"/>
                <w:kern w:val="0"/>
                <w:sz w:val="18"/>
                <w:szCs w:val="18"/>
                <w:u w:val="none"/>
                <w:lang w:val="en-US" w:eastAsia="zh-CN" w:bidi="ar"/>
              </w:rPr>
              <w:t>0.01%</w:t>
            </w:r>
          </w:p>
        </w:tc>
        <w:tc>
          <w:tcPr>
            <w:tcW w:w="1013" w:type="pct"/>
            <w:tcBorders>
              <w:top w:val="nil"/>
              <w:left w:val="nil"/>
              <w:bottom w:val="single" w:color="000000" w:sz="8" w:space="0"/>
              <w:right w:val="single" w:color="000000" w:sz="8" w:space="0"/>
            </w:tcBorders>
            <w:noWrap w:val="0"/>
            <w:vAlign w:val="center"/>
          </w:tcPr>
          <w:p w14:paraId="021496D3">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color w:val="000000"/>
                <w:kern w:val="0"/>
                <w:sz w:val="18"/>
                <w:szCs w:val="18"/>
                <w:u w:val="none"/>
                <w:lang w:val="en-US" w:eastAsia="zh-CN" w:bidi="ar"/>
              </w:rPr>
              <w:t>JBY1/1-1.6/0.76</w:t>
            </w:r>
            <w:r>
              <w:rPr>
                <w:rFonts w:hint="eastAsia" w:ascii="宋体" w:hAnsi="宋体" w:eastAsia="宋体" w:cs="宋体"/>
                <w:i w:val="0"/>
                <w:iCs w:val="0"/>
                <w:color w:val="000000"/>
                <w:kern w:val="0"/>
                <w:sz w:val="18"/>
                <w:szCs w:val="18"/>
                <w:u w:val="none"/>
                <w:lang w:val="en-US" w:eastAsia="zh-CN" w:bidi="ar"/>
              </w:rPr>
              <w:t>（成套设备）</w:t>
            </w:r>
          </w:p>
        </w:tc>
      </w:tr>
      <w:tr w14:paraId="0D60410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71" w:hRule="atLeast"/>
        </w:trPr>
        <w:tc>
          <w:tcPr>
            <w:tcW w:w="273" w:type="pct"/>
            <w:tcBorders>
              <w:top w:val="nil"/>
              <w:left w:val="single" w:color="000000" w:sz="8" w:space="0"/>
              <w:bottom w:val="single" w:color="000000" w:sz="8" w:space="0"/>
              <w:right w:val="single" w:color="000000" w:sz="8" w:space="0"/>
            </w:tcBorders>
            <w:noWrap w:val="0"/>
            <w:vAlign w:val="center"/>
          </w:tcPr>
          <w:p w14:paraId="1F6C5BA3">
            <w:pPr>
              <w:spacing w:line="240" w:lineRule="auto"/>
              <w:ind w:firstLine="0" w:firstLineChars="0"/>
              <w:jc w:val="center"/>
              <w:rPr>
                <w:rFonts w:hint="default" w:ascii="Times New Roman" w:hAnsi="Times New Roman" w:eastAsia="宋体" w:cs="Times New Roman"/>
                <w:i w:val="0"/>
                <w:iCs w:val="0"/>
                <w:color w:val="000000"/>
                <w:sz w:val="18"/>
                <w:szCs w:val="18"/>
                <w:u w:val="none"/>
              </w:rPr>
            </w:pPr>
          </w:p>
        </w:tc>
        <w:tc>
          <w:tcPr>
            <w:tcW w:w="675" w:type="pct"/>
            <w:tcBorders>
              <w:top w:val="nil"/>
              <w:left w:val="nil"/>
              <w:bottom w:val="single" w:color="000000" w:sz="8" w:space="0"/>
              <w:right w:val="single" w:color="000000" w:sz="8" w:space="0"/>
            </w:tcBorders>
            <w:noWrap w:val="0"/>
            <w:vAlign w:val="center"/>
          </w:tcPr>
          <w:p w14:paraId="201F589F">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二级</w:t>
            </w:r>
            <w:r>
              <w:rPr>
                <w:rFonts w:hint="default" w:ascii="Times New Roman" w:hAnsi="Times New Roman" w:eastAsia="宋体" w:cs="Times New Roman"/>
                <w:i w:val="0"/>
                <w:iCs w:val="0"/>
                <w:color w:val="000000"/>
                <w:kern w:val="0"/>
                <w:sz w:val="18"/>
                <w:szCs w:val="18"/>
                <w:u w:val="none"/>
                <w:lang w:val="en-US" w:eastAsia="zh-CN" w:bidi="ar"/>
              </w:rPr>
              <w:t>RO</w:t>
            </w:r>
            <w:r>
              <w:rPr>
                <w:rFonts w:hint="eastAsia" w:ascii="宋体" w:hAnsi="宋体" w:eastAsia="宋体" w:cs="宋体"/>
                <w:i w:val="0"/>
                <w:iCs w:val="0"/>
                <w:color w:val="000000"/>
                <w:kern w:val="0"/>
                <w:sz w:val="18"/>
                <w:szCs w:val="18"/>
                <w:u w:val="none"/>
                <w:lang w:val="en-US" w:eastAsia="zh-CN" w:bidi="ar"/>
              </w:rPr>
              <w:t>系统</w:t>
            </w:r>
          </w:p>
        </w:tc>
        <w:tc>
          <w:tcPr>
            <w:tcW w:w="398" w:type="pct"/>
            <w:tcBorders>
              <w:top w:val="nil"/>
              <w:left w:val="nil"/>
              <w:bottom w:val="single" w:color="000000" w:sz="8" w:space="0"/>
              <w:right w:val="single" w:color="000000" w:sz="8" w:space="0"/>
            </w:tcBorders>
            <w:noWrap w:val="0"/>
            <w:vAlign w:val="center"/>
          </w:tcPr>
          <w:p w14:paraId="5672D53B">
            <w:pPr>
              <w:spacing w:line="240" w:lineRule="auto"/>
              <w:ind w:firstLine="0" w:firstLineChars="0"/>
              <w:jc w:val="center"/>
              <w:rPr>
                <w:rFonts w:hint="default" w:ascii="Times New Roman" w:hAnsi="Times New Roman" w:eastAsia="宋体" w:cs="Times New Roman"/>
                <w:i w:val="0"/>
                <w:iCs w:val="0"/>
                <w:color w:val="000000"/>
                <w:sz w:val="18"/>
                <w:szCs w:val="18"/>
                <w:u w:val="none"/>
              </w:rPr>
            </w:pPr>
          </w:p>
        </w:tc>
        <w:tc>
          <w:tcPr>
            <w:tcW w:w="398" w:type="pct"/>
            <w:tcBorders>
              <w:top w:val="nil"/>
              <w:left w:val="nil"/>
              <w:bottom w:val="single" w:color="000000" w:sz="8" w:space="0"/>
              <w:right w:val="single" w:color="000000" w:sz="8" w:space="0"/>
            </w:tcBorders>
            <w:noWrap w:val="0"/>
            <w:vAlign w:val="center"/>
          </w:tcPr>
          <w:p w14:paraId="2145E877">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color w:val="000000"/>
                <w:kern w:val="0"/>
                <w:sz w:val="18"/>
                <w:szCs w:val="18"/>
                <w:u w:val="none"/>
                <w:lang w:val="en-US" w:eastAsia="zh-CN" w:bidi="ar"/>
              </w:rPr>
              <w:t>22</w:t>
            </w:r>
          </w:p>
        </w:tc>
        <w:tc>
          <w:tcPr>
            <w:tcW w:w="398" w:type="pct"/>
            <w:tcBorders>
              <w:top w:val="nil"/>
              <w:left w:val="nil"/>
              <w:bottom w:val="single" w:color="000000" w:sz="8" w:space="0"/>
              <w:right w:val="single" w:color="000000" w:sz="8" w:space="0"/>
            </w:tcBorders>
            <w:noWrap w:val="0"/>
            <w:vAlign w:val="center"/>
          </w:tcPr>
          <w:p w14:paraId="56ED87EF">
            <w:pPr>
              <w:spacing w:line="240" w:lineRule="auto"/>
              <w:ind w:firstLine="0" w:firstLineChars="0"/>
              <w:jc w:val="center"/>
              <w:rPr>
                <w:rFonts w:hint="default" w:ascii="Times New Roman" w:hAnsi="Times New Roman" w:eastAsia="宋体" w:cs="Times New Roman"/>
                <w:i w:val="0"/>
                <w:iCs w:val="0"/>
                <w:color w:val="000000"/>
                <w:sz w:val="18"/>
                <w:szCs w:val="18"/>
                <w:u w:val="none"/>
              </w:rPr>
            </w:pPr>
          </w:p>
        </w:tc>
        <w:tc>
          <w:tcPr>
            <w:tcW w:w="346" w:type="pct"/>
            <w:tcBorders>
              <w:top w:val="nil"/>
              <w:left w:val="nil"/>
              <w:bottom w:val="single" w:color="000000" w:sz="8" w:space="0"/>
              <w:right w:val="single" w:color="000000" w:sz="8" w:space="0"/>
            </w:tcBorders>
            <w:noWrap w:val="0"/>
            <w:vAlign w:val="center"/>
          </w:tcPr>
          <w:p w14:paraId="43941326">
            <w:pPr>
              <w:spacing w:line="240" w:lineRule="auto"/>
              <w:ind w:firstLine="0" w:firstLineChars="0"/>
              <w:jc w:val="center"/>
              <w:rPr>
                <w:rFonts w:hint="default" w:ascii="Times New Roman" w:hAnsi="Times New Roman" w:eastAsia="宋体" w:cs="Times New Roman"/>
                <w:i w:val="0"/>
                <w:iCs w:val="0"/>
                <w:color w:val="000000"/>
                <w:sz w:val="18"/>
                <w:szCs w:val="18"/>
                <w:u w:val="none"/>
              </w:rPr>
            </w:pPr>
          </w:p>
        </w:tc>
        <w:tc>
          <w:tcPr>
            <w:tcW w:w="326" w:type="pct"/>
            <w:tcBorders>
              <w:top w:val="nil"/>
              <w:left w:val="nil"/>
              <w:bottom w:val="single" w:color="000000" w:sz="8" w:space="0"/>
              <w:right w:val="single" w:color="000000" w:sz="8" w:space="0"/>
            </w:tcBorders>
            <w:noWrap w:val="0"/>
            <w:vAlign w:val="center"/>
          </w:tcPr>
          <w:p w14:paraId="3CB9DD6C">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color w:val="000000"/>
                <w:kern w:val="0"/>
                <w:sz w:val="18"/>
                <w:szCs w:val="18"/>
                <w:u w:val="none"/>
                <w:lang w:val="en-US" w:eastAsia="zh-CN" w:bidi="ar"/>
              </w:rPr>
              <w:t>22</w:t>
            </w:r>
          </w:p>
        </w:tc>
        <w:tc>
          <w:tcPr>
            <w:tcW w:w="148" w:type="pct"/>
            <w:tcBorders>
              <w:top w:val="nil"/>
              <w:left w:val="nil"/>
              <w:bottom w:val="single" w:color="000000" w:sz="8" w:space="0"/>
              <w:right w:val="single" w:color="000000" w:sz="8" w:space="0"/>
            </w:tcBorders>
            <w:noWrap w:val="0"/>
            <w:vAlign w:val="center"/>
          </w:tcPr>
          <w:p w14:paraId="482E1BE1">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套</w:t>
            </w:r>
          </w:p>
        </w:tc>
        <w:tc>
          <w:tcPr>
            <w:tcW w:w="211" w:type="pct"/>
            <w:tcBorders>
              <w:top w:val="nil"/>
              <w:left w:val="nil"/>
              <w:bottom w:val="single" w:color="000000" w:sz="8" w:space="0"/>
              <w:right w:val="single" w:color="000000" w:sz="8" w:space="0"/>
            </w:tcBorders>
            <w:noWrap w:val="0"/>
            <w:vAlign w:val="center"/>
          </w:tcPr>
          <w:p w14:paraId="02220299">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color w:val="000000"/>
                <w:kern w:val="0"/>
                <w:sz w:val="18"/>
                <w:szCs w:val="18"/>
                <w:u w:val="none"/>
                <w:lang w:val="en-US" w:eastAsia="zh-CN" w:bidi="ar"/>
              </w:rPr>
              <w:t>1</w:t>
            </w:r>
          </w:p>
        </w:tc>
        <w:tc>
          <w:tcPr>
            <w:tcW w:w="478" w:type="pct"/>
            <w:tcBorders>
              <w:top w:val="nil"/>
              <w:left w:val="nil"/>
              <w:bottom w:val="single" w:color="000000" w:sz="8" w:space="0"/>
              <w:right w:val="single" w:color="000000" w:sz="8" w:space="0"/>
            </w:tcBorders>
            <w:noWrap w:val="0"/>
            <w:vAlign w:val="center"/>
          </w:tcPr>
          <w:p w14:paraId="3FAEF7A5">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20"/>
                <w:szCs w:val="20"/>
                <w:u w:val="none"/>
              </w:rPr>
            </w:pPr>
            <w:r>
              <w:rPr>
                <w:rFonts w:hint="default" w:ascii="Times New Roman" w:hAnsi="Times New Roman" w:eastAsia="宋体" w:cs="Times New Roman"/>
                <w:i w:val="0"/>
                <w:iCs w:val="0"/>
                <w:color w:val="000000"/>
                <w:kern w:val="0"/>
                <w:sz w:val="20"/>
                <w:szCs w:val="20"/>
                <w:u w:val="none"/>
                <w:lang w:val="en-US" w:eastAsia="zh-CN" w:bidi="ar"/>
              </w:rPr>
              <w:t>220000</w:t>
            </w:r>
          </w:p>
        </w:tc>
        <w:tc>
          <w:tcPr>
            <w:tcW w:w="329" w:type="pct"/>
            <w:tcBorders>
              <w:top w:val="nil"/>
              <w:left w:val="nil"/>
              <w:bottom w:val="single" w:color="000000" w:sz="8" w:space="0"/>
              <w:right w:val="single" w:color="000000" w:sz="8" w:space="0"/>
            </w:tcBorders>
            <w:noWrap w:val="0"/>
            <w:vAlign w:val="center"/>
          </w:tcPr>
          <w:p w14:paraId="02F68E3F">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b/>
                <w:bCs/>
                <w:i w:val="0"/>
                <w:iCs w:val="0"/>
                <w:color w:val="000000"/>
                <w:sz w:val="18"/>
                <w:szCs w:val="18"/>
                <w:u w:val="none"/>
              </w:rPr>
            </w:pPr>
            <w:r>
              <w:rPr>
                <w:rFonts w:hint="default" w:ascii="Times New Roman" w:hAnsi="Times New Roman" w:eastAsia="宋体" w:cs="Times New Roman"/>
                <w:b/>
                <w:bCs/>
                <w:i w:val="0"/>
                <w:iCs w:val="0"/>
                <w:color w:val="000000"/>
                <w:kern w:val="0"/>
                <w:sz w:val="18"/>
                <w:szCs w:val="18"/>
                <w:u w:val="none"/>
                <w:lang w:val="en-US" w:eastAsia="zh-CN" w:bidi="ar"/>
              </w:rPr>
              <w:t>0.22%</w:t>
            </w:r>
          </w:p>
        </w:tc>
        <w:tc>
          <w:tcPr>
            <w:tcW w:w="1013" w:type="pct"/>
            <w:tcBorders>
              <w:top w:val="nil"/>
              <w:left w:val="nil"/>
              <w:bottom w:val="single" w:color="000000" w:sz="8" w:space="0"/>
              <w:right w:val="single" w:color="000000" w:sz="8" w:space="0"/>
            </w:tcBorders>
            <w:noWrap w:val="0"/>
            <w:vAlign w:val="center"/>
          </w:tcPr>
          <w:p w14:paraId="329D7CE6">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color w:val="000000"/>
                <w:kern w:val="0"/>
                <w:sz w:val="18"/>
                <w:szCs w:val="18"/>
                <w:u w:val="none"/>
                <w:lang w:val="en-US" w:eastAsia="zh-CN" w:bidi="ar"/>
              </w:rPr>
              <w:t>THRO/50/2</w:t>
            </w:r>
            <w:r>
              <w:rPr>
                <w:rFonts w:hint="eastAsia" w:ascii="宋体" w:hAnsi="宋体" w:eastAsia="宋体" w:cs="宋体"/>
                <w:i w:val="0"/>
                <w:iCs w:val="0"/>
                <w:color w:val="000000"/>
                <w:kern w:val="0"/>
                <w:sz w:val="18"/>
                <w:szCs w:val="18"/>
                <w:u w:val="none"/>
                <w:lang w:val="en-US" w:eastAsia="zh-CN" w:bidi="ar"/>
              </w:rPr>
              <w:t>，系统回收率</w:t>
            </w:r>
            <w:r>
              <w:rPr>
                <w:rFonts w:hint="default" w:ascii="Times New Roman" w:hAnsi="Times New Roman" w:eastAsia="宋体" w:cs="Times New Roman"/>
                <w:i w:val="0"/>
                <w:iCs w:val="0"/>
                <w:color w:val="000000"/>
                <w:kern w:val="0"/>
                <w:sz w:val="18"/>
                <w:szCs w:val="18"/>
                <w:u w:val="none"/>
                <w:lang w:val="en-US" w:eastAsia="zh-CN" w:bidi="ar"/>
              </w:rPr>
              <w:t>75%</w:t>
            </w:r>
            <w:r>
              <w:rPr>
                <w:rFonts w:hint="eastAsia" w:ascii="宋体" w:hAnsi="宋体" w:eastAsia="宋体" w:cs="宋体"/>
                <w:i w:val="0"/>
                <w:iCs w:val="0"/>
                <w:color w:val="000000"/>
                <w:kern w:val="0"/>
                <w:sz w:val="18"/>
                <w:szCs w:val="18"/>
                <w:u w:val="none"/>
                <w:lang w:val="en-US" w:eastAsia="zh-CN" w:bidi="ar"/>
              </w:rPr>
              <w:t>（成套设备）</w:t>
            </w:r>
          </w:p>
        </w:tc>
      </w:tr>
      <w:tr w14:paraId="7558834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71" w:hRule="atLeast"/>
        </w:trPr>
        <w:tc>
          <w:tcPr>
            <w:tcW w:w="273" w:type="pct"/>
            <w:tcBorders>
              <w:top w:val="nil"/>
              <w:left w:val="single" w:color="000000" w:sz="8" w:space="0"/>
              <w:bottom w:val="single" w:color="000000" w:sz="8" w:space="0"/>
              <w:right w:val="single" w:color="000000" w:sz="8" w:space="0"/>
            </w:tcBorders>
            <w:noWrap w:val="0"/>
            <w:vAlign w:val="center"/>
          </w:tcPr>
          <w:p w14:paraId="4A533E85">
            <w:pPr>
              <w:spacing w:line="240" w:lineRule="auto"/>
              <w:ind w:firstLine="0" w:firstLineChars="0"/>
              <w:jc w:val="center"/>
              <w:rPr>
                <w:rFonts w:hint="default" w:ascii="Times New Roman" w:hAnsi="Times New Roman" w:eastAsia="宋体" w:cs="Times New Roman"/>
                <w:i w:val="0"/>
                <w:iCs w:val="0"/>
                <w:color w:val="000000"/>
                <w:sz w:val="18"/>
                <w:szCs w:val="18"/>
                <w:u w:val="none"/>
              </w:rPr>
            </w:pPr>
          </w:p>
        </w:tc>
        <w:tc>
          <w:tcPr>
            <w:tcW w:w="675" w:type="pct"/>
            <w:tcBorders>
              <w:top w:val="nil"/>
              <w:left w:val="nil"/>
              <w:bottom w:val="single" w:color="000000" w:sz="8" w:space="0"/>
              <w:right w:val="single" w:color="000000" w:sz="8" w:space="0"/>
            </w:tcBorders>
            <w:noWrap w:val="0"/>
            <w:vAlign w:val="center"/>
          </w:tcPr>
          <w:p w14:paraId="40061429">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color w:val="000000"/>
                <w:kern w:val="0"/>
                <w:sz w:val="18"/>
                <w:szCs w:val="18"/>
                <w:u w:val="none"/>
                <w:lang w:val="en-US" w:eastAsia="zh-CN" w:bidi="ar"/>
              </w:rPr>
              <w:t>DTRO</w:t>
            </w:r>
            <w:r>
              <w:rPr>
                <w:rFonts w:hint="eastAsia" w:ascii="宋体" w:hAnsi="宋体" w:eastAsia="宋体" w:cs="宋体"/>
                <w:i w:val="0"/>
                <w:iCs w:val="0"/>
                <w:color w:val="000000"/>
                <w:kern w:val="0"/>
                <w:sz w:val="18"/>
                <w:szCs w:val="18"/>
                <w:u w:val="none"/>
                <w:lang w:val="en-US" w:eastAsia="zh-CN" w:bidi="ar"/>
              </w:rPr>
              <w:t>系统</w:t>
            </w:r>
          </w:p>
        </w:tc>
        <w:tc>
          <w:tcPr>
            <w:tcW w:w="398" w:type="pct"/>
            <w:tcBorders>
              <w:top w:val="nil"/>
              <w:left w:val="nil"/>
              <w:bottom w:val="single" w:color="000000" w:sz="8" w:space="0"/>
              <w:right w:val="single" w:color="000000" w:sz="8" w:space="0"/>
            </w:tcBorders>
            <w:noWrap w:val="0"/>
            <w:vAlign w:val="center"/>
          </w:tcPr>
          <w:p w14:paraId="4567D1CC">
            <w:pPr>
              <w:spacing w:line="240" w:lineRule="auto"/>
              <w:ind w:firstLine="0" w:firstLineChars="0"/>
              <w:jc w:val="center"/>
              <w:rPr>
                <w:rFonts w:hint="default" w:ascii="Times New Roman" w:hAnsi="Times New Roman" w:eastAsia="宋体" w:cs="Times New Roman"/>
                <w:i w:val="0"/>
                <w:iCs w:val="0"/>
                <w:color w:val="000000"/>
                <w:sz w:val="18"/>
                <w:szCs w:val="18"/>
                <w:u w:val="none"/>
              </w:rPr>
            </w:pPr>
          </w:p>
        </w:tc>
        <w:tc>
          <w:tcPr>
            <w:tcW w:w="398" w:type="pct"/>
            <w:tcBorders>
              <w:top w:val="nil"/>
              <w:left w:val="nil"/>
              <w:bottom w:val="single" w:color="000000" w:sz="8" w:space="0"/>
              <w:right w:val="single" w:color="000000" w:sz="8" w:space="0"/>
            </w:tcBorders>
            <w:noWrap w:val="0"/>
            <w:vAlign w:val="center"/>
          </w:tcPr>
          <w:p w14:paraId="06A65601">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color w:val="000000"/>
                <w:kern w:val="0"/>
                <w:sz w:val="18"/>
                <w:szCs w:val="18"/>
                <w:u w:val="none"/>
                <w:lang w:val="en-US" w:eastAsia="zh-CN" w:bidi="ar"/>
              </w:rPr>
              <w:t>148</w:t>
            </w:r>
          </w:p>
        </w:tc>
        <w:tc>
          <w:tcPr>
            <w:tcW w:w="398" w:type="pct"/>
            <w:tcBorders>
              <w:top w:val="nil"/>
              <w:left w:val="nil"/>
              <w:bottom w:val="single" w:color="000000" w:sz="8" w:space="0"/>
              <w:right w:val="single" w:color="000000" w:sz="8" w:space="0"/>
            </w:tcBorders>
            <w:noWrap w:val="0"/>
            <w:vAlign w:val="center"/>
          </w:tcPr>
          <w:p w14:paraId="20AA7FE0">
            <w:pPr>
              <w:spacing w:line="240" w:lineRule="auto"/>
              <w:ind w:firstLine="0" w:firstLineChars="0"/>
              <w:jc w:val="center"/>
              <w:rPr>
                <w:rFonts w:hint="default" w:ascii="Times New Roman" w:hAnsi="Times New Roman" w:eastAsia="宋体" w:cs="Times New Roman"/>
                <w:i w:val="0"/>
                <w:iCs w:val="0"/>
                <w:color w:val="000000"/>
                <w:sz w:val="18"/>
                <w:szCs w:val="18"/>
                <w:u w:val="none"/>
              </w:rPr>
            </w:pPr>
          </w:p>
        </w:tc>
        <w:tc>
          <w:tcPr>
            <w:tcW w:w="346" w:type="pct"/>
            <w:tcBorders>
              <w:top w:val="nil"/>
              <w:left w:val="nil"/>
              <w:bottom w:val="single" w:color="000000" w:sz="8" w:space="0"/>
              <w:right w:val="single" w:color="000000" w:sz="8" w:space="0"/>
            </w:tcBorders>
            <w:noWrap w:val="0"/>
            <w:vAlign w:val="center"/>
          </w:tcPr>
          <w:p w14:paraId="4A6DB20E">
            <w:pPr>
              <w:spacing w:line="240" w:lineRule="auto"/>
              <w:ind w:firstLine="0" w:firstLineChars="0"/>
              <w:jc w:val="center"/>
              <w:rPr>
                <w:rFonts w:hint="default" w:ascii="Times New Roman" w:hAnsi="Times New Roman" w:eastAsia="宋体" w:cs="Times New Roman"/>
                <w:i w:val="0"/>
                <w:iCs w:val="0"/>
                <w:color w:val="000000"/>
                <w:sz w:val="18"/>
                <w:szCs w:val="18"/>
                <w:u w:val="none"/>
              </w:rPr>
            </w:pPr>
          </w:p>
        </w:tc>
        <w:tc>
          <w:tcPr>
            <w:tcW w:w="326" w:type="pct"/>
            <w:tcBorders>
              <w:top w:val="nil"/>
              <w:left w:val="nil"/>
              <w:bottom w:val="single" w:color="000000" w:sz="8" w:space="0"/>
              <w:right w:val="single" w:color="000000" w:sz="8" w:space="0"/>
            </w:tcBorders>
            <w:noWrap w:val="0"/>
            <w:vAlign w:val="center"/>
          </w:tcPr>
          <w:p w14:paraId="60BD31CC">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color w:val="000000"/>
                <w:kern w:val="0"/>
                <w:sz w:val="18"/>
                <w:szCs w:val="18"/>
                <w:u w:val="none"/>
                <w:lang w:val="en-US" w:eastAsia="zh-CN" w:bidi="ar"/>
              </w:rPr>
              <w:t>148</w:t>
            </w:r>
          </w:p>
        </w:tc>
        <w:tc>
          <w:tcPr>
            <w:tcW w:w="148" w:type="pct"/>
            <w:tcBorders>
              <w:top w:val="nil"/>
              <w:left w:val="nil"/>
              <w:bottom w:val="single" w:color="000000" w:sz="8" w:space="0"/>
              <w:right w:val="single" w:color="000000" w:sz="8" w:space="0"/>
            </w:tcBorders>
            <w:noWrap w:val="0"/>
            <w:vAlign w:val="center"/>
          </w:tcPr>
          <w:p w14:paraId="15B34F9C">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套</w:t>
            </w:r>
          </w:p>
        </w:tc>
        <w:tc>
          <w:tcPr>
            <w:tcW w:w="211" w:type="pct"/>
            <w:tcBorders>
              <w:top w:val="nil"/>
              <w:left w:val="nil"/>
              <w:bottom w:val="single" w:color="000000" w:sz="8" w:space="0"/>
              <w:right w:val="single" w:color="000000" w:sz="8" w:space="0"/>
            </w:tcBorders>
            <w:noWrap w:val="0"/>
            <w:vAlign w:val="center"/>
          </w:tcPr>
          <w:p w14:paraId="25E89585">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color w:val="000000"/>
                <w:kern w:val="0"/>
                <w:sz w:val="18"/>
                <w:szCs w:val="18"/>
                <w:u w:val="none"/>
                <w:lang w:val="en-US" w:eastAsia="zh-CN" w:bidi="ar"/>
              </w:rPr>
              <w:t>1</w:t>
            </w:r>
          </w:p>
        </w:tc>
        <w:tc>
          <w:tcPr>
            <w:tcW w:w="478" w:type="pct"/>
            <w:tcBorders>
              <w:top w:val="nil"/>
              <w:left w:val="nil"/>
              <w:bottom w:val="single" w:color="000000" w:sz="8" w:space="0"/>
              <w:right w:val="single" w:color="000000" w:sz="8" w:space="0"/>
            </w:tcBorders>
            <w:noWrap w:val="0"/>
            <w:vAlign w:val="center"/>
          </w:tcPr>
          <w:p w14:paraId="05542CBE">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20"/>
                <w:szCs w:val="20"/>
                <w:u w:val="none"/>
              </w:rPr>
            </w:pPr>
            <w:r>
              <w:rPr>
                <w:rFonts w:hint="default" w:ascii="Times New Roman" w:hAnsi="Times New Roman" w:eastAsia="宋体" w:cs="Times New Roman"/>
                <w:i w:val="0"/>
                <w:iCs w:val="0"/>
                <w:color w:val="000000"/>
                <w:kern w:val="0"/>
                <w:sz w:val="20"/>
                <w:szCs w:val="20"/>
                <w:u w:val="none"/>
                <w:lang w:val="en-US" w:eastAsia="zh-CN" w:bidi="ar"/>
              </w:rPr>
              <w:t>1480000</w:t>
            </w:r>
          </w:p>
        </w:tc>
        <w:tc>
          <w:tcPr>
            <w:tcW w:w="329" w:type="pct"/>
            <w:tcBorders>
              <w:top w:val="nil"/>
              <w:left w:val="nil"/>
              <w:bottom w:val="single" w:color="000000" w:sz="8" w:space="0"/>
              <w:right w:val="single" w:color="000000" w:sz="8" w:space="0"/>
            </w:tcBorders>
            <w:noWrap w:val="0"/>
            <w:vAlign w:val="center"/>
          </w:tcPr>
          <w:p w14:paraId="789E025B">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b/>
                <w:bCs/>
                <w:i w:val="0"/>
                <w:iCs w:val="0"/>
                <w:color w:val="000000"/>
                <w:sz w:val="18"/>
                <w:szCs w:val="18"/>
                <w:u w:val="none"/>
              </w:rPr>
            </w:pPr>
            <w:r>
              <w:rPr>
                <w:rFonts w:hint="default" w:ascii="Times New Roman" w:hAnsi="Times New Roman" w:eastAsia="宋体" w:cs="Times New Roman"/>
                <w:b/>
                <w:bCs/>
                <w:i w:val="0"/>
                <w:iCs w:val="0"/>
                <w:color w:val="000000"/>
                <w:kern w:val="0"/>
                <w:sz w:val="18"/>
                <w:szCs w:val="18"/>
                <w:u w:val="none"/>
                <w:lang w:val="en-US" w:eastAsia="zh-CN" w:bidi="ar"/>
              </w:rPr>
              <w:t>1.45%</w:t>
            </w:r>
          </w:p>
        </w:tc>
        <w:tc>
          <w:tcPr>
            <w:tcW w:w="1013" w:type="pct"/>
            <w:tcBorders>
              <w:top w:val="nil"/>
              <w:left w:val="nil"/>
              <w:bottom w:val="single" w:color="000000" w:sz="8" w:space="0"/>
              <w:right w:val="single" w:color="000000" w:sz="8" w:space="0"/>
            </w:tcBorders>
            <w:noWrap w:val="0"/>
            <w:vAlign w:val="center"/>
          </w:tcPr>
          <w:p w14:paraId="01BBEB09">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color w:val="000000"/>
                <w:kern w:val="0"/>
                <w:sz w:val="18"/>
                <w:szCs w:val="18"/>
                <w:u w:val="none"/>
                <w:lang w:val="en-US" w:eastAsia="zh-CN" w:bidi="ar"/>
              </w:rPr>
              <w:t>DTRO/15</w:t>
            </w:r>
            <w:r>
              <w:rPr>
                <w:rFonts w:hint="eastAsia" w:ascii="宋体" w:hAnsi="宋体" w:eastAsia="宋体" w:cs="宋体"/>
                <w:i w:val="0"/>
                <w:iCs w:val="0"/>
                <w:color w:val="000000"/>
                <w:kern w:val="0"/>
                <w:sz w:val="18"/>
                <w:szCs w:val="18"/>
                <w:u w:val="none"/>
                <w:lang w:val="en-US" w:eastAsia="zh-CN" w:bidi="ar"/>
              </w:rPr>
              <w:t>，系统回收率</w:t>
            </w:r>
            <w:r>
              <w:rPr>
                <w:rFonts w:hint="default" w:ascii="Times New Roman" w:hAnsi="Times New Roman" w:eastAsia="宋体" w:cs="Times New Roman"/>
                <w:i w:val="0"/>
                <w:iCs w:val="0"/>
                <w:color w:val="000000"/>
                <w:kern w:val="0"/>
                <w:sz w:val="18"/>
                <w:szCs w:val="18"/>
                <w:u w:val="none"/>
                <w:lang w:val="en-US" w:eastAsia="zh-CN" w:bidi="ar"/>
              </w:rPr>
              <w:t>50%</w:t>
            </w:r>
            <w:r>
              <w:rPr>
                <w:rFonts w:hint="eastAsia" w:ascii="宋体" w:hAnsi="宋体" w:eastAsia="宋体" w:cs="宋体"/>
                <w:i w:val="0"/>
                <w:iCs w:val="0"/>
                <w:color w:val="000000"/>
                <w:kern w:val="0"/>
                <w:sz w:val="18"/>
                <w:szCs w:val="18"/>
                <w:u w:val="none"/>
                <w:lang w:val="en-US" w:eastAsia="zh-CN" w:bidi="ar"/>
              </w:rPr>
              <w:t>（成套设备）</w:t>
            </w:r>
          </w:p>
        </w:tc>
      </w:tr>
      <w:tr w14:paraId="5F9E7B4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71" w:hRule="atLeast"/>
        </w:trPr>
        <w:tc>
          <w:tcPr>
            <w:tcW w:w="273" w:type="pct"/>
            <w:tcBorders>
              <w:top w:val="nil"/>
              <w:left w:val="single" w:color="000000" w:sz="8" w:space="0"/>
              <w:bottom w:val="single" w:color="000000" w:sz="8" w:space="0"/>
              <w:right w:val="single" w:color="000000" w:sz="8" w:space="0"/>
            </w:tcBorders>
            <w:noWrap w:val="0"/>
            <w:vAlign w:val="center"/>
          </w:tcPr>
          <w:p w14:paraId="6E2DA5C8">
            <w:pPr>
              <w:spacing w:line="240" w:lineRule="auto"/>
              <w:ind w:firstLine="0" w:firstLineChars="0"/>
              <w:jc w:val="center"/>
              <w:rPr>
                <w:rFonts w:hint="default" w:ascii="Times New Roman" w:hAnsi="Times New Roman" w:eastAsia="宋体" w:cs="Times New Roman"/>
                <w:i w:val="0"/>
                <w:iCs w:val="0"/>
                <w:color w:val="000000"/>
                <w:sz w:val="18"/>
                <w:szCs w:val="18"/>
                <w:u w:val="none"/>
              </w:rPr>
            </w:pPr>
          </w:p>
        </w:tc>
        <w:tc>
          <w:tcPr>
            <w:tcW w:w="675" w:type="pct"/>
            <w:tcBorders>
              <w:top w:val="nil"/>
              <w:left w:val="nil"/>
              <w:bottom w:val="single" w:color="000000" w:sz="8" w:space="0"/>
              <w:right w:val="single" w:color="000000" w:sz="8" w:space="0"/>
            </w:tcBorders>
            <w:noWrap w:val="0"/>
            <w:vAlign w:val="center"/>
          </w:tcPr>
          <w:p w14:paraId="45F71F5E">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color w:val="000000"/>
                <w:kern w:val="0"/>
                <w:sz w:val="18"/>
                <w:szCs w:val="18"/>
                <w:u w:val="none"/>
                <w:lang w:val="en-US" w:eastAsia="zh-CN" w:bidi="ar"/>
              </w:rPr>
              <w:t>MVR</w:t>
            </w:r>
            <w:r>
              <w:rPr>
                <w:rFonts w:hint="eastAsia" w:ascii="宋体" w:hAnsi="宋体" w:eastAsia="宋体" w:cs="宋体"/>
                <w:i w:val="0"/>
                <w:iCs w:val="0"/>
                <w:color w:val="000000"/>
                <w:kern w:val="0"/>
                <w:sz w:val="18"/>
                <w:szCs w:val="18"/>
                <w:u w:val="none"/>
                <w:lang w:val="en-US" w:eastAsia="zh-CN" w:bidi="ar"/>
              </w:rPr>
              <w:t>蒸发系统</w:t>
            </w:r>
          </w:p>
        </w:tc>
        <w:tc>
          <w:tcPr>
            <w:tcW w:w="398" w:type="pct"/>
            <w:tcBorders>
              <w:top w:val="nil"/>
              <w:left w:val="nil"/>
              <w:bottom w:val="single" w:color="000000" w:sz="8" w:space="0"/>
              <w:right w:val="single" w:color="000000" w:sz="8" w:space="0"/>
            </w:tcBorders>
            <w:noWrap w:val="0"/>
            <w:vAlign w:val="center"/>
          </w:tcPr>
          <w:p w14:paraId="7B0EECCF">
            <w:pPr>
              <w:spacing w:line="240" w:lineRule="auto"/>
              <w:ind w:firstLine="0" w:firstLineChars="0"/>
              <w:jc w:val="center"/>
              <w:rPr>
                <w:rFonts w:hint="default" w:ascii="Times New Roman" w:hAnsi="Times New Roman" w:eastAsia="宋体" w:cs="Times New Roman"/>
                <w:i w:val="0"/>
                <w:iCs w:val="0"/>
                <w:color w:val="000000"/>
                <w:sz w:val="18"/>
                <w:szCs w:val="18"/>
                <w:u w:val="none"/>
              </w:rPr>
            </w:pPr>
          </w:p>
        </w:tc>
        <w:tc>
          <w:tcPr>
            <w:tcW w:w="398" w:type="pct"/>
            <w:tcBorders>
              <w:top w:val="nil"/>
              <w:left w:val="nil"/>
              <w:bottom w:val="single" w:color="000000" w:sz="8" w:space="0"/>
              <w:right w:val="single" w:color="000000" w:sz="8" w:space="0"/>
            </w:tcBorders>
            <w:noWrap w:val="0"/>
            <w:vAlign w:val="center"/>
          </w:tcPr>
          <w:p w14:paraId="6E13ECB8">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color w:val="000000"/>
                <w:kern w:val="0"/>
                <w:sz w:val="18"/>
                <w:szCs w:val="18"/>
                <w:u w:val="none"/>
                <w:lang w:val="en-US" w:eastAsia="zh-CN" w:bidi="ar"/>
              </w:rPr>
              <w:t>388</w:t>
            </w:r>
          </w:p>
        </w:tc>
        <w:tc>
          <w:tcPr>
            <w:tcW w:w="398" w:type="pct"/>
            <w:tcBorders>
              <w:top w:val="nil"/>
              <w:left w:val="nil"/>
              <w:bottom w:val="single" w:color="000000" w:sz="8" w:space="0"/>
              <w:right w:val="single" w:color="000000" w:sz="8" w:space="0"/>
            </w:tcBorders>
            <w:noWrap w:val="0"/>
            <w:vAlign w:val="center"/>
          </w:tcPr>
          <w:p w14:paraId="07600F03">
            <w:pPr>
              <w:spacing w:line="240" w:lineRule="auto"/>
              <w:ind w:firstLine="0" w:firstLineChars="0"/>
              <w:jc w:val="center"/>
              <w:rPr>
                <w:rFonts w:hint="default" w:ascii="Times New Roman" w:hAnsi="Times New Roman" w:eastAsia="宋体" w:cs="Times New Roman"/>
                <w:i w:val="0"/>
                <w:iCs w:val="0"/>
                <w:color w:val="000000"/>
                <w:sz w:val="18"/>
                <w:szCs w:val="18"/>
                <w:u w:val="none"/>
              </w:rPr>
            </w:pPr>
          </w:p>
        </w:tc>
        <w:tc>
          <w:tcPr>
            <w:tcW w:w="346" w:type="pct"/>
            <w:tcBorders>
              <w:top w:val="nil"/>
              <w:left w:val="nil"/>
              <w:bottom w:val="single" w:color="000000" w:sz="8" w:space="0"/>
              <w:right w:val="single" w:color="000000" w:sz="8" w:space="0"/>
            </w:tcBorders>
            <w:noWrap w:val="0"/>
            <w:vAlign w:val="center"/>
          </w:tcPr>
          <w:p w14:paraId="37B01189">
            <w:pPr>
              <w:spacing w:line="240" w:lineRule="auto"/>
              <w:ind w:firstLine="0" w:firstLineChars="0"/>
              <w:jc w:val="center"/>
              <w:rPr>
                <w:rFonts w:hint="default" w:ascii="Times New Roman" w:hAnsi="Times New Roman" w:eastAsia="宋体" w:cs="Times New Roman"/>
                <w:i w:val="0"/>
                <w:iCs w:val="0"/>
                <w:color w:val="000000"/>
                <w:sz w:val="18"/>
                <w:szCs w:val="18"/>
                <w:u w:val="none"/>
              </w:rPr>
            </w:pPr>
          </w:p>
        </w:tc>
        <w:tc>
          <w:tcPr>
            <w:tcW w:w="326" w:type="pct"/>
            <w:tcBorders>
              <w:top w:val="nil"/>
              <w:left w:val="nil"/>
              <w:bottom w:val="single" w:color="000000" w:sz="8" w:space="0"/>
              <w:right w:val="single" w:color="000000" w:sz="8" w:space="0"/>
            </w:tcBorders>
            <w:noWrap w:val="0"/>
            <w:vAlign w:val="center"/>
          </w:tcPr>
          <w:p w14:paraId="0F7B341D">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color w:val="000000"/>
                <w:kern w:val="0"/>
                <w:sz w:val="18"/>
                <w:szCs w:val="18"/>
                <w:u w:val="none"/>
                <w:lang w:val="en-US" w:eastAsia="zh-CN" w:bidi="ar"/>
              </w:rPr>
              <w:t>388</w:t>
            </w:r>
          </w:p>
        </w:tc>
        <w:tc>
          <w:tcPr>
            <w:tcW w:w="148" w:type="pct"/>
            <w:tcBorders>
              <w:top w:val="nil"/>
              <w:left w:val="nil"/>
              <w:bottom w:val="single" w:color="000000" w:sz="8" w:space="0"/>
              <w:right w:val="single" w:color="000000" w:sz="8" w:space="0"/>
            </w:tcBorders>
            <w:noWrap w:val="0"/>
            <w:vAlign w:val="center"/>
          </w:tcPr>
          <w:p w14:paraId="53F2F0BE">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套</w:t>
            </w:r>
          </w:p>
        </w:tc>
        <w:tc>
          <w:tcPr>
            <w:tcW w:w="211" w:type="pct"/>
            <w:tcBorders>
              <w:top w:val="nil"/>
              <w:left w:val="nil"/>
              <w:bottom w:val="single" w:color="000000" w:sz="8" w:space="0"/>
              <w:right w:val="single" w:color="000000" w:sz="8" w:space="0"/>
            </w:tcBorders>
            <w:noWrap w:val="0"/>
            <w:vAlign w:val="center"/>
          </w:tcPr>
          <w:p w14:paraId="5EC7C2A5">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color w:val="000000"/>
                <w:kern w:val="0"/>
                <w:sz w:val="18"/>
                <w:szCs w:val="18"/>
                <w:u w:val="none"/>
                <w:lang w:val="en-US" w:eastAsia="zh-CN" w:bidi="ar"/>
              </w:rPr>
              <w:t>1</w:t>
            </w:r>
          </w:p>
        </w:tc>
        <w:tc>
          <w:tcPr>
            <w:tcW w:w="478" w:type="pct"/>
            <w:tcBorders>
              <w:top w:val="nil"/>
              <w:left w:val="nil"/>
              <w:bottom w:val="single" w:color="000000" w:sz="8" w:space="0"/>
              <w:right w:val="single" w:color="000000" w:sz="8" w:space="0"/>
            </w:tcBorders>
            <w:noWrap w:val="0"/>
            <w:vAlign w:val="center"/>
          </w:tcPr>
          <w:p w14:paraId="170B58CF">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20"/>
                <w:szCs w:val="20"/>
                <w:u w:val="none"/>
              </w:rPr>
            </w:pPr>
            <w:r>
              <w:rPr>
                <w:rFonts w:hint="default" w:ascii="Times New Roman" w:hAnsi="Times New Roman" w:eastAsia="宋体" w:cs="Times New Roman"/>
                <w:i w:val="0"/>
                <w:iCs w:val="0"/>
                <w:color w:val="000000"/>
                <w:kern w:val="0"/>
                <w:sz w:val="20"/>
                <w:szCs w:val="20"/>
                <w:u w:val="none"/>
                <w:lang w:val="en-US" w:eastAsia="zh-CN" w:bidi="ar"/>
              </w:rPr>
              <w:t>3880000</w:t>
            </w:r>
          </w:p>
        </w:tc>
        <w:tc>
          <w:tcPr>
            <w:tcW w:w="329" w:type="pct"/>
            <w:tcBorders>
              <w:top w:val="nil"/>
              <w:left w:val="nil"/>
              <w:bottom w:val="single" w:color="000000" w:sz="8" w:space="0"/>
              <w:right w:val="single" w:color="000000" w:sz="8" w:space="0"/>
            </w:tcBorders>
            <w:noWrap w:val="0"/>
            <w:vAlign w:val="center"/>
          </w:tcPr>
          <w:p w14:paraId="340FC8AD">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b/>
                <w:bCs/>
                <w:i w:val="0"/>
                <w:iCs w:val="0"/>
                <w:color w:val="000000"/>
                <w:sz w:val="18"/>
                <w:szCs w:val="18"/>
                <w:u w:val="none"/>
              </w:rPr>
            </w:pPr>
            <w:r>
              <w:rPr>
                <w:rFonts w:hint="default" w:ascii="Times New Roman" w:hAnsi="Times New Roman" w:eastAsia="宋体" w:cs="Times New Roman"/>
                <w:b/>
                <w:bCs/>
                <w:i w:val="0"/>
                <w:iCs w:val="0"/>
                <w:color w:val="000000"/>
                <w:kern w:val="0"/>
                <w:sz w:val="18"/>
                <w:szCs w:val="18"/>
                <w:u w:val="none"/>
                <w:lang w:val="en-US" w:eastAsia="zh-CN" w:bidi="ar"/>
              </w:rPr>
              <w:t>3.80%</w:t>
            </w:r>
          </w:p>
        </w:tc>
        <w:tc>
          <w:tcPr>
            <w:tcW w:w="1013" w:type="pct"/>
            <w:tcBorders>
              <w:top w:val="nil"/>
              <w:left w:val="nil"/>
              <w:bottom w:val="single" w:color="000000" w:sz="8" w:space="0"/>
              <w:right w:val="single" w:color="000000" w:sz="8" w:space="0"/>
            </w:tcBorders>
            <w:noWrap w:val="0"/>
            <w:vAlign w:val="center"/>
          </w:tcPr>
          <w:p w14:paraId="2F348602">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color w:val="000000"/>
                <w:kern w:val="0"/>
                <w:sz w:val="18"/>
                <w:szCs w:val="18"/>
                <w:u w:val="none"/>
                <w:lang w:val="en-US" w:eastAsia="zh-CN" w:bidi="ar"/>
              </w:rPr>
              <w:t>RHV/550</w:t>
            </w:r>
            <w:r>
              <w:rPr>
                <w:rFonts w:hint="eastAsia" w:ascii="宋体" w:hAnsi="宋体" w:eastAsia="宋体" w:cs="宋体"/>
                <w:i w:val="0"/>
                <w:iCs w:val="0"/>
                <w:color w:val="000000"/>
                <w:kern w:val="0"/>
                <w:sz w:val="18"/>
                <w:szCs w:val="18"/>
                <w:u w:val="none"/>
                <w:lang w:val="en-US" w:eastAsia="zh-CN" w:bidi="ar"/>
              </w:rPr>
              <w:t>，</w:t>
            </w:r>
            <w:r>
              <w:rPr>
                <w:rFonts w:hint="default" w:ascii="Times New Roman" w:hAnsi="Times New Roman" w:eastAsia="宋体" w:cs="Times New Roman"/>
                <w:i w:val="0"/>
                <w:iCs w:val="0"/>
                <w:color w:val="000000"/>
                <w:kern w:val="0"/>
                <w:sz w:val="18"/>
                <w:szCs w:val="18"/>
                <w:u w:val="none"/>
                <w:lang w:val="en-US" w:eastAsia="zh-CN" w:bidi="ar"/>
              </w:rPr>
              <w:t>7000*2300*6000mm</w:t>
            </w:r>
            <w:r>
              <w:rPr>
                <w:rFonts w:hint="eastAsia" w:ascii="宋体" w:hAnsi="宋体" w:eastAsia="宋体" w:cs="宋体"/>
                <w:i w:val="0"/>
                <w:iCs w:val="0"/>
                <w:color w:val="000000"/>
                <w:kern w:val="0"/>
                <w:sz w:val="18"/>
                <w:szCs w:val="18"/>
                <w:u w:val="none"/>
                <w:lang w:val="en-US" w:eastAsia="zh-CN" w:bidi="ar"/>
              </w:rPr>
              <w:t>（成套设备）</w:t>
            </w:r>
          </w:p>
        </w:tc>
      </w:tr>
      <w:tr w14:paraId="598A729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3" w:hRule="atLeast"/>
        </w:trPr>
        <w:tc>
          <w:tcPr>
            <w:tcW w:w="273" w:type="pct"/>
            <w:tcBorders>
              <w:top w:val="nil"/>
              <w:left w:val="single" w:color="000000" w:sz="8" w:space="0"/>
              <w:bottom w:val="single" w:color="000000" w:sz="8" w:space="0"/>
              <w:right w:val="single" w:color="000000" w:sz="8" w:space="0"/>
            </w:tcBorders>
            <w:noWrap w:val="0"/>
            <w:vAlign w:val="center"/>
          </w:tcPr>
          <w:p w14:paraId="049BA45D">
            <w:pPr>
              <w:spacing w:line="240" w:lineRule="auto"/>
              <w:ind w:firstLine="0" w:firstLineChars="0"/>
              <w:jc w:val="center"/>
              <w:rPr>
                <w:rFonts w:hint="default" w:ascii="Times New Roman" w:hAnsi="Times New Roman" w:eastAsia="宋体" w:cs="Times New Roman"/>
                <w:i w:val="0"/>
                <w:iCs w:val="0"/>
                <w:color w:val="000000"/>
                <w:sz w:val="18"/>
                <w:szCs w:val="18"/>
                <w:u w:val="none"/>
              </w:rPr>
            </w:pPr>
          </w:p>
        </w:tc>
        <w:tc>
          <w:tcPr>
            <w:tcW w:w="675" w:type="pct"/>
            <w:tcBorders>
              <w:top w:val="nil"/>
              <w:left w:val="nil"/>
              <w:bottom w:val="single" w:color="000000" w:sz="8" w:space="0"/>
              <w:right w:val="single" w:color="000000" w:sz="8" w:space="0"/>
            </w:tcBorders>
            <w:noWrap w:val="0"/>
            <w:vAlign w:val="center"/>
          </w:tcPr>
          <w:p w14:paraId="652155D0">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化学清洗系统</w:t>
            </w:r>
          </w:p>
        </w:tc>
        <w:tc>
          <w:tcPr>
            <w:tcW w:w="398" w:type="pct"/>
            <w:tcBorders>
              <w:top w:val="nil"/>
              <w:left w:val="nil"/>
              <w:bottom w:val="single" w:color="000000" w:sz="8" w:space="0"/>
              <w:right w:val="single" w:color="000000" w:sz="8" w:space="0"/>
            </w:tcBorders>
            <w:noWrap w:val="0"/>
            <w:vAlign w:val="center"/>
          </w:tcPr>
          <w:p w14:paraId="56840720">
            <w:pPr>
              <w:spacing w:line="240" w:lineRule="auto"/>
              <w:ind w:firstLine="0" w:firstLineChars="0"/>
              <w:jc w:val="center"/>
              <w:rPr>
                <w:rFonts w:hint="default" w:ascii="Times New Roman" w:hAnsi="Times New Roman" w:eastAsia="宋体" w:cs="Times New Roman"/>
                <w:i w:val="0"/>
                <w:iCs w:val="0"/>
                <w:color w:val="000000"/>
                <w:sz w:val="18"/>
                <w:szCs w:val="18"/>
                <w:u w:val="none"/>
              </w:rPr>
            </w:pPr>
          </w:p>
        </w:tc>
        <w:tc>
          <w:tcPr>
            <w:tcW w:w="398" w:type="pct"/>
            <w:tcBorders>
              <w:top w:val="nil"/>
              <w:left w:val="nil"/>
              <w:bottom w:val="single" w:color="000000" w:sz="8" w:space="0"/>
              <w:right w:val="single" w:color="000000" w:sz="8" w:space="0"/>
            </w:tcBorders>
            <w:noWrap w:val="0"/>
            <w:vAlign w:val="center"/>
          </w:tcPr>
          <w:p w14:paraId="3BCBD6E2">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color w:val="000000"/>
                <w:kern w:val="0"/>
                <w:sz w:val="18"/>
                <w:szCs w:val="18"/>
                <w:u w:val="none"/>
                <w:lang w:val="en-US" w:eastAsia="zh-CN" w:bidi="ar"/>
              </w:rPr>
              <w:t>2.5</w:t>
            </w:r>
          </w:p>
        </w:tc>
        <w:tc>
          <w:tcPr>
            <w:tcW w:w="398" w:type="pct"/>
            <w:tcBorders>
              <w:top w:val="nil"/>
              <w:left w:val="nil"/>
              <w:bottom w:val="single" w:color="000000" w:sz="8" w:space="0"/>
              <w:right w:val="single" w:color="000000" w:sz="8" w:space="0"/>
            </w:tcBorders>
            <w:noWrap w:val="0"/>
            <w:vAlign w:val="center"/>
          </w:tcPr>
          <w:p w14:paraId="6F13A1FF">
            <w:pPr>
              <w:spacing w:line="240" w:lineRule="auto"/>
              <w:ind w:firstLine="0" w:firstLineChars="0"/>
              <w:jc w:val="center"/>
              <w:rPr>
                <w:rFonts w:hint="default" w:ascii="Times New Roman" w:hAnsi="Times New Roman" w:eastAsia="宋体" w:cs="Times New Roman"/>
                <w:i w:val="0"/>
                <w:iCs w:val="0"/>
                <w:color w:val="000000"/>
                <w:sz w:val="18"/>
                <w:szCs w:val="18"/>
                <w:u w:val="none"/>
              </w:rPr>
            </w:pPr>
          </w:p>
        </w:tc>
        <w:tc>
          <w:tcPr>
            <w:tcW w:w="346" w:type="pct"/>
            <w:tcBorders>
              <w:top w:val="nil"/>
              <w:left w:val="nil"/>
              <w:bottom w:val="single" w:color="000000" w:sz="8" w:space="0"/>
              <w:right w:val="single" w:color="000000" w:sz="8" w:space="0"/>
            </w:tcBorders>
            <w:noWrap w:val="0"/>
            <w:vAlign w:val="center"/>
          </w:tcPr>
          <w:p w14:paraId="032FB606">
            <w:pPr>
              <w:spacing w:line="240" w:lineRule="auto"/>
              <w:ind w:firstLine="0" w:firstLineChars="0"/>
              <w:jc w:val="center"/>
              <w:rPr>
                <w:rFonts w:hint="default" w:ascii="Times New Roman" w:hAnsi="Times New Roman" w:eastAsia="宋体" w:cs="Times New Roman"/>
                <w:i w:val="0"/>
                <w:iCs w:val="0"/>
                <w:color w:val="000000"/>
                <w:sz w:val="18"/>
                <w:szCs w:val="18"/>
                <w:u w:val="none"/>
              </w:rPr>
            </w:pPr>
          </w:p>
        </w:tc>
        <w:tc>
          <w:tcPr>
            <w:tcW w:w="326" w:type="pct"/>
            <w:tcBorders>
              <w:top w:val="nil"/>
              <w:left w:val="nil"/>
              <w:bottom w:val="single" w:color="000000" w:sz="8" w:space="0"/>
              <w:right w:val="single" w:color="000000" w:sz="8" w:space="0"/>
            </w:tcBorders>
            <w:noWrap w:val="0"/>
            <w:vAlign w:val="center"/>
          </w:tcPr>
          <w:p w14:paraId="5E8C2C5D">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color w:val="000000"/>
                <w:kern w:val="0"/>
                <w:sz w:val="18"/>
                <w:szCs w:val="18"/>
                <w:u w:val="none"/>
                <w:lang w:val="en-US" w:eastAsia="zh-CN" w:bidi="ar"/>
              </w:rPr>
              <w:t>2.5</w:t>
            </w:r>
          </w:p>
        </w:tc>
        <w:tc>
          <w:tcPr>
            <w:tcW w:w="148" w:type="pct"/>
            <w:tcBorders>
              <w:top w:val="nil"/>
              <w:left w:val="nil"/>
              <w:bottom w:val="single" w:color="000000" w:sz="8" w:space="0"/>
              <w:right w:val="single" w:color="000000" w:sz="8" w:space="0"/>
            </w:tcBorders>
            <w:noWrap w:val="0"/>
            <w:vAlign w:val="center"/>
          </w:tcPr>
          <w:p w14:paraId="0D052742">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套</w:t>
            </w:r>
          </w:p>
        </w:tc>
        <w:tc>
          <w:tcPr>
            <w:tcW w:w="211" w:type="pct"/>
            <w:tcBorders>
              <w:top w:val="nil"/>
              <w:left w:val="nil"/>
              <w:bottom w:val="single" w:color="000000" w:sz="8" w:space="0"/>
              <w:right w:val="single" w:color="000000" w:sz="8" w:space="0"/>
            </w:tcBorders>
            <w:noWrap w:val="0"/>
            <w:vAlign w:val="center"/>
          </w:tcPr>
          <w:p w14:paraId="39E9256E">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color w:val="000000"/>
                <w:kern w:val="0"/>
                <w:sz w:val="18"/>
                <w:szCs w:val="18"/>
                <w:u w:val="none"/>
                <w:lang w:val="en-US" w:eastAsia="zh-CN" w:bidi="ar"/>
              </w:rPr>
              <w:t>1</w:t>
            </w:r>
          </w:p>
        </w:tc>
        <w:tc>
          <w:tcPr>
            <w:tcW w:w="478" w:type="pct"/>
            <w:tcBorders>
              <w:top w:val="nil"/>
              <w:left w:val="nil"/>
              <w:bottom w:val="single" w:color="000000" w:sz="8" w:space="0"/>
              <w:right w:val="single" w:color="000000" w:sz="8" w:space="0"/>
            </w:tcBorders>
            <w:noWrap w:val="0"/>
            <w:vAlign w:val="center"/>
          </w:tcPr>
          <w:p w14:paraId="0AB1CBDC">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20"/>
                <w:szCs w:val="20"/>
                <w:u w:val="none"/>
              </w:rPr>
            </w:pPr>
            <w:r>
              <w:rPr>
                <w:rFonts w:hint="default" w:ascii="Times New Roman" w:hAnsi="Times New Roman" w:eastAsia="宋体" w:cs="Times New Roman"/>
                <w:i w:val="0"/>
                <w:iCs w:val="0"/>
                <w:color w:val="000000"/>
                <w:kern w:val="0"/>
                <w:sz w:val="20"/>
                <w:szCs w:val="20"/>
                <w:u w:val="none"/>
                <w:lang w:val="en-US" w:eastAsia="zh-CN" w:bidi="ar"/>
              </w:rPr>
              <w:t>25000</w:t>
            </w:r>
          </w:p>
        </w:tc>
        <w:tc>
          <w:tcPr>
            <w:tcW w:w="329" w:type="pct"/>
            <w:tcBorders>
              <w:top w:val="nil"/>
              <w:left w:val="nil"/>
              <w:bottom w:val="single" w:color="000000" w:sz="8" w:space="0"/>
              <w:right w:val="single" w:color="000000" w:sz="8" w:space="0"/>
            </w:tcBorders>
            <w:noWrap w:val="0"/>
            <w:vAlign w:val="center"/>
          </w:tcPr>
          <w:p w14:paraId="470E846B">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b/>
                <w:bCs/>
                <w:i w:val="0"/>
                <w:iCs w:val="0"/>
                <w:color w:val="000000"/>
                <w:sz w:val="18"/>
                <w:szCs w:val="18"/>
                <w:u w:val="none"/>
              </w:rPr>
            </w:pPr>
            <w:r>
              <w:rPr>
                <w:rFonts w:hint="default" w:ascii="Times New Roman" w:hAnsi="Times New Roman" w:eastAsia="宋体" w:cs="Times New Roman"/>
                <w:b/>
                <w:bCs/>
                <w:i w:val="0"/>
                <w:iCs w:val="0"/>
                <w:color w:val="000000"/>
                <w:kern w:val="0"/>
                <w:sz w:val="18"/>
                <w:szCs w:val="18"/>
                <w:u w:val="none"/>
                <w:lang w:val="en-US" w:eastAsia="zh-CN" w:bidi="ar"/>
              </w:rPr>
              <w:t>0.02%</w:t>
            </w:r>
          </w:p>
        </w:tc>
        <w:tc>
          <w:tcPr>
            <w:tcW w:w="1013" w:type="pct"/>
            <w:tcBorders>
              <w:top w:val="nil"/>
              <w:left w:val="nil"/>
              <w:bottom w:val="single" w:color="000000" w:sz="8" w:space="0"/>
              <w:right w:val="single" w:color="000000" w:sz="8" w:space="0"/>
            </w:tcBorders>
            <w:noWrap w:val="0"/>
            <w:vAlign w:val="center"/>
          </w:tcPr>
          <w:p w14:paraId="538CB205">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color w:val="000000"/>
                <w:kern w:val="0"/>
                <w:sz w:val="18"/>
                <w:szCs w:val="18"/>
                <w:u w:val="none"/>
                <w:lang w:val="en-US" w:eastAsia="zh-CN" w:bidi="ar"/>
              </w:rPr>
              <w:t>JS-1.5</w:t>
            </w:r>
            <w:r>
              <w:rPr>
                <w:rFonts w:hint="eastAsia" w:ascii="宋体" w:hAnsi="宋体" w:eastAsia="宋体" w:cs="宋体"/>
                <w:i w:val="0"/>
                <w:iCs w:val="0"/>
                <w:color w:val="000000"/>
                <w:kern w:val="0"/>
                <w:sz w:val="18"/>
                <w:szCs w:val="18"/>
                <w:u w:val="none"/>
                <w:lang w:val="en-US" w:eastAsia="zh-CN" w:bidi="ar"/>
              </w:rPr>
              <w:t>（成套设备）</w:t>
            </w:r>
          </w:p>
        </w:tc>
      </w:tr>
      <w:tr w14:paraId="4351452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3" w:hRule="atLeast"/>
        </w:trPr>
        <w:tc>
          <w:tcPr>
            <w:tcW w:w="273" w:type="pct"/>
            <w:tcBorders>
              <w:top w:val="nil"/>
              <w:left w:val="single" w:color="000000" w:sz="8" w:space="0"/>
              <w:bottom w:val="single" w:color="000000" w:sz="8" w:space="0"/>
              <w:right w:val="single" w:color="000000" w:sz="8" w:space="0"/>
            </w:tcBorders>
            <w:noWrap w:val="0"/>
            <w:vAlign w:val="center"/>
          </w:tcPr>
          <w:p w14:paraId="1CE3DAD9">
            <w:pPr>
              <w:spacing w:line="240" w:lineRule="auto"/>
              <w:ind w:firstLine="0" w:firstLineChars="0"/>
              <w:jc w:val="center"/>
              <w:rPr>
                <w:rFonts w:hint="default" w:ascii="Times New Roman" w:hAnsi="Times New Roman" w:eastAsia="宋体" w:cs="Times New Roman"/>
                <w:i w:val="0"/>
                <w:iCs w:val="0"/>
                <w:color w:val="000000"/>
                <w:sz w:val="18"/>
                <w:szCs w:val="18"/>
                <w:u w:val="none"/>
              </w:rPr>
            </w:pPr>
          </w:p>
        </w:tc>
        <w:tc>
          <w:tcPr>
            <w:tcW w:w="675" w:type="pct"/>
            <w:tcBorders>
              <w:top w:val="nil"/>
              <w:left w:val="nil"/>
              <w:bottom w:val="single" w:color="000000" w:sz="8" w:space="0"/>
              <w:right w:val="single" w:color="000000" w:sz="8" w:space="0"/>
            </w:tcBorders>
            <w:noWrap w:val="0"/>
            <w:vAlign w:val="center"/>
          </w:tcPr>
          <w:p w14:paraId="3286AE8B">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酸自动投加系统</w:t>
            </w:r>
          </w:p>
        </w:tc>
        <w:tc>
          <w:tcPr>
            <w:tcW w:w="398" w:type="pct"/>
            <w:tcBorders>
              <w:top w:val="nil"/>
              <w:left w:val="nil"/>
              <w:bottom w:val="single" w:color="000000" w:sz="8" w:space="0"/>
              <w:right w:val="single" w:color="000000" w:sz="8" w:space="0"/>
            </w:tcBorders>
            <w:noWrap w:val="0"/>
            <w:vAlign w:val="center"/>
          </w:tcPr>
          <w:p w14:paraId="312F876C">
            <w:pPr>
              <w:spacing w:line="240" w:lineRule="auto"/>
              <w:ind w:firstLine="0" w:firstLineChars="0"/>
              <w:jc w:val="center"/>
              <w:rPr>
                <w:rFonts w:hint="default" w:ascii="Times New Roman" w:hAnsi="Times New Roman" w:eastAsia="宋体" w:cs="Times New Roman"/>
                <w:i w:val="0"/>
                <w:iCs w:val="0"/>
                <w:color w:val="000000"/>
                <w:sz w:val="18"/>
                <w:szCs w:val="18"/>
                <w:u w:val="none"/>
              </w:rPr>
            </w:pPr>
          </w:p>
        </w:tc>
        <w:tc>
          <w:tcPr>
            <w:tcW w:w="398" w:type="pct"/>
            <w:tcBorders>
              <w:top w:val="nil"/>
              <w:left w:val="nil"/>
              <w:bottom w:val="single" w:color="000000" w:sz="8" w:space="0"/>
              <w:right w:val="single" w:color="000000" w:sz="8" w:space="0"/>
            </w:tcBorders>
            <w:noWrap w:val="0"/>
            <w:vAlign w:val="center"/>
          </w:tcPr>
          <w:p w14:paraId="0C5CDBFB">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color w:val="000000"/>
                <w:kern w:val="0"/>
                <w:sz w:val="18"/>
                <w:szCs w:val="18"/>
                <w:u w:val="none"/>
                <w:lang w:val="en-US" w:eastAsia="zh-CN" w:bidi="ar"/>
              </w:rPr>
              <w:t>1.2</w:t>
            </w:r>
          </w:p>
        </w:tc>
        <w:tc>
          <w:tcPr>
            <w:tcW w:w="398" w:type="pct"/>
            <w:tcBorders>
              <w:top w:val="nil"/>
              <w:left w:val="nil"/>
              <w:bottom w:val="single" w:color="000000" w:sz="8" w:space="0"/>
              <w:right w:val="single" w:color="000000" w:sz="8" w:space="0"/>
            </w:tcBorders>
            <w:noWrap w:val="0"/>
            <w:vAlign w:val="center"/>
          </w:tcPr>
          <w:p w14:paraId="60129CCE">
            <w:pPr>
              <w:spacing w:line="240" w:lineRule="auto"/>
              <w:ind w:firstLine="0" w:firstLineChars="0"/>
              <w:jc w:val="center"/>
              <w:rPr>
                <w:rFonts w:hint="default" w:ascii="Times New Roman" w:hAnsi="Times New Roman" w:eastAsia="宋体" w:cs="Times New Roman"/>
                <w:i w:val="0"/>
                <w:iCs w:val="0"/>
                <w:color w:val="000000"/>
                <w:sz w:val="18"/>
                <w:szCs w:val="18"/>
                <w:u w:val="none"/>
              </w:rPr>
            </w:pPr>
          </w:p>
        </w:tc>
        <w:tc>
          <w:tcPr>
            <w:tcW w:w="346" w:type="pct"/>
            <w:tcBorders>
              <w:top w:val="nil"/>
              <w:left w:val="nil"/>
              <w:bottom w:val="single" w:color="000000" w:sz="8" w:space="0"/>
              <w:right w:val="single" w:color="000000" w:sz="8" w:space="0"/>
            </w:tcBorders>
            <w:noWrap w:val="0"/>
            <w:vAlign w:val="center"/>
          </w:tcPr>
          <w:p w14:paraId="3DFA3648">
            <w:pPr>
              <w:spacing w:line="240" w:lineRule="auto"/>
              <w:ind w:firstLine="0" w:firstLineChars="0"/>
              <w:jc w:val="center"/>
              <w:rPr>
                <w:rFonts w:hint="default" w:ascii="Times New Roman" w:hAnsi="Times New Roman" w:eastAsia="宋体" w:cs="Times New Roman"/>
                <w:i w:val="0"/>
                <w:iCs w:val="0"/>
                <w:color w:val="000000"/>
                <w:sz w:val="18"/>
                <w:szCs w:val="18"/>
                <w:u w:val="none"/>
              </w:rPr>
            </w:pPr>
          </w:p>
        </w:tc>
        <w:tc>
          <w:tcPr>
            <w:tcW w:w="326" w:type="pct"/>
            <w:tcBorders>
              <w:top w:val="nil"/>
              <w:left w:val="nil"/>
              <w:bottom w:val="single" w:color="000000" w:sz="8" w:space="0"/>
              <w:right w:val="single" w:color="000000" w:sz="8" w:space="0"/>
            </w:tcBorders>
            <w:noWrap w:val="0"/>
            <w:vAlign w:val="center"/>
          </w:tcPr>
          <w:p w14:paraId="41C3EC0A">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color w:val="000000"/>
                <w:kern w:val="0"/>
                <w:sz w:val="18"/>
                <w:szCs w:val="18"/>
                <w:u w:val="none"/>
                <w:lang w:val="en-US" w:eastAsia="zh-CN" w:bidi="ar"/>
              </w:rPr>
              <w:t>1.2</w:t>
            </w:r>
          </w:p>
        </w:tc>
        <w:tc>
          <w:tcPr>
            <w:tcW w:w="148" w:type="pct"/>
            <w:tcBorders>
              <w:top w:val="nil"/>
              <w:left w:val="nil"/>
              <w:bottom w:val="single" w:color="000000" w:sz="8" w:space="0"/>
              <w:right w:val="single" w:color="000000" w:sz="8" w:space="0"/>
            </w:tcBorders>
            <w:noWrap w:val="0"/>
            <w:vAlign w:val="center"/>
          </w:tcPr>
          <w:p w14:paraId="61C42B1E">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套</w:t>
            </w:r>
          </w:p>
        </w:tc>
        <w:tc>
          <w:tcPr>
            <w:tcW w:w="211" w:type="pct"/>
            <w:tcBorders>
              <w:top w:val="nil"/>
              <w:left w:val="nil"/>
              <w:bottom w:val="single" w:color="000000" w:sz="8" w:space="0"/>
              <w:right w:val="single" w:color="000000" w:sz="8" w:space="0"/>
            </w:tcBorders>
            <w:noWrap w:val="0"/>
            <w:vAlign w:val="center"/>
          </w:tcPr>
          <w:p w14:paraId="0D4A3FD8">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color w:val="000000"/>
                <w:kern w:val="0"/>
                <w:sz w:val="18"/>
                <w:szCs w:val="18"/>
                <w:u w:val="none"/>
                <w:lang w:val="en-US" w:eastAsia="zh-CN" w:bidi="ar"/>
              </w:rPr>
              <w:t>1</w:t>
            </w:r>
          </w:p>
        </w:tc>
        <w:tc>
          <w:tcPr>
            <w:tcW w:w="478" w:type="pct"/>
            <w:tcBorders>
              <w:top w:val="nil"/>
              <w:left w:val="nil"/>
              <w:bottom w:val="single" w:color="000000" w:sz="8" w:space="0"/>
              <w:right w:val="single" w:color="000000" w:sz="8" w:space="0"/>
            </w:tcBorders>
            <w:noWrap w:val="0"/>
            <w:vAlign w:val="center"/>
          </w:tcPr>
          <w:p w14:paraId="5F3E7C87">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20"/>
                <w:szCs w:val="20"/>
                <w:u w:val="none"/>
              </w:rPr>
            </w:pPr>
            <w:r>
              <w:rPr>
                <w:rFonts w:hint="default" w:ascii="Times New Roman" w:hAnsi="Times New Roman" w:eastAsia="宋体" w:cs="Times New Roman"/>
                <w:i w:val="0"/>
                <w:iCs w:val="0"/>
                <w:color w:val="000000"/>
                <w:kern w:val="0"/>
                <w:sz w:val="20"/>
                <w:szCs w:val="20"/>
                <w:u w:val="none"/>
                <w:lang w:val="en-US" w:eastAsia="zh-CN" w:bidi="ar"/>
              </w:rPr>
              <w:t>12000</w:t>
            </w:r>
          </w:p>
        </w:tc>
        <w:tc>
          <w:tcPr>
            <w:tcW w:w="329" w:type="pct"/>
            <w:tcBorders>
              <w:top w:val="nil"/>
              <w:left w:val="nil"/>
              <w:bottom w:val="single" w:color="000000" w:sz="8" w:space="0"/>
              <w:right w:val="single" w:color="000000" w:sz="8" w:space="0"/>
            </w:tcBorders>
            <w:noWrap w:val="0"/>
            <w:vAlign w:val="center"/>
          </w:tcPr>
          <w:p w14:paraId="1C340CCA">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b/>
                <w:bCs/>
                <w:i w:val="0"/>
                <w:iCs w:val="0"/>
                <w:color w:val="000000"/>
                <w:sz w:val="18"/>
                <w:szCs w:val="18"/>
                <w:u w:val="none"/>
              </w:rPr>
            </w:pPr>
            <w:r>
              <w:rPr>
                <w:rFonts w:hint="default" w:ascii="Times New Roman" w:hAnsi="Times New Roman" w:eastAsia="宋体" w:cs="Times New Roman"/>
                <w:b/>
                <w:bCs/>
                <w:i w:val="0"/>
                <w:iCs w:val="0"/>
                <w:color w:val="000000"/>
                <w:kern w:val="0"/>
                <w:sz w:val="18"/>
                <w:szCs w:val="18"/>
                <w:u w:val="none"/>
                <w:lang w:val="en-US" w:eastAsia="zh-CN" w:bidi="ar"/>
              </w:rPr>
              <w:t>0.01%</w:t>
            </w:r>
          </w:p>
        </w:tc>
        <w:tc>
          <w:tcPr>
            <w:tcW w:w="1013" w:type="pct"/>
            <w:tcBorders>
              <w:top w:val="nil"/>
              <w:left w:val="nil"/>
              <w:bottom w:val="single" w:color="000000" w:sz="8" w:space="0"/>
              <w:right w:val="single" w:color="000000" w:sz="8" w:space="0"/>
            </w:tcBorders>
            <w:noWrap w:val="0"/>
            <w:vAlign w:val="center"/>
          </w:tcPr>
          <w:p w14:paraId="43A2FFF4">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color w:val="000000"/>
                <w:kern w:val="0"/>
                <w:sz w:val="18"/>
                <w:szCs w:val="18"/>
                <w:u w:val="none"/>
                <w:lang w:val="en-US" w:eastAsia="zh-CN" w:bidi="ar"/>
              </w:rPr>
              <w:t>JHY1/1-17/0.35</w:t>
            </w:r>
            <w:r>
              <w:rPr>
                <w:rFonts w:hint="eastAsia" w:ascii="宋体" w:hAnsi="宋体" w:eastAsia="宋体" w:cs="宋体"/>
                <w:i w:val="0"/>
                <w:iCs w:val="0"/>
                <w:color w:val="000000"/>
                <w:kern w:val="0"/>
                <w:sz w:val="18"/>
                <w:szCs w:val="18"/>
                <w:u w:val="none"/>
                <w:lang w:val="en-US" w:eastAsia="zh-CN" w:bidi="ar"/>
              </w:rPr>
              <w:t>（成套设备）</w:t>
            </w:r>
          </w:p>
        </w:tc>
      </w:tr>
      <w:tr w14:paraId="7336AFA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3" w:hRule="atLeast"/>
        </w:trPr>
        <w:tc>
          <w:tcPr>
            <w:tcW w:w="273" w:type="pct"/>
            <w:tcBorders>
              <w:top w:val="nil"/>
              <w:left w:val="single" w:color="000000" w:sz="8" w:space="0"/>
              <w:bottom w:val="single" w:color="000000" w:sz="8" w:space="0"/>
              <w:right w:val="single" w:color="000000" w:sz="8" w:space="0"/>
            </w:tcBorders>
            <w:noWrap w:val="0"/>
            <w:vAlign w:val="center"/>
          </w:tcPr>
          <w:p w14:paraId="29F46FDD">
            <w:pPr>
              <w:spacing w:line="240" w:lineRule="auto"/>
              <w:ind w:firstLine="0" w:firstLineChars="0"/>
              <w:jc w:val="center"/>
              <w:rPr>
                <w:rFonts w:hint="default" w:ascii="Times New Roman" w:hAnsi="Times New Roman" w:eastAsia="宋体" w:cs="Times New Roman"/>
                <w:i w:val="0"/>
                <w:iCs w:val="0"/>
                <w:color w:val="000000"/>
                <w:sz w:val="18"/>
                <w:szCs w:val="18"/>
                <w:u w:val="none"/>
              </w:rPr>
            </w:pPr>
          </w:p>
        </w:tc>
        <w:tc>
          <w:tcPr>
            <w:tcW w:w="675" w:type="pct"/>
            <w:tcBorders>
              <w:top w:val="nil"/>
              <w:left w:val="nil"/>
              <w:bottom w:val="single" w:color="000000" w:sz="8" w:space="0"/>
              <w:right w:val="single" w:color="000000" w:sz="8" w:space="0"/>
            </w:tcBorders>
            <w:noWrap w:val="0"/>
            <w:vAlign w:val="center"/>
          </w:tcPr>
          <w:p w14:paraId="4BE7377B">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碱自动投加系统</w:t>
            </w:r>
          </w:p>
        </w:tc>
        <w:tc>
          <w:tcPr>
            <w:tcW w:w="398" w:type="pct"/>
            <w:tcBorders>
              <w:top w:val="nil"/>
              <w:left w:val="nil"/>
              <w:bottom w:val="single" w:color="000000" w:sz="8" w:space="0"/>
              <w:right w:val="single" w:color="000000" w:sz="8" w:space="0"/>
            </w:tcBorders>
            <w:noWrap w:val="0"/>
            <w:vAlign w:val="center"/>
          </w:tcPr>
          <w:p w14:paraId="34811274">
            <w:pPr>
              <w:spacing w:line="240" w:lineRule="auto"/>
              <w:ind w:firstLine="0" w:firstLineChars="0"/>
              <w:jc w:val="center"/>
              <w:rPr>
                <w:rFonts w:hint="default" w:ascii="Times New Roman" w:hAnsi="Times New Roman" w:eastAsia="宋体" w:cs="Times New Roman"/>
                <w:i w:val="0"/>
                <w:iCs w:val="0"/>
                <w:color w:val="000000"/>
                <w:sz w:val="18"/>
                <w:szCs w:val="18"/>
                <w:u w:val="none"/>
              </w:rPr>
            </w:pPr>
          </w:p>
        </w:tc>
        <w:tc>
          <w:tcPr>
            <w:tcW w:w="398" w:type="pct"/>
            <w:tcBorders>
              <w:top w:val="nil"/>
              <w:left w:val="nil"/>
              <w:bottom w:val="single" w:color="000000" w:sz="8" w:space="0"/>
              <w:right w:val="single" w:color="000000" w:sz="8" w:space="0"/>
            </w:tcBorders>
            <w:noWrap w:val="0"/>
            <w:vAlign w:val="center"/>
          </w:tcPr>
          <w:p w14:paraId="04B09C23">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color w:val="000000"/>
                <w:kern w:val="0"/>
                <w:sz w:val="18"/>
                <w:szCs w:val="18"/>
                <w:u w:val="none"/>
                <w:lang w:val="en-US" w:eastAsia="zh-CN" w:bidi="ar"/>
              </w:rPr>
              <w:t>1.2</w:t>
            </w:r>
          </w:p>
        </w:tc>
        <w:tc>
          <w:tcPr>
            <w:tcW w:w="398" w:type="pct"/>
            <w:tcBorders>
              <w:top w:val="nil"/>
              <w:left w:val="nil"/>
              <w:bottom w:val="single" w:color="000000" w:sz="8" w:space="0"/>
              <w:right w:val="single" w:color="000000" w:sz="8" w:space="0"/>
            </w:tcBorders>
            <w:noWrap w:val="0"/>
            <w:vAlign w:val="center"/>
          </w:tcPr>
          <w:p w14:paraId="7CA962D7">
            <w:pPr>
              <w:spacing w:line="240" w:lineRule="auto"/>
              <w:ind w:firstLine="0" w:firstLineChars="0"/>
              <w:jc w:val="center"/>
              <w:rPr>
                <w:rFonts w:hint="default" w:ascii="Times New Roman" w:hAnsi="Times New Roman" w:eastAsia="宋体" w:cs="Times New Roman"/>
                <w:i w:val="0"/>
                <w:iCs w:val="0"/>
                <w:color w:val="000000"/>
                <w:sz w:val="18"/>
                <w:szCs w:val="18"/>
                <w:u w:val="none"/>
              </w:rPr>
            </w:pPr>
          </w:p>
        </w:tc>
        <w:tc>
          <w:tcPr>
            <w:tcW w:w="346" w:type="pct"/>
            <w:tcBorders>
              <w:top w:val="nil"/>
              <w:left w:val="nil"/>
              <w:bottom w:val="single" w:color="000000" w:sz="8" w:space="0"/>
              <w:right w:val="single" w:color="000000" w:sz="8" w:space="0"/>
            </w:tcBorders>
            <w:noWrap w:val="0"/>
            <w:vAlign w:val="center"/>
          </w:tcPr>
          <w:p w14:paraId="1BCF5E6B">
            <w:pPr>
              <w:spacing w:line="240" w:lineRule="auto"/>
              <w:ind w:firstLine="0" w:firstLineChars="0"/>
              <w:jc w:val="center"/>
              <w:rPr>
                <w:rFonts w:hint="default" w:ascii="Times New Roman" w:hAnsi="Times New Roman" w:eastAsia="宋体" w:cs="Times New Roman"/>
                <w:i w:val="0"/>
                <w:iCs w:val="0"/>
                <w:color w:val="000000"/>
                <w:sz w:val="18"/>
                <w:szCs w:val="18"/>
                <w:u w:val="none"/>
              </w:rPr>
            </w:pPr>
          </w:p>
        </w:tc>
        <w:tc>
          <w:tcPr>
            <w:tcW w:w="326" w:type="pct"/>
            <w:tcBorders>
              <w:top w:val="nil"/>
              <w:left w:val="nil"/>
              <w:bottom w:val="single" w:color="000000" w:sz="8" w:space="0"/>
              <w:right w:val="single" w:color="000000" w:sz="8" w:space="0"/>
            </w:tcBorders>
            <w:noWrap w:val="0"/>
            <w:vAlign w:val="center"/>
          </w:tcPr>
          <w:p w14:paraId="3C6C310F">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color w:val="000000"/>
                <w:kern w:val="0"/>
                <w:sz w:val="18"/>
                <w:szCs w:val="18"/>
                <w:u w:val="none"/>
                <w:lang w:val="en-US" w:eastAsia="zh-CN" w:bidi="ar"/>
              </w:rPr>
              <w:t>1.2</w:t>
            </w:r>
          </w:p>
        </w:tc>
        <w:tc>
          <w:tcPr>
            <w:tcW w:w="148" w:type="pct"/>
            <w:tcBorders>
              <w:top w:val="nil"/>
              <w:left w:val="nil"/>
              <w:bottom w:val="single" w:color="000000" w:sz="8" w:space="0"/>
              <w:right w:val="single" w:color="000000" w:sz="8" w:space="0"/>
            </w:tcBorders>
            <w:noWrap w:val="0"/>
            <w:vAlign w:val="center"/>
          </w:tcPr>
          <w:p w14:paraId="24C6968B">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套</w:t>
            </w:r>
          </w:p>
        </w:tc>
        <w:tc>
          <w:tcPr>
            <w:tcW w:w="211" w:type="pct"/>
            <w:tcBorders>
              <w:top w:val="nil"/>
              <w:left w:val="nil"/>
              <w:bottom w:val="single" w:color="000000" w:sz="8" w:space="0"/>
              <w:right w:val="single" w:color="000000" w:sz="8" w:space="0"/>
            </w:tcBorders>
            <w:noWrap w:val="0"/>
            <w:vAlign w:val="center"/>
          </w:tcPr>
          <w:p w14:paraId="634A2EAF">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color w:val="000000"/>
                <w:kern w:val="0"/>
                <w:sz w:val="18"/>
                <w:szCs w:val="18"/>
                <w:u w:val="none"/>
                <w:lang w:val="en-US" w:eastAsia="zh-CN" w:bidi="ar"/>
              </w:rPr>
              <w:t>1</w:t>
            </w:r>
          </w:p>
        </w:tc>
        <w:tc>
          <w:tcPr>
            <w:tcW w:w="478" w:type="pct"/>
            <w:tcBorders>
              <w:top w:val="nil"/>
              <w:left w:val="nil"/>
              <w:bottom w:val="single" w:color="000000" w:sz="8" w:space="0"/>
              <w:right w:val="single" w:color="000000" w:sz="8" w:space="0"/>
            </w:tcBorders>
            <w:noWrap w:val="0"/>
            <w:vAlign w:val="center"/>
          </w:tcPr>
          <w:p w14:paraId="4FC32AF5">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20"/>
                <w:szCs w:val="20"/>
                <w:u w:val="none"/>
              </w:rPr>
            </w:pPr>
            <w:r>
              <w:rPr>
                <w:rFonts w:hint="default" w:ascii="Times New Roman" w:hAnsi="Times New Roman" w:eastAsia="宋体" w:cs="Times New Roman"/>
                <w:i w:val="0"/>
                <w:iCs w:val="0"/>
                <w:color w:val="000000"/>
                <w:kern w:val="0"/>
                <w:sz w:val="20"/>
                <w:szCs w:val="20"/>
                <w:u w:val="none"/>
                <w:lang w:val="en-US" w:eastAsia="zh-CN" w:bidi="ar"/>
              </w:rPr>
              <w:t>12000</w:t>
            </w:r>
          </w:p>
        </w:tc>
        <w:tc>
          <w:tcPr>
            <w:tcW w:w="329" w:type="pct"/>
            <w:tcBorders>
              <w:top w:val="nil"/>
              <w:left w:val="nil"/>
              <w:bottom w:val="single" w:color="000000" w:sz="8" w:space="0"/>
              <w:right w:val="single" w:color="000000" w:sz="8" w:space="0"/>
            </w:tcBorders>
            <w:noWrap w:val="0"/>
            <w:vAlign w:val="center"/>
          </w:tcPr>
          <w:p w14:paraId="30020298">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b/>
                <w:bCs/>
                <w:i w:val="0"/>
                <w:iCs w:val="0"/>
                <w:color w:val="000000"/>
                <w:sz w:val="18"/>
                <w:szCs w:val="18"/>
                <w:u w:val="none"/>
              </w:rPr>
            </w:pPr>
            <w:r>
              <w:rPr>
                <w:rFonts w:hint="default" w:ascii="Times New Roman" w:hAnsi="Times New Roman" w:eastAsia="宋体" w:cs="Times New Roman"/>
                <w:b/>
                <w:bCs/>
                <w:i w:val="0"/>
                <w:iCs w:val="0"/>
                <w:color w:val="000000"/>
                <w:kern w:val="0"/>
                <w:sz w:val="18"/>
                <w:szCs w:val="18"/>
                <w:u w:val="none"/>
                <w:lang w:val="en-US" w:eastAsia="zh-CN" w:bidi="ar"/>
              </w:rPr>
              <w:t>0.01%</w:t>
            </w:r>
          </w:p>
        </w:tc>
        <w:tc>
          <w:tcPr>
            <w:tcW w:w="1013" w:type="pct"/>
            <w:tcBorders>
              <w:top w:val="nil"/>
              <w:left w:val="nil"/>
              <w:bottom w:val="single" w:color="000000" w:sz="8" w:space="0"/>
              <w:right w:val="single" w:color="000000" w:sz="8" w:space="0"/>
            </w:tcBorders>
            <w:noWrap w:val="0"/>
            <w:vAlign w:val="center"/>
          </w:tcPr>
          <w:p w14:paraId="6FA0D6BA">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color w:val="000000"/>
                <w:kern w:val="0"/>
                <w:sz w:val="18"/>
                <w:szCs w:val="18"/>
                <w:u w:val="none"/>
                <w:lang w:val="en-US" w:eastAsia="zh-CN" w:bidi="ar"/>
              </w:rPr>
              <w:t>JHY1/1-17/0.35</w:t>
            </w:r>
            <w:r>
              <w:rPr>
                <w:rFonts w:hint="eastAsia" w:ascii="宋体" w:hAnsi="宋体" w:eastAsia="宋体" w:cs="宋体"/>
                <w:i w:val="0"/>
                <w:iCs w:val="0"/>
                <w:color w:val="000000"/>
                <w:kern w:val="0"/>
                <w:sz w:val="18"/>
                <w:szCs w:val="18"/>
                <w:u w:val="none"/>
                <w:lang w:val="en-US" w:eastAsia="zh-CN" w:bidi="ar"/>
              </w:rPr>
              <w:t>（成套设备）</w:t>
            </w:r>
          </w:p>
        </w:tc>
      </w:tr>
      <w:tr w14:paraId="0E6EC43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3" w:hRule="atLeast"/>
        </w:trPr>
        <w:tc>
          <w:tcPr>
            <w:tcW w:w="273" w:type="pct"/>
            <w:tcBorders>
              <w:top w:val="nil"/>
              <w:left w:val="single" w:color="000000" w:sz="8" w:space="0"/>
              <w:bottom w:val="single" w:color="000000" w:sz="8" w:space="0"/>
              <w:right w:val="single" w:color="000000" w:sz="8" w:space="0"/>
            </w:tcBorders>
            <w:noWrap w:val="0"/>
            <w:vAlign w:val="center"/>
          </w:tcPr>
          <w:p w14:paraId="2A881BB0">
            <w:pPr>
              <w:spacing w:line="240" w:lineRule="auto"/>
              <w:ind w:firstLine="0" w:firstLineChars="0"/>
              <w:jc w:val="center"/>
              <w:rPr>
                <w:rFonts w:hint="default" w:ascii="Times New Roman" w:hAnsi="Times New Roman" w:eastAsia="宋体" w:cs="Times New Roman"/>
                <w:i w:val="0"/>
                <w:iCs w:val="0"/>
                <w:color w:val="000000"/>
                <w:sz w:val="18"/>
                <w:szCs w:val="18"/>
                <w:u w:val="none"/>
              </w:rPr>
            </w:pPr>
          </w:p>
        </w:tc>
        <w:tc>
          <w:tcPr>
            <w:tcW w:w="675" w:type="pct"/>
            <w:tcBorders>
              <w:top w:val="nil"/>
              <w:left w:val="nil"/>
              <w:bottom w:val="single" w:color="000000" w:sz="8" w:space="0"/>
              <w:right w:val="single" w:color="000000" w:sz="8" w:space="0"/>
            </w:tcBorders>
            <w:noWrap w:val="0"/>
            <w:vAlign w:val="center"/>
          </w:tcPr>
          <w:p w14:paraId="0B2C0DF9">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污泥泵</w:t>
            </w:r>
          </w:p>
        </w:tc>
        <w:tc>
          <w:tcPr>
            <w:tcW w:w="398" w:type="pct"/>
            <w:tcBorders>
              <w:top w:val="nil"/>
              <w:left w:val="nil"/>
              <w:bottom w:val="single" w:color="000000" w:sz="8" w:space="0"/>
              <w:right w:val="single" w:color="000000" w:sz="8" w:space="0"/>
            </w:tcBorders>
            <w:noWrap w:val="0"/>
            <w:vAlign w:val="center"/>
          </w:tcPr>
          <w:p w14:paraId="5A9E39B8">
            <w:pPr>
              <w:spacing w:line="240" w:lineRule="auto"/>
              <w:ind w:firstLine="0" w:firstLineChars="0"/>
              <w:jc w:val="center"/>
              <w:rPr>
                <w:rFonts w:hint="default" w:ascii="Times New Roman" w:hAnsi="Times New Roman" w:eastAsia="宋体" w:cs="Times New Roman"/>
                <w:i w:val="0"/>
                <w:iCs w:val="0"/>
                <w:color w:val="000000"/>
                <w:sz w:val="18"/>
                <w:szCs w:val="18"/>
                <w:u w:val="none"/>
              </w:rPr>
            </w:pPr>
          </w:p>
        </w:tc>
        <w:tc>
          <w:tcPr>
            <w:tcW w:w="398" w:type="pct"/>
            <w:tcBorders>
              <w:top w:val="nil"/>
              <w:left w:val="nil"/>
              <w:bottom w:val="single" w:color="000000" w:sz="8" w:space="0"/>
              <w:right w:val="single" w:color="000000" w:sz="8" w:space="0"/>
            </w:tcBorders>
            <w:noWrap w:val="0"/>
            <w:vAlign w:val="center"/>
          </w:tcPr>
          <w:p w14:paraId="58E20339">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color w:val="000000"/>
                <w:kern w:val="0"/>
                <w:sz w:val="18"/>
                <w:szCs w:val="18"/>
                <w:u w:val="none"/>
                <w:lang w:val="en-US" w:eastAsia="zh-CN" w:bidi="ar"/>
              </w:rPr>
              <w:t>6.2</w:t>
            </w:r>
          </w:p>
        </w:tc>
        <w:tc>
          <w:tcPr>
            <w:tcW w:w="398" w:type="pct"/>
            <w:tcBorders>
              <w:top w:val="nil"/>
              <w:left w:val="nil"/>
              <w:bottom w:val="single" w:color="000000" w:sz="8" w:space="0"/>
              <w:right w:val="single" w:color="000000" w:sz="8" w:space="0"/>
            </w:tcBorders>
            <w:noWrap w:val="0"/>
            <w:vAlign w:val="center"/>
          </w:tcPr>
          <w:p w14:paraId="4F61FE27">
            <w:pPr>
              <w:spacing w:line="240" w:lineRule="auto"/>
              <w:ind w:firstLine="0" w:firstLineChars="0"/>
              <w:jc w:val="center"/>
              <w:rPr>
                <w:rFonts w:hint="default" w:ascii="Times New Roman" w:hAnsi="Times New Roman" w:eastAsia="宋体" w:cs="Times New Roman"/>
                <w:i w:val="0"/>
                <w:iCs w:val="0"/>
                <w:color w:val="000000"/>
                <w:sz w:val="18"/>
                <w:szCs w:val="18"/>
                <w:u w:val="none"/>
              </w:rPr>
            </w:pPr>
          </w:p>
        </w:tc>
        <w:tc>
          <w:tcPr>
            <w:tcW w:w="346" w:type="pct"/>
            <w:tcBorders>
              <w:top w:val="nil"/>
              <w:left w:val="nil"/>
              <w:bottom w:val="single" w:color="000000" w:sz="8" w:space="0"/>
              <w:right w:val="single" w:color="000000" w:sz="8" w:space="0"/>
            </w:tcBorders>
            <w:noWrap w:val="0"/>
            <w:vAlign w:val="center"/>
          </w:tcPr>
          <w:p w14:paraId="1256DF3A">
            <w:pPr>
              <w:spacing w:line="240" w:lineRule="auto"/>
              <w:ind w:firstLine="0" w:firstLineChars="0"/>
              <w:jc w:val="center"/>
              <w:rPr>
                <w:rFonts w:hint="default" w:ascii="Times New Roman" w:hAnsi="Times New Roman" w:eastAsia="宋体" w:cs="Times New Roman"/>
                <w:i w:val="0"/>
                <w:iCs w:val="0"/>
                <w:color w:val="000000"/>
                <w:sz w:val="18"/>
                <w:szCs w:val="18"/>
                <w:u w:val="none"/>
              </w:rPr>
            </w:pPr>
          </w:p>
        </w:tc>
        <w:tc>
          <w:tcPr>
            <w:tcW w:w="326" w:type="pct"/>
            <w:tcBorders>
              <w:top w:val="nil"/>
              <w:left w:val="nil"/>
              <w:bottom w:val="single" w:color="000000" w:sz="8" w:space="0"/>
              <w:right w:val="single" w:color="000000" w:sz="8" w:space="0"/>
            </w:tcBorders>
            <w:noWrap w:val="0"/>
            <w:vAlign w:val="center"/>
          </w:tcPr>
          <w:p w14:paraId="4AAAC332">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color w:val="000000"/>
                <w:kern w:val="0"/>
                <w:sz w:val="18"/>
                <w:szCs w:val="18"/>
                <w:u w:val="none"/>
                <w:lang w:val="en-US" w:eastAsia="zh-CN" w:bidi="ar"/>
              </w:rPr>
              <w:t>6.2</w:t>
            </w:r>
          </w:p>
        </w:tc>
        <w:tc>
          <w:tcPr>
            <w:tcW w:w="148" w:type="pct"/>
            <w:tcBorders>
              <w:top w:val="nil"/>
              <w:left w:val="nil"/>
              <w:bottom w:val="single" w:color="000000" w:sz="8" w:space="0"/>
              <w:right w:val="single" w:color="000000" w:sz="8" w:space="0"/>
            </w:tcBorders>
            <w:noWrap w:val="0"/>
            <w:vAlign w:val="center"/>
          </w:tcPr>
          <w:p w14:paraId="550C5DA6">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台</w:t>
            </w:r>
          </w:p>
        </w:tc>
        <w:tc>
          <w:tcPr>
            <w:tcW w:w="211" w:type="pct"/>
            <w:tcBorders>
              <w:top w:val="nil"/>
              <w:left w:val="nil"/>
              <w:bottom w:val="single" w:color="000000" w:sz="8" w:space="0"/>
              <w:right w:val="single" w:color="000000" w:sz="8" w:space="0"/>
            </w:tcBorders>
            <w:noWrap w:val="0"/>
            <w:vAlign w:val="center"/>
          </w:tcPr>
          <w:p w14:paraId="4D26578A">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color w:val="000000"/>
                <w:kern w:val="0"/>
                <w:sz w:val="18"/>
                <w:szCs w:val="18"/>
                <w:u w:val="none"/>
                <w:lang w:val="en-US" w:eastAsia="zh-CN" w:bidi="ar"/>
              </w:rPr>
              <w:t>2</w:t>
            </w:r>
          </w:p>
        </w:tc>
        <w:tc>
          <w:tcPr>
            <w:tcW w:w="478" w:type="pct"/>
            <w:tcBorders>
              <w:top w:val="nil"/>
              <w:left w:val="nil"/>
              <w:bottom w:val="single" w:color="000000" w:sz="8" w:space="0"/>
              <w:right w:val="single" w:color="000000" w:sz="8" w:space="0"/>
            </w:tcBorders>
            <w:noWrap w:val="0"/>
            <w:vAlign w:val="center"/>
          </w:tcPr>
          <w:p w14:paraId="5D5BECA9">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20"/>
                <w:szCs w:val="20"/>
                <w:u w:val="none"/>
              </w:rPr>
            </w:pPr>
            <w:r>
              <w:rPr>
                <w:rFonts w:hint="default" w:ascii="Times New Roman" w:hAnsi="Times New Roman" w:eastAsia="宋体" w:cs="Times New Roman"/>
                <w:i w:val="0"/>
                <w:iCs w:val="0"/>
                <w:color w:val="000000"/>
                <w:kern w:val="0"/>
                <w:sz w:val="20"/>
                <w:szCs w:val="20"/>
                <w:u w:val="none"/>
                <w:lang w:val="en-US" w:eastAsia="zh-CN" w:bidi="ar"/>
              </w:rPr>
              <w:t>31000</w:t>
            </w:r>
          </w:p>
        </w:tc>
        <w:tc>
          <w:tcPr>
            <w:tcW w:w="329" w:type="pct"/>
            <w:tcBorders>
              <w:top w:val="nil"/>
              <w:left w:val="nil"/>
              <w:bottom w:val="single" w:color="000000" w:sz="8" w:space="0"/>
              <w:right w:val="single" w:color="000000" w:sz="8" w:space="0"/>
            </w:tcBorders>
            <w:noWrap w:val="0"/>
            <w:vAlign w:val="center"/>
          </w:tcPr>
          <w:p w14:paraId="7B9C1D67">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b/>
                <w:bCs/>
                <w:i w:val="0"/>
                <w:iCs w:val="0"/>
                <w:color w:val="000000"/>
                <w:sz w:val="18"/>
                <w:szCs w:val="18"/>
                <w:u w:val="none"/>
              </w:rPr>
            </w:pPr>
            <w:r>
              <w:rPr>
                <w:rFonts w:hint="default" w:ascii="Times New Roman" w:hAnsi="Times New Roman" w:eastAsia="宋体" w:cs="Times New Roman"/>
                <w:b/>
                <w:bCs/>
                <w:i w:val="0"/>
                <w:iCs w:val="0"/>
                <w:color w:val="000000"/>
                <w:kern w:val="0"/>
                <w:sz w:val="18"/>
                <w:szCs w:val="18"/>
                <w:u w:val="none"/>
                <w:lang w:val="en-US" w:eastAsia="zh-CN" w:bidi="ar"/>
              </w:rPr>
              <w:t>0.06%</w:t>
            </w:r>
          </w:p>
        </w:tc>
        <w:tc>
          <w:tcPr>
            <w:tcW w:w="1013" w:type="pct"/>
            <w:tcBorders>
              <w:top w:val="nil"/>
              <w:left w:val="nil"/>
              <w:bottom w:val="single" w:color="000000" w:sz="8" w:space="0"/>
              <w:right w:val="single" w:color="000000" w:sz="8" w:space="0"/>
            </w:tcBorders>
            <w:noWrap w:val="0"/>
            <w:vAlign w:val="center"/>
          </w:tcPr>
          <w:p w14:paraId="4C3E51F6">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color w:val="000000"/>
                <w:kern w:val="0"/>
                <w:sz w:val="18"/>
                <w:szCs w:val="18"/>
                <w:u w:val="none"/>
                <w:lang w:val="en-US" w:eastAsia="zh-CN" w:bidi="ar"/>
              </w:rPr>
              <w:t>Q=8m</w:t>
            </w:r>
            <w:r>
              <w:rPr>
                <w:rFonts w:hint="eastAsia" w:ascii="宋体" w:hAnsi="宋体" w:eastAsia="宋体" w:cs="宋体"/>
                <w:i w:val="0"/>
                <w:iCs w:val="0"/>
                <w:color w:val="000000"/>
                <w:kern w:val="0"/>
                <w:sz w:val="18"/>
                <w:szCs w:val="18"/>
                <w:u w:val="none"/>
                <w:lang w:val="en-US" w:eastAsia="zh-CN" w:bidi="ar"/>
              </w:rPr>
              <w:t>³</w:t>
            </w:r>
            <w:r>
              <w:rPr>
                <w:rFonts w:hint="default" w:ascii="Times New Roman" w:hAnsi="Times New Roman" w:eastAsia="宋体" w:cs="Times New Roman"/>
                <w:i w:val="0"/>
                <w:iCs w:val="0"/>
                <w:color w:val="000000"/>
                <w:kern w:val="0"/>
                <w:sz w:val="18"/>
                <w:szCs w:val="18"/>
                <w:u w:val="none"/>
                <w:lang w:val="en-US" w:eastAsia="zh-CN" w:bidi="ar"/>
              </w:rPr>
              <w:t>/h</w:t>
            </w:r>
            <w:r>
              <w:rPr>
                <w:rFonts w:hint="eastAsia" w:ascii="宋体" w:hAnsi="宋体" w:eastAsia="宋体" w:cs="宋体"/>
                <w:i w:val="0"/>
                <w:iCs w:val="0"/>
                <w:color w:val="000000"/>
                <w:kern w:val="0"/>
                <w:sz w:val="18"/>
                <w:szCs w:val="18"/>
                <w:u w:val="none"/>
                <w:lang w:val="en-US" w:eastAsia="zh-CN" w:bidi="ar"/>
              </w:rPr>
              <w:t>，</w:t>
            </w:r>
            <w:r>
              <w:rPr>
                <w:rFonts w:hint="default" w:ascii="Times New Roman" w:hAnsi="Times New Roman" w:eastAsia="宋体" w:cs="Times New Roman"/>
                <w:i w:val="0"/>
                <w:iCs w:val="0"/>
                <w:color w:val="000000"/>
                <w:kern w:val="0"/>
                <w:sz w:val="18"/>
                <w:szCs w:val="18"/>
                <w:u w:val="none"/>
                <w:lang w:val="en-US" w:eastAsia="zh-CN" w:bidi="ar"/>
              </w:rPr>
              <w:t>P=1.2mpa</w:t>
            </w:r>
            <w:r>
              <w:rPr>
                <w:rFonts w:hint="eastAsia" w:ascii="宋体" w:hAnsi="宋体" w:eastAsia="宋体" w:cs="宋体"/>
                <w:i w:val="0"/>
                <w:iCs w:val="0"/>
                <w:color w:val="000000"/>
                <w:kern w:val="0"/>
                <w:sz w:val="18"/>
                <w:szCs w:val="18"/>
                <w:u w:val="none"/>
                <w:lang w:val="en-US" w:eastAsia="zh-CN" w:bidi="ar"/>
              </w:rPr>
              <w:t>，</w:t>
            </w:r>
            <w:r>
              <w:rPr>
                <w:rFonts w:hint="default" w:ascii="Times New Roman" w:hAnsi="Times New Roman" w:eastAsia="宋体" w:cs="Times New Roman"/>
                <w:i w:val="0"/>
                <w:iCs w:val="0"/>
                <w:color w:val="000000"/>
                <w:kern w:val="0"/>
                <w:sz w:val="18"/>
                <w:szCs w:val="18"/>
                <w:u w:val="none"/>
                <w:lang w:val="en-US" w:eastAsia="zh-CN" w:bidi="ar"/>
              </w:rPr>
              <w:t>N=4kw</w:t>
            </w:r>
          </w:p>
        </w:tc>
      </w:tr>
      <w:tr w14:paraId="1C09989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3" w:hRule="atLeast"/>
        </w:trPr>
        <w:tc>
          <w:tcPr>
            <w:tcW w:w="273" w:type="pct"/>
            <w:tcBorders>
              <w:top w:val="nil"/>
              <w:left w:val="single" w:color="000000" w:sz="8" w:space="0"/>
              <w:bottom w:val="single" w:color="000000" w:sz="8" w:space="0"/>
              <w:right w:val="single" w:color="000000" w:sz="8" w:space="0"/>
            </w:tcBorders>
            <w:noWrap w:val="0"/>
            <w:vAlign w:val="center"/>
          </w:tcPr>
          <w:p w14:paraId="143CC34E">
            <w:pPr>
              <w:spacing w:line="240" w:lineRule="auto"/>
              <w:ind w:firstLine="0" w:firstLineChars="0"/>
              <w:jc w:val="center"/>
              <w:rPr>
                <w:rFonts w:hint="default" w:ascii="Times New Roman" w:hAnsi="Times New Roman" w:eastAsia="宋体" w:cs="Times New Roman"/>
                <w:i w:val="0"/>
                <w:iCs w:val="0"/>
                <w:color w:val="000000"/>
                <w:sz w:val="18"/>
                <w:szCs w:val="18"/>
                <w:u w:val="none"/>
              </w:rPr>
            </w:pPr>
          </w:p>
        </w:tc>
        <w:tc>
          <w:tcPr>
            <w:tcW w:w="675" w:type="pct"/>
            <w:tcBorders>
              <w:top w:val="nil"/>
              <w:left w:val="nil"/>
              <w:bottom w:val="single" w:color="000000" w:sz="8" w:space="0"/>
              <w:right w:val="single" w:color="000000" w:sz="8" w:space="0"/>
            </w:tcBorders>
            <w:noWrap w:val="0"/>
            <w:vAlign w:val="center"/>
          </w:tcPr>
          <w:p w14:paraId="22FDBB67">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污泥脱水系统</w:t>
            </w:r>
          </w:p>
        </w:tc>
        <w:tc>
          <w:tcPr>
            <w:tcW w:w="398" w:type="pct"/>
            <w:tcBorders>
              <w:top w:val="nil"/>
              <w:left w:val="nil"/>
              <w:bottom w:val="single" w:color="000000" w:sz="8" w:space="0"/>
              <w:right w:val="single" w:color="000000" w:sz="8" w:space="0"/>
            </w:tcBorders>
            <w:noWrap w:val="0"/>
            <w:vAlign w:val="center"/>
          </w:tcPr>
          <w:p w14:paraId="2FB16B3A">
            <w:pPr>
              <w:spacing w:line="240" w:lineRule="auto"/>
              <w:ind w:firstLine="0" w:firstLineChars="0"/>
              <w:jc w:val="center"/>
              <w:rPr>
                <w:rFonts w:hint="default" w:ascii="Times New Roman" w:hAnsi="Times New Roman" w:eastAsia="宋体" w:cs="Times New Roman"/>
                <w:i w:val="0"/>
                <w:iCs w:val="0"/>
                <w:color w:val="000000"/>
                <w:sz w:val="18"/>
                <w:szCs w:val="18"/>
                <w:u w:val="none"/>
              </w:rPr>
            </w:pPr>
          </w:p>
        </w:tc>
        <w:tc>
          <w:tcPr>
            <w:tcW w:w="398" w:type="pct"/>
            <w:tcBorders>
              <w:top w:val="nil"/>
              <w:left w:val="nil"/>
              <w:bottom w:val="single" w:color="000000" w:sz="8" w:space="0"/>
              <w:right w:val="single" w:color="000000" w:sz="8" w:space="0"/>
            </w:tcBorders>
            <w:noWrap w:val="0"/>
            <w:vAlign w:val="center"/>
          </w:tcPr>
          <w:p w14:paraId="002852A1">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color w:val="000000"/>
                <w:kern w:val="0"/>
                <w:sz w:val="18"/>
                <w:szCs w:val="18"/>
                <w:u w:val="none"/>
                <w:lang w:val="en-US" w:eastAsia="zh-CN" w:bidi="ar"/>
              </w:rPr>
              <w:t>14</w:t>
            </w:r>
          </w:p>
        </w:tc>
        <w:tc>
          <w:tcPr>
            <w:tcW w:w="398" w:type="pct"/>
            <w:tcBorders>
              <w:top w:val="nil"/>
              <w:left w:val="nil"/>
              <w:bottom w:val="single" w:color="000000" w:sz="8" w:space="0"/>
              <w:right w:val="single" w:color="000000" w:sz="8" w:space="0"/>
            </w:tcBorders>
            <w:noWrap w:val="0"/>
            <w:vAlign w:val="center"/>
          </w:tcPr>
          <w:p w14:paraId="571CB678">
            <w:pPr>
              <w:spacing w:line="240" w:lineRule="auto"/>
              <w:ind w:firstLine="0" w:firstLineChars="0"/>
              <w:jc w:val="center"/>
              <w:rPr>
                <w:rFonts w:hint="default" w:ascii="Times New Roman" w:hAnsi="Times New Roman" w:eastAsia="宋体" w:cs="Times New Roman"/>
                <w:i w:val="0"/>
                <w:iCs w:val="0"/>
                <w:color w:val="000000"/>
                <w:sz w:val="18"/>
                <w:szCs w:val="18"/>
                <w:u w:val="none"/>
              </w:rPr>
            </w:pPr>
          </w:p>
        </w:tc>
        <w:tc>
          <w:tcPr>
            <w:tcW w:w="346" w:type="pct"/>
            <w:tcBorders>
              <w:top w:val="nil"/>
              <w:left w:val="nil"/>
              <w:bottom w:val="single" w:color="000000" w:sz="8" w:space="0"/>
              <w:right w:val="single" w:color="000000" w:sz="8" w:space="0"/>
            </w:tcBorders>
            <w:noWrap w:val="0"/>
            <w:vAlign w:val="center"/>
          </w:tcPr>
          <w:p w14:paraId="78552872">
            <w:pPr>
              <w:spacing w:line="240" w:lineRule="auto"/>
              <w:ind w:firstLine="0" w:firstLineChars="0"/>
              <w:jc w:val="center"/>
              <w:rPr>
                <w:rFonts w:hint="default" w:ascii="Times New Roman" w:hAnsi="Times New Roman" w:eastAsia="宋体" w:cs="Times New Roman"/>
                <w:i w:val="0"/>
                <w:iCs w:val="0"/>
                <w:color w:val="000000"/>
                <w:sz w:val="18"/>
                <w:szCs w:val="18"/>
                <w:u w:val="none"/>
              </w:rPr>
            </w:pPr>
          </w:p>
        </w:tc>
        <w:tc>
          <w:tcPr>
            <w:tcW w:w="326" w:type="pct"/>
            <w:tcBorders>
              <w:top w:val="nil"/>
              <w:left w:val="nil"/>
              <w:bottom w:val="single" w:color="000000" w:sz="8" w:space="0"/>
              <w:right w:val="single" w:color="000000" w:sz="8" w:space="0"/>
            </w:tcBorders>
            <w:noWrap w:val="0"/>
            <w:vAlign w:val="center"/>
          </w:tcPr>
          <w:p w14:paraId="35F49527">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color w:val="000000"/>
                <w:kern w:val="0"/>
                <w:sz w:val="18"/>
                <w:szCs w:val="18"/>
                <w:u w:val="none"/>
                <w:lang w:val="en-US" w:eastAsia="zh-CN" w:bidi="ar"/>
              </w:rPr>
              <w:t>14</w:t>
            </w:r>
          </w:p>
        </w:tc>
        <w:tc>
          <w:tcPr>
            <w:tcW w:w="148" w:type="pct"/>
            <w:tcBorders>
              <w:top w:val="nil"/>
              <w:left w:val="nil"/>
              <w:bottom w:val="single" w:color="000000" w:sz="8" w:space="0"/>
              <w:right w:val="single" w:color="000000" w:sz="8" w:space="0"/>
            </w:tcBorders>
            <w:noWrap w:val="0"/>
            <w:vAlign w:val="center"/>
          </w:tcPr>
          <w:p w14:paraId="2B0CF0A4">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套</w:t>
            </w:r>
          </w:p>
        </w:tc>
        <w:tc>
          <w:tcPr>
            <w:tcW w:w="211" w:type="pct"/>
            <w:tcBorders>
              <w:top w:val="nil"/>
              <w:left w:val="nil"/>
              <w:bottom w:val="single" w:color="000000" w:sz="8" w:space="0"/>
              <w:right w:val="single" w:color="000000" w:sz="8" w:space="0"/>
            </w:tcBorders>
            <w:noWrap w:val="0"/>
            <w:vAlign w:val="center"/>
          </w:tcPr>
          <w:p w14:paraId="49ADE5DE">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color w:val="000000"/>
                <w:kern w:val="0"/>
                <w:sz w:val="18"/>
                <w:szCs w:val="18"/>
                <w:u w:val="none"/>
                <w:lang w:val="en-US" w:eastAsia="zh-CN" w:bidi="ar"/>
              </w:rPr>
              <w:t>1</w:t>
            </w:r>
          </w:p>
        </w:tc>
        <w:tc>
          <w:tcPr>
            <w:tcW w:w="478" w:type="pct"/>
            <w:tcBorders>
              <w:top w:val="nil"/>
              <w:left w:val="nil"/>
              <w:bottom w:val="single" w:color="000000" w:sz="8" w:space="0"/>
              <w:right w:val="single" w:color="000000" w:sz="8" w:space="0"/>
            </w:tcBorders>
            <w:noWrap w:val="0"/>
            <w:vAlign w:val="center"/>
          </w:tcPr>
          <w:p w14:paraId="6ACD4390">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20"/>
                <w:szCs w:val="20"/>
                <w:u w:val="none"/>
              </w:rPr>
            </w:pPr>
            <w:r>
              <w:rPr>
                <w:rFonts w:hint="default" w:ascii="Times New Roman" w:hAnsi="Times New Roman" w:eastAsia="宋体" w:cs="Times New Roman"/>
                <w:i w:val="0"/>
                <w:iCs w:val="0"/>
                <w:color w:val="000000"/>
                <w:kern w:val="0"/>
                <w:sz w:val="20"/>
                <w:szCs w:val="20"/>
                <w:u w:val="none"/>
                <w:lang w:val="en-US" w:eastAsia="zh-CN" w:bidi="ar"/>
              </w:rPr>
              <w:t>140000</w:t>
            </w:r>
          </w:p>
        </w:tc>
        <w:tc>
          <w:tcPr>
            <w:tcW w:w="329" w:type="pct"/>
            <w:tcBorders>
              <w:top w:val="nil"/>
              <w:left w:val="nil"/>
              <w:bottom w:val="single" w:color="000000" w:sz="8" w:space="0"/>
              <w:right w:val="single" w:color="000000" w:sz="8" w:space="0"/>
            </w:tcBorders>
            <w:noWrap w:val="0"/>
            <w:vAlign w:val="center"/>
          </w:tcPr>
          <w:p w14:paraId="15B3BA6C">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b/>
                <w:bCs/>
                <w:i w:val="0"/>
                <w:iCs w:val="0"/>
                <w:color w:val="000000"/>
                <w:sz w:val="18"/>
                <w:szCs w:val="18"/>
                <w:u w:val="none"/>
              </w:rPr>
            </w:pPr>
            <w:r>
              <w:rPr>
                <w:rFonts w:hint="default" w:ascii="Times New Roman" w:hAnsi="Times New Roman" w:eastAsia="宋体" w:cs="Times New Roman"/>
                <w:b/>
                <w:bCs/>
                <w:i w:val="0"/>
                <w:iCs w:val="0"/>
                <w:color w:val="000000"/>
                <w:kern w:val="0"/>
                <w:sz w:val="18"/>
                <w:szCs w:val="18"/>
                <w:u w:val="none"/>
                <w:lang w:val="en-US" w:eastAsia="zh-CN" w:bidi="ar"/>
              </w:rPr>
              <w:t>0.14%</w:t>
            </w:r>
          </w:p>
        </w:tc>
        <w:tc>
          <w:tcPr>
            <w:tcW w:w="1013" w:type="pct"/>
            <w:tcBorders>
              <w:top w:val="nil"/>
              <w:left w:val="nil"/>
              <w:bottom w:val="single" w:color="000000" w:sz="8" w:space="0"/>
              <w:right w:val="single" w:color="000000" w:sz="8" w:space="0"/>
            </w:tcBorders>
            <w:noWrap w:val="0"/>
            <w:vAlign w:val="center"/>
          </w:tcPr>
          <w:p w14:paraId="6A904983">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color w:val="000000"/>
                <w:kern w:val="0"/>
                <w:sz w:val="18"/>
                <w:szCs w:val="18"/>
                <w:u w:val="none"/>
                <w:lang w:val="en-US" w:eastAsia="zh-CN" w:bidi="ar"/>
              </w:rPr>
              <w:t>N=1.5KW</w:t>
            </w:r>
            <w:r>
              <w:rPr>
                <w:rFonts w:hint="eastAsia" w:ascii="宋体" w:hAnsi="宋体" w:eastAsia="宋体" w:cs="宋体"/>
                <w:i w:val="0"/>
                <w:iCs w:val="0"/>
                <w:color w:val="000000"/>
                <w:kern w:val="0"/>
                <w:sz w:val="18"/>
                <w:szCs w:val="18"/>
                <w:u w:val="none"/>
                <w:lang w:val="en-US" w:eastAsia="zh-CN" w:bidi="ar"/>
              </w:rPr>
              <w:t>（成套设备）</w:t>
            </w:r>
          </w:p>
        </w:tc>
      </w:tr>
      <w:tr w14:paraId="2885E25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3" w:hRule="atLeast"/>
        </w:trPr>
        <w:tc>
          <w:tcPr>
            <w:tcW w:w="273" w:type="pct"/>
            <w:tcBorders>
              <w:top w:val="nil"/>
              <w:left w:val="single" w:color="000000" w:sz="8" w:space="0"/>
              <w:bottom w:val="single" w:color="000000" w:sz="8" w:space="0"/>
              <w:right w:val="single" w:color="000000" w:sz="8" w:space="0"/>
            </w:tcBorders>
            <w:noWrap w:val="0"/>
            <w:vAlign w:val="center"/>
          </w:tcPr>
          <w:p w14:paraId="447CBED7">
            <w:pPr>
              <w:spacing w:line="240" w:lineRule="auto"/>
              <w:ind w:firstLine="0" w:firstLineChars="0"/>
              <w:jc w:val="center"/>
              <w:rPr>
                <w:rFonts w:hint="default" w:ascii="Times New Roman" w:hAnsi="Times New Roman" w:eastAsia="宋体" w:cs="Times New Roman"/>
                <w:i w:val="0"/>
                <w:iCs w:val="0"/>
                <w:color w:val="000000"/>
                <w:sz w:val="18"/>
                <w:szCs w:val="18"/>
                <w:u w:val="none"/>
              </w:rPr>
            </w:pPr>
          </w:p>
        </w:tc>
        <w:tc>
          <w:tcPr>
            <w:tcW w:w="675" w:type="pct"/>
            <w:tcBorders>
              <w:top w:val="nil"/>
              <w:left w:val="nil"/>
              <w:bottom w:val="single" w:color="000000" w:sz="8" w:space="0"/>
              <w:right w:val="single" w:color="000000" w:sz="8" w:space="0"/>
            </w:tcBorders>
            <w:noWrap w:val="0"/>
            <w:vAlign w:val="center"/>
          </w:tcPr>
          <w:p w14:paraId="3F691624">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排放泵</w:t>
            </w:r>
          </w:p>
        </w:tc>
        <w:tc>
          <w:tcPr>
            <w:tcW w:w="398" w:type="pct"/>
            <w:tcBorders>
              <w:top w:val="nil"/>
              <w:left w:val="nil"/>
              <w:bottom w:val="single" w:color="000000" w:sz="8" w:space="0"/>
              <w:right w:val="single" w:color="000000" w:sz="8" w:space="0"/>
            </w:tcBorders>
            <w:noWrap w:val="0"/>
            <w:vAlign w:val="center"/>
          </w:tcPr>
          <w:p w14:paraId="496B5A18">
            <w:pPr>
              <w:spacing w:line="240" w:lineRule="auto"/>
              <w:ind w:firstLine="0" w:firstLineChars="0"/>
              <w:jc w:val="center"/>
              <w:rPr>
                <w:rFonts w:hint="default" w:ascii="Times New Roman" w:hAnsi="Times New Roman" w:eastAsia="宋体" w:cs="Times New Roman"/>
                <w:i w:val="0"/>
                <w:iCs w:val="0"/>
                <w:color w:val="000000"/>
                <w:sz w:val="18"/>
                <w:szCs w:val="18"/>
                <w:u w:val="none"/>
              </w:rPr>
            </w:pPr>
          </w:p>
        </w:tc>
        <w:tc>
          <w:tcPr>
            <w:tcW w:w="398" w:type="pct"/>
            <w:tcBorders>
              <w:top w:val="nil"/>
              <w:left w:val="nil"/>
              <w:bottom w:val="single" w:color="000000" w:sz="8" w:space="0"/>
              <w:right w:val="single" w:color="000000" w:sz="8" w:space="0"/>
            </w:tcBorders>
            <w:noWrap w:val="0"/>
            <w:vAlign w:val="center"/>
          </w:tcPr>
          <w:p w14:paraId="5A32414D">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color w:val="000000"/>
                <w:kern w:val="0"/>
                <w:sz w:val="18"/>
                <w:szCs w:val="18"/>
                <w:u w:val="none"/>
                <w:lang w:val="en-US" w:eastAsia="zh-CN" w:bidi="ar"/>
              </w:rPr>
              <w:t>0.6</w:t>
            </w:r>
          </w:p>
        </w:tc>
        <w:tc>
          <w:tcPr>
            <w:tcW w:w="398" w:type="pct"/>
            <w:tcBorders>
              <w:top w:val="nil"/>
              <w:left w:val="nil"/>
              <w:bottom w:val="single" w:color="000000" w:sz="8" w:space="0"/>
              <w:right w:val="single" w:color="000000" w:sz="8" w:space="0"/>
            </w:tcBorders>
            <w:noWrap w:val="0"/>
            <w:vAlign w:val="center"/>
          </w:tcPr>
          <w:p w14:paraId="18382A88">
            <w:pPr>
              <w:spacing w:line="240" w:lineRule="auto"/>
              <w:ind w:firstLine="0" w:firstLineChars="0"/>
              <w:jc w:val="center"/>
              <w:rPr>
                <w:rFonts w:hint="default" w:ascii="Times New Roman" w:hAnsi="Times New Roman" w:eastAsia="宋体" w:cs="Times New Roman"/>
                <w:i w:val="0"/>
                <w:iCs w:val="0"/>
                <w:color w:val="000000"/>
                <w:sz w:val="18"/>
                <w:szCs w:val="18"/>
                <w:u w:val="none"/>
              </w:rPr>
            </w:pPr>
          </w:p>
        </w:tc>
        <w:tc>
          <w:tcPr>
            <w:tcW w:w="346" w:type="pct"/>
            <w:tcBorders>
              <w:top w:val="nil"/>
              <w:left w:val="nil"/>
              <w:bottom w:val="single" w:color="000000" w:sz="8" w:space="0"/>
              <w:right w:val="single" w:color="000000" w:sz="8" w:space="0"/>
            </w:tcBorders>
            <w:noWrap w:val="0"/>
            <w:vAlign w:val="center"/>
          </w:tcPr>
          <w:p w14:paraId="2B8A7A3E">
            <w:pPr>
              <w:spacing w:line="240" w:lineRule="auto"/>
              <w:ind w:firstLine="0" w:firstLineChars="0"/>
              <w:jc w:val="center"/>
              <w:rPr>
                <w:rFonts w:hint="default" w:ascii="Times New Roman" w:hAnsi="Times New Roman" w:eastAsia="宋体" w:cs="Times New Roman"/>
                <w:i w:val="0"/>
                <w:iCs w:val="0"/>
                <w:color w:val="000000"/>
                <w:sz w:val="18"/>
                <w:szCs w:val="18"/>
                <w:u w:val="none"/>
              </w:rPr>
            </w:pPr>
          </w:p>
        </w:tc>
        <w:tc>
          <w:tcPr>
            <w:tcW w:w="326" w:type="pct"/>
            <w:tcBorders>
              <w:top w:val="nil"/>
              <w:left w:val="nil"/>
              <w:bottom w:val="single" w:color="000000" w:sz="8" w:space="0"/>
              <w:right w:val="single" w:color="000000" w:sz="8" w:space="0"/>
            </w:tcBorders>
            <w:noWrap w:val="0"/>
            <w:vAlign w:val="center"/>
          </w:tcPr>
          <w:p w14:paraId="598BD3E9">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color w:val="000000"/>
                <w:kern w:val="0"/>
                <w:sz w:val="18"/>
                <w:szCs w:val="18"/>
                <w:u w:val="none"/>
                <w:lang w:val="en-US" w:eastAsia="zh-CN" w:bidi="ar"/>
              </w:rPr>
              <w:t>0.6</w:t>
            </w:r>
          </w:p>
        </w:tc>
        <w:tc>
          <w:tcPr>
            <w:tcW w:w="148" w:type="pct"/>
            <w:tcBorders>
              <w:top w:val="nil"/>
              <w:left w:val="nil"/>
              <w:bottom w:val="single" w:color="000000" w:sz="8" w:space="0"/>
              <w:right w:val="single" w:color="000000" w:sz="8" w:space="0"/>
            </w:tcBorders>
            <w:noWrap w:val="0"/>
            <w:vAlign w:val="center"/>
          </w:tcPr>
          <w:p w14:paraId="04B40625">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台</w:t>
            </w:r>
          </w:p>
        </w:tc>
        <w:tc>
          <w:tcPr>
            <w:tcW w:w="211" w:type="pct"/>
            <w:tcBorders>
              <w:top w:val="nil"/>
              <w:left w:val="nil"/>
              <w:bottom w:val="single" w:color="000000" w:sz="8" w:space="0"/>
              <w:right w:val="single" w:color="000000" w:sz="8" w:space="0"/>
            </w:tcBorders>
            <w:noWrap w:val="0"/>
            <w:vAlign w:val="center"/>
          </w:tcPr>
          <w:p w14:paraId="5E1411F5">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color w:val="000000"/>
                <w:kern w:val="0"/>
                <w:sz w:val="18"/>
                <w:szCs w:val="18"/>
                <w:u w:val="none"/>
                <w:lang w:val="en-US" w:eastAsia="zh-CN" w:bidi="ar"/>
              </w:rPr>
              <w:t>2</w:t>
            </w:r>
          </w:p>
        </w:tc>
        <w:tc>
          <w:tcPr>
            <w:tcW w:w="478" w:type="pct"/>
            <w:tcBorders>
              <w:top w:val="nil"/>
              <w:left w:val="nil"/>
              <w:bottom w:val="single" w:color="000000" w:sz="8" w:space="0"/>
              <w:right w:val="single" w:color="000000" w:sz="8" w:space="0"/>
            </w:tcBorders>
            <w:noWrap w:val="0"/>
            <w:vAlign w:val="center"/>
          </w:tcPr>
          <w:p w14:paraId="136D9F75">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20"/>
                <w:szCs w:val="20"/>
                <w:u w:val="none"/>
              </w:rPr>
            </w:pPr>
            <w:r>
              <w:rPr>
                <w:rFonts w:hint="default" w:ascii="Times New Roman" w:hAnsi="Times New Roman" w:eastAsia="宋体" w:cs="Times New Roman"/>
                <w:i w:val="0"/>
                <w:iCs w:val="0"/>
                <w:color w:val="000000"/>
                <w:kern w:val="0"/>
                <w:sz w:val="20"/>
                <w:szCs w:val="20"/>
                <w:u w:val="none"/>
                <w:lang w:val="en-US" w:eastAsia="zh-CN" w:bidi="ar"/>
              </w:rPr>
              <w:t>3000</w:t>
            </w:r>
          </w:p>
        </w:tc>
        <w:tc>
          <w:tcPr>
            <w:tcW w:w="329" w:type="pct"/>
            <w:tcBorders>
              <w:top w:val="nil"/>
              <w:left w:val="nil"/>
              <w:bottom w:val="single" w:color="000000" w:sz="8" w:space="0"/>
              <w:right w:val="single" w:color="000000" w:sz="8" w:space="0"/>
            </w:tcBorders>
            <w:noWrap w:val="0"/>
            <w:vAlign w:val="center"/>
          </w:tcPr>
          <w:p w14:paraId="699E5E77">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b/>
                <w:bCs/>
                <w:i w:val="0"/>
                <w:iCs w:val="0"/>
                <w:color w:val="000000"/>
                <w:sz w:val="18"/>
                <w:szCs w:val="18"/>
                <w:u w:val="none"/>
              </w:rPr>
            </w:pPr>
            <w:r>
              <w:rPr>
                <w:rFonts w:hint="default" w:ascii="Times New Roman" w:hAnsi="Times New Roman" w:eastAsia="宋体" w:cs="Times New Roman"/>
                <w:b/>
                <w:bCs/>
                <w:i w:val="0"/>
                <w:iCs w:val="0"/>
                <w:color w:val="000000"/>
                <w:kern w:val="0"/>
                <w:sz w:val="18"/>
                <w:szCs w:val="18"/>
                <w:u w:val="none"/>
                <w:lang w:val="en-US" w:eastAsia="zh-CN" w:bidi="ar"/>
              </w:rPr>
              <w:t>0.01%</w:t>
            </w:r>
          </w:p>
        </w:tc>
        <w:tc>
          <w:tcPr>
            <w:tcW w:w="1013" w:type="pct"/>
            <w:tcBorders>
              <w:top w:val="nil"/>
              <w:left w:val="nil"/>
              <w:bottom w:val="single" w:color="000000" w:sz="8" w:space="0"/>
              <w:right w:val="single" w:color="000000" w:sz="8" w:space="0"/>
            </w:tcBorders>
            <w:noWrap w:val="0"/>
            <w:vAlign w:val="center"/>
          </w:tcPr>
          <w:p w14:paraId="058DF3FA">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color w:val="000000"/>
                <w:kern w:val="0"/>
                <w:sz w:val="18"/>
                <w:szCs w:val="18"/>
                <w:u w:val="none"/>
                <w:lang w:val="en-US" w:eastAsia="zh-CN" w:bidi="ar"/>
              </w:rPr>
              <w:t>Q=8m</w:t>
            </w:r>
            <w:r>
              <w:rPr>
                <w:rFonts w:hint="eastAsia" w:ascii="宋体" w:hAnsi="宋体" w:eastAsia="宋体" w:cs="宋体"/>
                <w:i w:val="0"/>
                <w:iCs w:val="0"/>
                <w:color w:val="000000"/>
                <w:kern w:val="0"/>
                <w:sz w:val="18"/>
                <w:szCs w:val="18"/>
                <w:u w:val="none"/>
                <w:lang w:val="en-US" w:eastAsia="zh-CN" w:bidi="ar"/>
              </w:rPr>
              <w:t>³</w:t>
            </w:r>
            <w:r>
              <w:rPr>
                <w:rFonts w:hint="default" w:ascii="Times New Roman" w:hAnsi="Times New Roman" w:eastAsia="宋体" w:cs="Times New Roman"/>
                <w:i w:val="0"/>
                <w:iCs w:val="0"/>
                <w:color w:val="000000"/>
                <w:kern w:val="0"/>
                <w:sz w:val="18"/>
                <w:szCs w:val="18"/>
                <w:u w:val="none"/>
                <w:lang w:val="en-US" w:eastAsia="zh-CN" w:bidi="ar"/>
              </w:rPr>
              <w:t>/h</w:t>
            </w:r>
            <w:r>
              <w:rPr>
                <w:rFonts w:hint="eastAsia" w:ascii="宋体" w:hAnsi="宋体" w:eastAsia="宋体" w:cs="宋体"/>
                <w:i w:val="0"/>
                <w:iCs w:val="0"/>
                <w:color w:val="000000"/>
                <w:kern w:val="0"/>
                <w:sz w:val="18"/>
                <w:szCs w:val="18"/>
                <w:u w:val="none"/>
                <w:lang w:val="en-US" w:eastAsia="zh-CN" w:bidi="ar"/>
              </w:rPr>
              <w:t>，</w:t>
            </w:r>
            <w:r>
              <w:rPr>
                <w:rFonts w:hint="default" w:ascii="Times New Roman" w:hAnsi="Times New Roman" w:eastAsia="宋体" w:cs="Times New Roman"/>
                <w:i w:val="0"/>
                <w:iCs w:val="0"/>
                <w:color w:val="000000"/>
                <w:kern w:val="0"/>
                <w:sz w:val="18"/>
                <w:szCs w:val="18"/>
                <w:u w:val="none"/>
                <w:lang w:val="en-US" w:eastAsia="zh-CN" w:bidi="ar"/>
              </w:rPr>
              <w:t>H=15m</w:t>
            </w:r>
            <w:r>
              <w:rPr>
                <w:rFonts w:hint="eastAsia" w:ascii="宋体" w:hAnsi="宋体" w:eastAsia="宋体" w:cs="宋体"/>
                <w:i w:val="0"/>
                <w:iCs w:val="0"/>
                <w:color w:val="000000"/>
                <w:kern w:val="0"/>
                <w:sz w:val="18"/>
                <w:szCs w:val="18"/>
                <w:u w:val="none"/>
                <w:lang w:val="en-US" w:eastAsia="zh-CN" w:bidi="ar"/>
              </w:rPr>
              <w:t>，</w:t>
            </w:r>
            <w:r>
              <w:rPr>
                <w:rFonts w:hint="default" w:ascii="Times New Roman" w:hAnsi="Times New Roman" w:eastAsia="宋体" w:cs="Times New Roman"/>
                <w:i w:val="0"/>
                <w:iCs w:val="0"/>
                <w:color w:val="000000"/>
                <w:kern w:val="0"/>
                <w:sz w:val="18"/>
                <w:szCs w:val="18"/>
                <w:u w:val="none"/>
                <w:lang w:val="en-US" w:eastAsia="zh-CN" w:bidi="ar"/>
              </w:rPr>
              <w:t>N=1.1kw</w:t>
            </w:r>
          </w:p>
        </w:tc>
      </w:tr>
      <w:tr w14:paraId="5B0E4DB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3" w:hRule="atLeast"/>
        </w:trPr>
        <w:tc>
          <w:tcPr>
            <w:tcW w:w="273" w:type="pct"/>
            <w:tcBorders>
              <w:top w:val="nil"/>
              <w:left w:val="single" w:color="000000" w:sz="8" w:space="0"/>
              <w:bottom w:val="single" w:color="000000" w:sz="8" w:space="0"/>
              <w:right w:val="single" w:color="000000" w:sz="8" w:space="0"/>
            </w:tcBorders>
            <w:noWrap w:val="0"/>
            <w:vAlign w:val="center"/>
          </w:tcPr>
          <w:p w14:paraId="34F2B585">
            <w:pPr>
              <w:spacing w:line="240" w:lineRule="auto"/>
              <w:ind w:firstLine="0" w:firstLineChars="0"/>
              <w:jc w:val="center"/>
              <w:rPr>
                <w:rFonts w:hint="default" w:ascii="Times New Roman" w:hAnsi="Times New Roman" w:eastAsia="宋体" w:cs="Times New Roman"/>
                <w:i w:val="0"/>
                <w:iCs w:val="0"/>
                <w:color w:val="000000"/>
                <w:sz w:val="18"/>
                <w:szCs w:val="18"/>
                <w:u w:val="none"/>
              </w:rPr>
            </w:pPr>
          </w:p>
        </w:tc>
        <w:tc>
          <w:tcPr>
            <w:tcW w:w="675" w:type="pct"/>
            <w:tcBorders>
              <w:top w:val="nil"/>
              <w:left w:val="nil"/>
              <w:bottom w:val="single" w:color="000000" w:sz="8" w:space="0"/>
              <w:right w:val="single" w:color="000000" w:sz="8" w:space="0"/>
            </w:tcBorders>
            <w:noWrap w:val="0"/>
            <w:vAlign w:val="center"/>
          </w:tcPr>
          <w:p w14:paraId="51F646BD">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电气控制系统</w:t>
            </w:r>
          </w:p>
        </w:tc>
        <w:tc>
          <w:tcPr>
            <w:tcW w:w="398" w:type="pct"/>
            <w:tcBorders>
              <w:top w:val="nil"/>
              <w:left w:val="nil"/>
              <w:bottom w:val="single" w:color="000000" w:sz="8" w:space="0"/>
              <w:right w:val="single" w:color="000000" w:sz="8" w:space="0"/>
            </w:tcBorders>
            <w:noWrap w:val="0"/>
            <w:vAlign w:val="center"/>
          </w:tcPr>
          <w:p w14:paraId="5EFA1441">
            <w:pPr>
              <w:spacing w:line="240" w:lineRule="auto"/>
              <w:ind w:firstLine="0" w:firstLineChars="0"/>
              <w:jc w:val="center"/>
              <w:rPr>
                <w:rFonts w:hint="default" w:ascii="Times New Roman" w:hAnsi="Times New Roman" w:eastAsia="宋体" w:cs="Times New Roman"/>
                <w:i w:val="0"/>
                <w:iCs w:val="0"/>
                <w:color w:val="000000"/>
                <w:sz w:val="18"/>
                <w:szCs w:val="18"/>
                <w:u w:val="none"/>
              </w:rPr>
            </w:pPr>
          </w:p>
        </w:tc>
        <w:tc>
          <w:tcPr>
            <w:tcW w:w="398" w:type="pct"/>
            <w:tcBorders>
              <w:top w:val="nil"/>
              <w:left w:val="nil"/>
              <w:bottom w:val="single" w:color="000000" w:sz="8" w:space="0"/>
              <w:right w:val="single" w:color="000000" w:sz="8" w:space="0"/>
            </w:tcBorders>
            <w:noWrap w:val="0"/>
            <w:vAlign w:val="center"/>
          </w:tcPr>
          <w:p w14:paraId="07661311">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color w:val="000000"/>
                <w:kern w:val="0"/>
                <w:sz w:val="18"/>
                <w:szCs w:val="18"/>
                <w:u w:val="none"/>
                <w:lang w:val="en-US" w:eastAsia="zh-CN" w:bidi="ar"/>
              </w:rPr>
              <w:t>43</w:t>
            </w:r>
          </w:p>
        </w:tc>
        <w:tc>
          <w:tcPr>
            <w:tcW w:w="398" w:type="pct"/>
            <w:tcBorders>
              <w:top w:val="nil"/>
              <w:left w:val="nil"/>
              <w:bottom w:val="single" w:color="000000" w:sz="8" w:space="0"/>
              <w:right w:val="single" w:color="000000" w:sz="8" w:space="0"/>
            </w:tcBorders>
            <w:noWrap w:val="0"/>
            <w:vAlign w:val="center"/>
          </w:tcPr>
          <w:p w14:paraId="1E08D363">
            <w:pPr>
              <w:spacing w:line="240" w:lineRule="auto"/>
              <w:ind w:firstLine="0" w:firstLineChars="0"/>
              <w:jc w:val="center"/>
              <w:rPr>
                <w:rFonts w:hint="default" w:ascii="Times New Roman" w:hAnsi="Times New Roman" w:eastAsia="宋体" w:cs="Times New Roman"/>
                <w:i w:val="0"/>
                <w:iCs w:val="0"/>
                <w:color w:val="000000"/>
                <w:sz w:val="18"/>
                <w:szCs w:val="18"/>
                <w:u w:val="none"/>
              </w:rPr>
            </w:pPr>
          </w:p>
        </w:tc>
        <w:tc>
          <w:tcPr>
            <w:tcW w:w="346" w:type="pct"/>
            <w:tcBorders>
              <w:top w:val="nil"/>
              <w:left w:val="nil"/>
              <w:bottom w:val="single" w:color="000000" w:sz="8" w:space="0"/>
              <w:right w:val="single" w:color="000000" w:sz="8" w:space="0"/>
            </w:tcBorders>
            <w:noWrap w:val="0"/>
            <w:vAlign w:val="center"/>
          </w:tcPr>
          <w:p w14:paraId="70BA0763">
            <w:pPr>
              <w:spacing w:line="240" w:lineRule="auto"/>
              <w:ind w:firstLine="0" w:firstLineChars="0"/>
              <w:jc w:val="center"/>
              <w:rPr>
                <w:rFonts w:hint="default" w:ascii="Times New Roman" w:hAnsi="Times New Roman" w:eastAsia="宋体" w:cs="Times New Roman"/>
                <w:i w:val="0"/>
                <w:iCs w:val="0"/>
                <w:color w:val="000000"/>
                <w:sz w:val="18"/>
                <w:szCs w:val="18"/>
                <w:u w:val="none"/>
              </w:rPr>
            </w:pPr>
          </w:p>
        </w:tc>
        <w:tc>
          <w:tcPr>
            <w:tcW w:w="326" w:type="pct"/>
            <w:tcBorders>
              <w:top w:val="nil"/>
              <w:left w:val="nil"/>
              <w:bottom w:val="single" w:color="000000" w:sz="8" w:space="0"/>
              <w:right w:val="single" w:color="000000" w:sz="8" w:space="0"/>
            </w:tcBorders>
            <w:noWrap w:val="0"/>
            <w:vAlign w:val="center"/>
          </w:tcPr>
          <w:p w14:paraId="423F35B5">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color w:val="000000"/>
                <w:kern w:val="0"/>
                <w:sz w:val="18"/>
                <w:szCs w:val="18"/>
                <w:u w:val="none"/>
                <w:lang w:val="en-US" w:eastAsia="zh-CN" w:bidi="ar"/>
              </w:rPr>
              <w:t>43</w:t>
            </w:r>
          </w:p>
        </w:tc>
        <w:tc>
          <w:tcPr>
            <w:tcW w:w="148" w:type="pct"/>
            <w:tcBorders>
              <w:top w:val="nil"/>
              <w:left w:val="nil"/>
              <w:bottom w:val="single" w:color="000000" w:sz="8" w:space="0"/>
              <w:right w:val="single" w:color="000000" w:sz="8" w:space="0"/>
            </w:tcBorders>
            <w:noWrap w:val="0"/>
            <w:vAlign w:val="center"/>
          </w:tcPr>
          <w:p w14:paraId="67C72AC7">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套</w:t>
            </w:r>
          </w:p>
        </w:tc>
        <w:tc>
          <w:tcPr>
            <w:tcW w:w="211" w:type="pct"/>
            <w:tcBorders>
              <w:top w:val="nil"/>
              <w:left w:val="nil"/>
              <w:bottom w:val="single" w:color="000000" w:sz="8" w:space="0"/>
              <w:right w:val="single" w:color="000000" w:sz="8" w:space="0"/>
            </w:tcBorders>
            <w:noWrap w:val="0"/>
            <w:vAlign w:val="center"/>
          </w:tcPr>
          <w:p w14:paraId="3F846B94">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color w:val="000000"/>
                <w:kern w:val="0"/>
                <w:sz w:val="18"/>
                <w:szCs w:val="18"/>
                <w:u w:val="none"/>
                <w:lang w:val="en-US" w:eastAsia="zh-CN" w:bidi="ar"/>
              </w:rPr>
              <w:t>1</w:t>
            </w:r>
          </w:p>
        </w:tc>
        <w:tc>
          <w:tcPr>
            <w:tcW w:w="478" w:type="pct"/>
            <w:tcBorders>
              <w:top w:val="nil"/>
              <w:left w:val="nil"/>
              <w:bottom w:val="single" w:color="000000" w:sz="8" w:space="0"/>
              <w:right w:val="single" w:color="000000" w:sz="8" w:space="0"/>
            </w:tcBorders>
            <w:noWrap w:val="0"/>
            <w:vAlign w:val="center"/>
          </w:tcPr>
          <w:p w14:paraId="017FEF11">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20"/>
                <w:szCs w:val="20"/>
                <w:u w:val="none"/>
              </w:rPr>
            </w:pPr>
            <w:r>
              <w:rPr>
                <w:rFonts w:hint="default" w:ascii="Times New Roman" w:hAnsi="Times New Roman" w:eastAsia="宋体" w:cs="Times New Roman"/>
                <w:i w:val="0"/>
                <w:iCs w:val="0"/>
                <w:color w:val="000000"/>
                <w:kern w:val="0"/>
                <w:sz w:val="20"/>
                <w:szCs w:val="20"/>
                <w:u w:val="none"/>
                <w:lang w:val="en-US" w:eastAsia="zh-CN" w:bidi="ar"/>
              </w:rPr>
              <w:t>430000</w:t>
            </w:r>
          </w:p>
        </w:tc>
        <w:tc>
          <w:tcPr>
            <w:tcW w:w="329" w:type="pct"/>
            <w:tcBorders>
              <w:top w:val="nil"/>
              <w:left w:val="nil"/>
              <w:bottom w:val="single" w:color="000000" w:sz="8" w:space="0"/>
              <w:right w:val="single" w:color="000000" w:sz="8" w:space="0"/>
            </w:tcBorders>
            <w:noWrap w:val="0"/>
            <w:vAlign w:val="center"/>
          </w:tcPr>
          <w:p w14:paraId="6F6D1918">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b/>
                <w:bCs/>
                <w:i w:val="0"/>
                <w:iCs w:val="0"/>
                <w:color w:val="000000"/>
                <w:sz w:val="18"/>
                <w:szCs w:val="18"/>
                <w:u w:val="none"/>
              </w:rPr>
            </w:pPr>
            <w:r>
              <w:rPr>
                <w:rFonts w:hint="default" w:ascii="Times New Roman" w:hAnsi="Times New Roman" w:eastAsia="宋体" w:cs="Times New Roman"/>
                <w:b/>
                <w:bCs/>
                <w:i w:val="0"/>
                <w:iCs w:val="0"/>
                <w:color w:val="000000"/>
                <w:kern w:val="0"/>
                <w:sz w:val="18"/>
                <w:szCs w:val="18"/>
                <w:u w:val="none"/>
                <w:lang w:val="en-US" w:eastAsia="zh-CN" w:bidi="ar"/>
              </w:rPr>
              <w:t>0.42%</w:t>
            </w:r>
          </w:p>
        </w:tc>
        <w:tc>
          <w:tcPr>
            <w:tcW w:w="1013" w:type="pct"/>
            <w:tcBorders>
              <w:top w:val="nil"/>
              <w:left w:val="nil"/>
              <w:bottom w:val="single" w:color="000000" w:sz="8" w:space="0"/>
              <w:right w:val="single" w:color="000000" w:sz="8" w:space="0"/>
            </w:tcBorders>
            <w:noWrap w:val="0"/>
            <w:vAlign w:val="center"/>
          </w:tcPr>
          <w:p w14:paraId="385EAB0B">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含现场柜、</w:t>
            </w:r>
            <w:r>
              <w:rPr>
                <w:rFonts w:hint="default" w:ascii="Times New Roman" w:hAnsi="Times New Roman" w:eastAsia="宋体" w:cs="Times New Roman"/>
                <w:i w:val="0"/>
                <w:iCs w:val="0"/>
                <w:color w:val="000000"/>
                <w:kern w:val="0"/>
                <w:sz w:val="18"/>
                <w:szCs w:val="18"/>
                <w:u w:val="none"/>
                <w:lang w:val="en-US" w:eastAsia="zh-CN" w:bidi="ar"/>
              </w:rPr>
              <w:t>PLC</w:t>
            </w:r>
            <w:r>
              <w:rPr>
                <w:rFonts w:hint="eastAsia" w:ascii="宋体" w:hAnsi="宋体" w:eastAsia="宋体" w:cs="宋体"/>
                <w:i w:val="0"/>
                <w:iCs w:val="0"/>
                <w:color w:val="000000"/>
                <w:kern w:val="0"/>
                <w:sz w:val="18"/>
                <w:szCs w:val="18"/>
                <w:u w:val="none"/>
                <w:lang w:val="en-US" w:eastAsia="zh-CN" w:bidi="ar"/>
              </w:rPr>
              <w:t>等</w:t>
            </w:r>
          </w:p>
        </w:tc>
      </w:tr>
      <w:tr w14:paraId="33EF8AC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3" w:hRule="atLeast"/>
        </w:trPr>
        <w:tc>
          <w:tcPr>
            <w:tcW w:w="273" w:type="pct"/>
            <w:tcBorders>
              <w:top w:val="nil"/>
              <w:left w:val="single" w:color="000000" w:sz="8" w:space="0"/>
              <w:bottom w:val="single" w:color="000000" w:sz="8" w:space="0"/>
              <w:right w:val="single" w:color="000000" w:sz="8" w:space="0"/>
            </w:tcBorders>
            <w:noWrap w:val="0"/>
            <w:vAlign w:val="center"/>
          </w:tcPr>
          <w:p w14:paraId="40A35E47">
            <w:pPr>
              <w:spacing w:line="240" w:lineRule="auto"/>
              <w:ind w:firstLine="0" w:firstLineChars="0"/>
              <w:jc w:val="center"/>
              <w:rPr>
                <w:rFonts w:hint="default" w:ascii="Times New Roman" w:hAnsi="Times New Roman" w:eastAsia="宋体" w:cs="Times New Roman"/>
                <w:i w:val="0"/>
                <w:iCs w:val="0"/>
                <w:color w:val="000000"/>
                <w:sz w:val="18"/>
                <w:szCs w:val="18"/>
                <w:u w:val="none"/>
              </w:rPr>
            </w:pPr>
          </w:p>
        </w:tc>
        <w:tc>
          <w:tcPr>
            <w:tcW w:w="675" w:type="pct"/>
            <w:tcBorders>
              <w:top w:val="nil"/>
              <w:left w:val="nil"/>
              <w:bottom w:val="single" w:color="000000" w:sz="8" w:space="0"/>
              <w:right w:val="single" w:color="000000" w:sz="8" w:space="0"/>
            </w:tcBorders>
            <w:noWrap w:val="0"/>
            <w:vAlign w:val="center"/>
          </w:tcPr>
          <w:p w14:paraId="1A6A8BEE">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系统仪器仪表</w:t>
            </w:r>
          </w:p>
        </w:tc>
        <w:tc>
          <w:tcPr>
            <w:tcW w:w="398" w:type="pct"/>
            <w:tcBorders>
              <w:top w:val="nil"/>
              <w:left w:val="nil"/>
              <w:bottom w:val="single" w:color="000000" w:sz="8" w:space="0"/>
              <w:right w:val="single" w:color="000000" w:sz="8" w:space="0"/>
            </w:tcBorders>
            <w:noWrap w:val="0"/>
            <w:vAlign w:val="center"/>
          </w:tcPr>
          <w:p w14:paraId="796E2A92">
            <w:pPr>
              <w:spacing w:line="240" w:lineRule="auto"/>
              <w:ind w:firstLine="0" w:firstLineChars="0"/>
              <w:jc w:val="center"/>
              <w:rPr>
                <w:rFonts w:hint="default" w:ascii="Times New Roman" w:hAnsi="Times New Roman" w:eastAsia="宋体" w:cs="Times New Roman"/>
                <w:i w:val="0"/>
                <w:iCs w:val="0"/>
                <w:color w:val="000000"/>
                <w:sz w:val="18"/>
                <w:szCs w:val="18"/>
                <w:u w:val="none"/>
              </w:rPr>
            </w:pPr>
          </w:p>
        </w:tc>
        <w:tc>
          <w:tcPr>
            <w:tcW w:w="398" w:type="pct"/>
            <w:tcBorders>
              <w:top w:val="nil"/>
              <w:left w:val="nil"/>
              <w:bottom w:val="single" w:color="000000" w:sz="8" w:space="0"/>
              <w:right w:val="single" w:color="000000" w:sz="8" w:space="0"/>
            </w:tcBorders>
            <w:noWrap w:val="0"/>
            <w:vAlign w:val="center"/>
          </w:tcPr>
          <w:p w14:paraId="7B556652">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color w:val="000000"/>
                <w:kern w:val="0"/>
                <w:sz w:val="18"/>
                <w:szCs w:val="18"/>
                <w:u w:val="none"/>
                <w:lang w:val="en-US" w:eastAsia="zh-CN" w:bidi="ar"/>
              </w:rPr>
              <w:t>15.5</w:t>
            </w:r>
          </w:p>
        </w:tc>
        <w:tc>
          <w:tcPr>
            <w:tcW w:w="398" w:type="pct"/>
            <w:tcBorders>
              <w:top w:val="nil"/>
              <w:left w:val="nil"/>
              <w:bottom w:val="single" w:color="000000" w:sz="8" w:space="0"/>
              <w:right w:val="single" w:color="000000" w:sz="8" w:space="0"/>
            </w:tcBorders>
            <w:noWrap w:val="0"/>
            <w:vAlign w:val="center"/>
          </w:tcPr>
          <w:p w14:paraId="3673CE2E">
            <w:pPr>
              <w:spacing w:line="240" w:lineRule="auto"/>
              <w:ind w:firstLine="0" w:firstLineChars="0"/>
              <w:jc w:val="center"/>
              <w:rPr>
                <w:rFonts w:hint="default" w:ascii="Times New Roman" w:hAnsi="Times New Roman" w:eastAsia="宋体" w:cs="Times New Roman"/>
                <w:i w:val="0"/>
                <w:iCs w:val="0"/>
                <w:color w:val="000000"/>
                <w:sz w:val="18"/>
                <w:szCs w:val="18"/>
                <w:u w:val="none"/>
              </w:rPr>
            </w:pPr>
          </w:p>
        </w:tc>
        <w:tc>
          <w:tcPr>
            <w:tcW w:w="346" w:type="pct"/>
            <w:tcBorders>
              <w:top w:val="nil"/>
              <w:left w:val="nil"/>
              <w:bottom w:val="single" w:color="000000" w:sz="8" w:space="0"/>
              <w:right w:val="single" w:color="000000" w:sz="8" w:space="0"/>
            </w:tcBorders>
            <w:noWrap w:val="0"/>
            <w:vAlign w:val="center"/>
          </w:tcPr>
          <w:p w14:paraId="71145A35">
            <w:pPr>
              <w:spacing w:line="240" w:lineRule="auto"/>
              <w:ind w:firstLine="0" w:firstLineChars="0"/>
              <w:jc w:val="center"/>
              <w:rPr>
                <w:rFonts w:hint="default" w:ascii="Times New Roman" w:hAnsi="Times New Roman" w:eastAsia="宋体" w:cs="Times New Roman"/>
                <w:i w:val="0"/>
                <w:iCs w:val="0"/>
                <w:color w:val="000000"/>
                <w:sz w:val="18"/>
                <w:szCs w:val="18"/>
                <w:u w:val="none"/>
              </w:rPr>
            </w:pPr>
          </w:p>
        </w:tc>
        <w:tc>
          <w:tcPr>
            <w:tcW w:w="326" w:type="pct"/>
            <w:tcBorders>
              <w:top w:val="nil"/>
              <w:left w:val="nil"/>
              <w:bottom w:val="single" w:color="000000" w:sz="8" w:space="0"/>
              <w:right w:val="single" w:color="000000" w:sz="8" w:space="0"/>
            </w:tcBorders>
            <w:noWrap w:val="0"/>
            <w:vAlign w:val="center"/>
          </w:tcPr>
          <w:p w14:paraId="74BD6256">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color w:val="000000"/>
                <w:kern w:val="0"/>
                <w:sz w:val="18"/>
                <w:szCs w:val="18"/>
                <w:u w:val="none"/>
                <w:lang w:val="en-US" w:eastAsia="zh-CN" w:bidi="ar"/>
              </w:rPr>
              <w:t>15.5</w:t>
            </w:r>
          </w:p>
        </w:tc>
        <w:tc>
          <w:tcPr>
            <w:tcW w:w="148" w:type="pct"/>
            <w:tcBorders>
              <w:top w:val="nil"/>
              <w:left w:val="nil"/>
              <w:bottom w:val="single" w:color="000000" w:sz="8" w:space="0"/>
              <w:right w:val="single" w:color="000000" w:sz="8" w:space="0"/>
            </w:tcBorders>
            <w:noWrap w:val="0"/>
            <w:vAlign w:val="center"/>
          </w:tcPr>
          <w:p w14:paraId="1987A0DA">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套</w:t>
            </w:r>
          </w:p>
        </w:tc>
        <w:tc>
          <w:tcPr>
            <w:tcW w:w="211" w:type="pct"/>
            <w:tcBorders>
              <w:top w:val="nil"/>
              <w:left w:val="nil"/>
              <w:bottom w:val="single" w:color="000000" w:sz="8" w:space="0"/>
              <w:right w:val="single" w:color="000000" w:sz="8" w:space="0"/>
            </w:tcBorders>
            <w:noWrap w:val="0"/>
            <w:vAlign w:val="center"/>
          </w:tcPr>
          <w:p w14:paraId="76D55494">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color w:val="000000"/>
                <w:kern w:val="0"/>
                <w:sz w:val="18"/>
                <w:szCs w:val="18"/>
                <w:u w:val="none"/>
                <w:lang w:val="en-US" w:eastAsia="zh-CN" w:bidi="ar"/>
              </w:rPr>
              <w:t>1</w:t>
            </w:r>
          </w:p>
        </w:tc>
        <w:tc>
          <w:tcPr>
            <w:tcW w:w="478" w:type="pct"/>
            <w:tcBorders>
              <w:top w:val="nil"/>
              <w:left w:val="nil"/>
              <w:bottom w:val="single" w:color="000000" w:sz="8" w:space="0"/>
              <w:right w:val="single" w:color="000000" w:sz="8" w:space="0"/>
            </w:tcBorders>
            <w:noWrap w:val="0"/>
            <w:vAlign w:val="center"/>
          </w:tcPr>
          <w:p w14:paraId="13880CEA">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20"/>
                <w:szCs w:val="20"/>
                <w:u w:val="none"/>
              </w:rPr>
            </w:pPr>
            <w:r>
              <w:rPr>
                <w:rFonts w:hint="default" w:ascii="Times New Roman" w:hAnsi="Times New Roman" w:eastAsia="宋体" w:cs="Times New Roman"/>
                <w:i w:val="0"/>
                <w:iCs w:val="0"/>
                <w:color w:val="000000"/>
                <w:kern w:val="0"/>
                <w:sz w:val="20"/>
                <w:szCs w:val="20"/>
                <w:u w:val="none"/>
                <w:lang w:val="en-US" w:eastAsia="zh-CN" w:bidi="ar"/>
              </w:rPr>
              <w:t>155000</w:t>
            </w:r>
          </w:p>
        </w:tc>
        <w:tc>
          <w:tcPr>
            <w:tcW w:w="329" w:type="pct"/>
            <w:tcBorders>
              <w:top w:val="nil"/>
              <w:left w:val="nil"/>
              <w:bottom w:val="single" w:color="000000" w:sz="8" w:space="0"/>
              <w:right w:val="single" w:color="000000" w:sz="8" w:space="0"/>
            </w:tcBorders>
            <w:noWrap w:val="0"/>
            <w:vAlign w:val="center"/>
          </w:tcPr>
          <w:p w14:paraId="7B347187">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b/>
                <w:bCs/>
                <w:i w:val="0"/>
                <w:iCs w:val="0"/>
                <w:color w:val="000000"/>
                <w:sz w:val="18"/>
                <w:szCs w:val="18"/>
                <w:u w:val="none"/>
              </w:rPr>
            </w:pPr>
            <w:r>
              <w:rPr>
                <w:rFonts w:hint="default" w:ascii="Times New Roman" w:hAnsi="Times New Roman" w:eastAsia="宋体" w:cs="Times New Roman"/>
                <w:b/>
                <w:bCs/>
                <w:i w:val="0"/>
                <w:iCs w:val="0"/>
                <w:color w:val="000000"/>
                <w:kern w:val="0"/>
                <w:sz w:val="18"/>
                <w:szCs w:val="18"/>
                <w:u w:val="none"/>
                <w:lang w:val="en-US" w:eastAsia="zh-CN" w:bidi="ar"/>
              </w:rPr>
              <w:t>0.15%</w:t>
            </w:r>
          </w:p>
        </w:tc>
        <w:tc>
          <w:tcPr>
            <w:tcW w:w="1013" w:type="pct"/>
            <w:tcBorders>
              <w:top w:val="nil"/>
              <w:left w:val="nil"/>
              <w:bottom w:val="single" w:color="000000" w:sz="8" w:space="0"/>
              <w:right w:val="single" w:color="000000" w:sz="8" w:space="0"/>
            </w:tcBorders>
            <w:noWrap w:val="0"/>
            <w:vAlign w:val="center"/>
          </w:tcPr>
          <w:p w14:paraId="4430CDD5">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流量计、压力表、</w:t>
            </w:r>
            <w:r>
              <w:rPr>
                <w:rFonts w:hint="default" w:ascii="Times New Roman" w:hAnsi="Times New Roman" w:eastAsia="宋体" w:cs="Times New Roman"/>
                <w:i w:val="0"/>
                <w:iCs w:val="0"/>
                <w:color w:val="000000"/>
                <w:kern w:val="0"/>
                <w:sz w:val="18"/>
                <w:szCs w:val="18"/>
                <w:u w:val="none"/>
                <w:lang w:val="en-US" w:eastAsia="zh-CN" w:bidi="ar"/>
              </w:rPr>
              <w:t>PH</w:t>
            </w:r>
            <w:r>
              <w:rPr>
                <w:rFonts w:hint="eastAsia" w:ascii="宋体" w:hAnsi="宋体" w:eastAsia="宋体" w:cs="宋体"/>
                <w:i w:val="0"/>
                <w:iCs w:val="0"/>
                <w:color w:val="000000"/>
                <w:kern w:val="0"/>
                <w:sz w:val="18"/>
                <w:szCs w:val="18"/>
                <w:u w:val="none"/>
                <w:lang w:val="en-US" w:eastAsia="zh-CN" w:bidi="ar"/>
              </w:rPr>
              <w:t>计、液位计等</w:t>
            </w:r>
          </w:p>
        </w:tc>
      </w:tr>
      <w:tr w14:paraId="12BD4EA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3" w:hRule="atLeast"/>
        </w:trPr>
        <w:tc>
          <w:tcPr>
            <w:tcW w:w="273" w:type="pct"/>
            <w:tcBorders>
              <w:top w:val="nil"/>
              <w:left w:val="single" w:color="000000" w:sz="8" w:space="0"/>
              <w:bottom w:val="single" w:color="000000" w:sz="8" w:space="0"/>
              <w:right w:val="single" w:color="000000" w:sz="8" w:space="0"/>
            </w:tcBorders>
            <w:noWrap w:val="0"/>
            <w:vAlign w:val="center"/>
          </w:tcPr>
          <w:p w14:paraId="05729B94">
            <w:pPr>
              <w:spacing w:line="240" w:lineRule="auto"/>
              <w:ind w:firstLine="0" w:firstLineChars="0"/>
              <w:jc w:val="center"/>
              <w:rPr>
                <w:rFonts w:hint="default" w:ascii="Times New Roman" w:hAnsi="Times New Roman" w:eastAsia="宋体" w:cs="Times New Roman"/>
                <w:i w:val="0"/>
                <w:iCs w:val="0"/>
                <w:color w:val="000000"/>
                <w:sz w:val="18"/>
                <w:szCs w:val="18"/>
                <w:u w:val="none"/>
              </w:rPr>
            </w:pPr>
          </w:p>
        </w:tc>
        <w:tc>
          <w:tcPr>
            <w:tcW w:w="675" w:type="pct"/>
            <w:tcBorders>
              <w:top w:val="nil"/>
              <w:left w:val="nil"/>
              <w:bottom w:val="single" w:color="000000" w:sz="8" w:space="0"/>
              <w:right w:val="single" w:color="000000" w:sz="8" w:space="0"/>
            </w:tcBorders>
            <w:noWrap w:val="0"/>
            <w:vAlign w:val="center"/>
          </w:tcPr>
          <w:p w14:paraId="7731E73D">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系统管阀及配件</w:t>
            </w:r>
          </w:p>
        </w:tc>
        <w:tc>
          <w:tcPr>
            <w:tcW w:w="398" w:type="pct"/>
            <w:tcBorders>
              <w:top w:val="nil"/>
              <w:left w:val="nil"/>
              <w:bottom w:val="single" w:color="000000" w:sz="8" w:space="0"/>
              <w:right w:val="single" w:color="000000" w:sz="8" w:space="0"/>
            </w:tcBorders>
            <w:noWrap w:val="0"/>
            <w:vAlign w:val="center"/>
          </w:tcPr>
          <w:p w14:paraId="4F8AE6A9">
            <w:pPr>
              <w:spacing w:line="240" w:lineRule="auto"/>
              <w:ind w:firstLine="0" w:firstLineChars="0"/>
              <w:jc w:val="center"/>
              <w:rPr>
                <w:rFonts w:hint="default" w:ascii="Times New Roman" w:hAnsi="Times New Roman" w:eastAsia="宋体" w:cs="Times New Roman"/>
                <w:i w:val="0"/>
                <w:iCs w:val="0"/>
                <w:color w:val="000000"/>
                <w:sz w:val="18"/>
                <w:szCs w:val="18"/>
                <w:u w:val="none"/>
              </w:rPr>
            </w:pPr>
          </w:p>
        </w:tc>
        <w:tc>
          <w:tcPr>
            <w:tcW w:w="398" w:type="pct"/>
            <w:tcBorders>
              <w:top w:val="nil"/>
              <w:left w:val="nil"/>
              <w:bottom w:val="single" w:color="000000" w:sz="8" w:space="0"/>
              <w:right w:val="single" w:color="000000" w:sz="8" w:space="0"/>
            </w:tcBorders>
            <w:noWrap w:val="0"/>
            <w:vAlign w:val="center"/>
          </w:tcPr>
          <w:p w14:paraId="2EC9BB93">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color w:val="000000"/>
                <w:kern w:val="0"/>
                <w:sz w:val="18"/>
                <w:szCs w:val="18"/>
                <w:u w:val="none"/>
                <w:lang w:val="en-US" w:eastAsia="zh-CN" w:bidi="ar"/>
              </w:rPr>
              <w:t>15.5</w:t>
            </w:r>
          </w:p>
        </w:tc>
        <w:tc>
          <w:tcPr>
            <w:tcW w:w="398" w:type="pct"/>
            <w:tcBorders>
              <w:top w:val="nil"/>
              <w:left w:val="nil"/>
              <w:bottom w:val="single" w:color="000000" w:sz="8" w:space="0"/>
              <w:right w:val="single" w:color="000000" w:sz="8" w:space="0"/>
            </w:tcBorders>
            <w:noWrap w:val="0"/>
            <w:vAlign w:val="center"/>
          </w:tcPr>
          <w:p w14:paraId="3A5BC4A0">
            <w:pPr>
              <w:spacing w:line="240" w:lineRule="auto"/>
              <w:ind w:firstLine="0" w:firstLineChars="0"/>
              <w:jc w:val="center"/>
              <w:rPr>
                <w:rFonts w:hint="default" w:ascii="Times New Roman" w:hAnsi="Times New Roman" w:eastAsia="宋体" w:cs="Times New Roman"/>
                <w:i w:val="0"/>
                <w:iCs w:val="0"/>
                <w:color w:val="000000"/>
                <w:sz w:val="18"/>
                <w:szCs w:val="18"/>
                <w:u w:val="none"/>
              </w:rPr>
            </w:pPr>
          </w:p>
        </w:tc>
        <w:tc>
          <w:tcPr>
            <w:tcW w:w="346" w:type="pct"/>
            <w:tcBorders>
              <w:top w:val="nil"/>
              <w:left w:val="nil"/>
              <w:bottom w:val="single" w:color="000000" w:sz="8" w:space="0"/>
              <w:right w:val="single" w:color="000000" w:sz="8" w:space="0"/>
            </w:tcBorders>
            <w:noWrap w:val="0"/>
            <w:vAlign w:val="center"/>
          </w:tcPr>
          <w:p w14:paraId="1C331530">
            <w:pPr>
              <w:spacing w:line="240" w:lineRule="auto"/>
              <w:ind w:firstLine="0" w:firstLineChars="0"/>
              <w:jc w:val="center"/>
              <w:rPr>
                <w:rFonts w:hint="default" w:ascii="Times New Roman" w:hAnsi="Times New Roman" w:eastAsia="宋体" w:cs="Times New Roman"/>
                <w:i w:val="0"/>
                <w:iCs w:val="0"/>
                <w:color w:val="000000"/>
                <w:sz w:val="18"/>
                <w:szCs w:val="18"/>
                <w:u w:val="none"/>
              </w:rPr>
            </w:pPr>
          </w:p>
        </w:tc>
        <w:tc>
          <w:tcPr>
            <w:tcW w:w="326" w:type="pct"/>
            <w:tcBorders>
              <w:top w:val="nil"/>
              <w:left w:val="nil"/>
              <w:bottom w:val="single" w:color="000000" w:sz="8" w:space="0"/>
              <w:right w:val="single" w:color="000000" w:sz="8" w:space="0"/>
            </w:tcBorders>
            <w:noWrap w:val="0"/>
            <w:vAlign w:val="center"/>
          </w:tcPr>
          <w:p w14:paraId="6B56B748">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color w:val="000000"/>
                <w:kern w:val="0"/>
                <w:sz w:val="18"/>
                <w:szCs w:val="18"/>
                <w:u w:val="none"/>
                <w:lang w:val="en-US" w:eastAsia="zh-CN" w:bidi="ar"/>
              </w:rPr>
              <w:t>15.5</w:t>
            </w:r>
          </w:p>
        </w:tc>
        <w:tc>
          <w:tcPr>
            <w:tcW w:w="148" w:type="pct"/>
            <w:tcBorders>
              <w:top w:val="nil"/>
              <w:left w:val="nil"/>
              <w:bottom w:val="single" w:color="000000" w:sz="8" w:space="0"/>
              <w:right w:val="single" w:color="000000" w:sz="8" w:space="0"/>
            </w:tcBorders>
            <w:noWrap w:val="0"/>
            <w:vAlign w:val="center"/>
          </w:tcPr>
          <w:p w14:paraId="1DBBD077">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套</w:t>
            </w:r>
          </w:p>
        </w:tc>
        <w:tc>
          <w:tcPr>
            <w:tcW w:w="211" w:type="pct"/>
            <w:tcBorders>
              <w:top w:val="nil"/>
              <w:left w:val="nil"/>
              <w:bottom w:val="single" w:color="000000" w:sz="8" w:space="0"/>
              <w:right w:val="single" w:color="000000" w:sz="8" w:space="0"/>
            </w:tcBorders>
            <w:noWrap w:val="0"/>
            <w:vAlign w:val="center"/>
          </w:tcPr>
          <w:p w14:paraId="33FD6E31">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color w:val="000000"/>
                <w:kern w:val="0"/>
                <w:sz w:val="18"/>
                <w:szCs w:val="18"/>
                <w:u w:val="none"/>
                <w:lang w:val="en-US" w:eastAsia="zh-CN" w:bidi="ar"/>
              </w:rPr>
              <w:t>1</w:t>
            </w:r>
          </w:p>
        </w:tc>
        <w:tc>
          <w:tcPr>
            <w:tcW w:w="478" w:type="pct"/>
            <w:tcBorders>
              <w:top w:val="nil"/>
              <w:left w:val="nil"/>
              <w:bottom w:val="single" w:color="000000" w:sz="8" w:space="0"/>
              <w:right w:val="single" w:color="000000" w:sz="8" w:space="0"/>
            </w:tcBorders>
            <w:noWrap w:val="0"/>
            <w:vAlign w:val="center"/>
          </w:tcPr>
          <w:p w14:paraId="331143FD">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20"/>
                <w:szCs w:val="20"/>
                <w:u w:val="none"/>
              </w:rPr>
            </w:pPr>
            <w:r>
              <w:rPr>
                <w:rFonts w:hint="default" w:ascii="Times New Roman" w:hAnsi="Times New Roman" w:eastAsia="宋体" w:cs="Times New Roman"/>
                <w:i w:val="0"/>
                <w:iCs w:val="0"/>
                <w:color w:val="000000"/>
                <w:kern w:val="0"/>
                <w:sz w:val="20"/>
                <w:szCs w:val="20"/>
                <w:u w:val="none"/>
                <w:lang w:val="en-US" w:eastAsia="zh-CN" w:bidi="ar"/>
              </w:rPr>
              <w:t>155000</w:t>
            </w:r>
          </w:p>
        </w:tc>
        <w:tc>
          <w:tcPr>
            <w:tcW w:w="329" w:type="pct"/>
            <w:tcBorders>
              <w:top w:val="nil"/>
              <w:left w:val="nil"/>
              <w:bottom w:val="single" w:color="000000" w:sz="8" w:space="0"/>
              <w:right w:val="single" w:color="000000" w:sz="8" w:space="0"/>
            </w:tcBorders>
            <w:noWrap w:val="0"/>
            <w:vAlign w:val="center"/>
          </w:tcPr>
          <w:p w14:paraId="3D4C2790">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b/>
                <w:bCs/>
                <w:i w:val="0"/>
                <w:iCs w:val="0"/>
                <w:color w:val="000000"/>
                <w:sz w:val="18"/>
                <w:szCs w:val="18"/>
                <w:u w:val="none"/>
              </w:rPr>
            </w:pPr>
            <w:r>
              <w:rPr>
                <w:rFonts w:hint="default" w:ascii="Times New Roman" w:hAnsi="Times New Roman" w:eastAsia="宋体" w:cs="Times New Roman"/>
                <w:b/>
                <w:bCs/>
                <w:i w:val="0"/>
                <w:iCs w:val="0"/>
                <w:color w:val="000000"/>
                <w:kern w:val="0"/>
                <w:sz w:val="18"/>
                <w:szCs w:val="18"/>
                <w:u w:val="none"/>
                <w:lang w:val="en-US" w:eastAsia="zh-CN" w:bidi="ar"/>
              </w:rPr>
              <w:t>0.15%</w:t>
            </w:r>
          </w:p>
        </w:tc>
        <w:tc>
          <w:tcPr>
            <w:tcW w:w="1013" w:type="pct"/>
            <w:tcBorders>
              <w:top w:val="nil"/>
              <w:left w:val="nil"/>
              <w:bottom w:val="single" w:color="000000" w:sz="8" w:space="0"/>
              <w:right w:val="single" w:color="000000" w:sz="8" w:space="0"/>
            </w:tcBorders>
            <w:noWrap w:val="0"/>
            <w:vAlign w:val="center"/>
          </w:tcPr>
          <w:p w14:paraId="2B865D00">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含保温防腐</w:t>
            </w:r>
          </w:p>
        </w:tc>
      </w:tr>
      <w:tr w14:paraId="2A3C405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3" w:hRule="atLeast"/>
        </w:trPr>
        <w:tc>
          <w:tcPr>
            <w:tcW w:w="273" w:type="pct"/>
            <w:tcBorders>
              <w:top w:val="nil"/>
              <w:left w:val="single" w:color="000000" w:sz="8" w:space="0"/>
              <w:bottom w:val="single" w:color="000000" w:sz="8" w:space="0"/>
              <w:right w:val="single" w:color="000000" w:sz="8" w:space="0"/>
            </w:tcBorders>
            <w:noWrap w:val="0"/>
            <w:vAlign w:val="center"/>
          </w:tcPr>
          <w:p w14:paraId="5563755A">
            <w:pPr>
              <w:spacing w:line="240" w:lineRule="auto"/>
              <w:ind w:firstLine="0" w:firstLineChars="0"/>
              <w:jc w:val="center"/>
              <w:rPr>
                <w:rFonts w:hint="default" w:ascii="Times New Roman" w:hAnsi="Times New Roman" w:eastAsia="宋体" w:cs="Times New Roman"/>
                <w:i w:val="0"/>
                <w:iCs w:val="0"/>
                <w:color w:val="000000"/>
                <w:sz w:val="18"/>
                <w:szCs w:val="18"/>
                <w:u w:val="none"/>
              </w:rPr>
            </w:pPr>
          </w:p>
        </w:tc>
        <w:tc>
          <w:tcPr>
            <w:tcW w:w="675" w:type="pct"/>
            <w:tcBorders>
              <w:top w:val="nil"/>
              <w:left w:val="nil"/>
              <w:bottom w:val="single" w:color="000000" w:sz="8" w:space="0"/>
              <w:right w:val="single" w:color="000000" w:sz="8" w:space="0"/>
            </w:tcBorders>
            <w:noWrap w:val="0"/>
            <w:vAlign w:val="center"/>
          </w:tcPr>
          <w:p w14:paraId="60E44450">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系统电缆桥架</w:t>
            </w:r>
          </w:p>
        </w:tc>
        <w:tc>
          <w:tcPr>
            <w:tcW w:w="398" w:type="pct"/>
            <w:tcBorders>
              <w:top w:val="nil"/>
              <w:left w:val="nil"/>
              <w:bottom w:val="single" w:color="000000" w:sz="8" w:space="0"/>
              <w:right w:val="single" w:color="000000" w:sz="8" w:space="0"/>
            </w:tcBorders>
            <w:noWrap w:val="0"/>
            <w:vAlign w:val="center"/>
          </w:tcPr>
          <w:p w14:paraId="1E45F46C">
            <w:pPr>
              <w:spacing w:line="240" w:lineRule="auto"/>
              <w:ind w:firstLine="0" w:firstLineChars="0"/>
              <w:jc w:val="center"/>
              <w:rPr>
                <w:rFonts w:hint="default" w:ascii="Times New Roman" w:hAnsi="Times New Roman" w:eastAsia="宋体" w:cs="Times New Roman"/>
                <w:i w:val="0"/>
                <w:iCs w:val="0"/>
                <w:color w:val="000000"/>
                <w:sz w:val="18"/>
                <w:szCs w:val="18"/>
                <w:u w:val="none"/>
              </w:rPr>
            </w:pPr>
          </w:p>
        </w:tc>
        <w:tc>
          <w:tcPr>
            <w:tcW w:w="398" w:type="pct"/>
            <w:tcBorders>
              <w:top w:val="nil"/>
              <w:left w:val="nil"/>
              <w:bottom w:val="single" w:color="000000" w:sz="8" w:space="0"/>
              <w:right w:val="single" w:color="000000" w:sz="8" w:space="0"/>
            </w:tcBorders>
            <w:noWrap w:val="0"/>
            <w:vAlign w:val="center"/>
          </w:tcPr>
          <w:p w14:paraId="263DD53B">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color w:val="000000"/>
                <w:kern w:val="0"/>
                <w:sz w:val="18"/>
                <w:szCs w:val="18"/>
                <w:u w:val="none"/>
                <w:lang w:val="en-US" w:eastAsia="zh-CN" w:bidi="ar"/>
              </w:rPr>
              <w:t>11</w:t>
            </w:r>
          </w:p>
        </w:tc>
        <w:tc>
          <w:tcPr>
            <w:tcW w:w="398" w:type="pct"/>
            <w:tcBorders>
              <w:top w:val="nil"/>
              <w:left w:val="nil"/>
              <w:bottom w:val="single" w:color="000000" w:sz="8" w:space="0"/>
              <w:right w:val="single" w:color="000000" w:sz="8" w:space="0"/>
            </w:tcBorders>
            <w:noWrap w:val="0"/>
            <w:vAlign w:val="center"/>
          </w:tcPr>
          <w:p w14:paraId="53A6B2A6">
            <w:pPr>
              <w:spacing w:line="240" w:lineRule="auto"/>
              <w:ind w:firstLine="0" w:firstLineChars="0"/>
              <w:jc w:val="center"/>
              <w:rPr>
                <w:rFonts w:hint="default" w:ascii="Times New Roman" w:hAnsi="Times New Roman" w:eastAsia="宋体" w:cs="Times New Roman"/>
                <w:i w:val="0"/>
                <w:iCs w:val="0"/>
                <w:color w:val="000000"/>
                <w:sz w:val="18"/>
                <w:szCs w:val="18"/>
                <w:u w:val="none"/>
              </w:rPr>
            </w:pPr>
          </w:p>
        </w:tc>
        <w:tc>
          <w:tcPr>
            <w:tcW w:w="346" w:type="pct"/>
            <w:tcBorders>
              <w:top w:val="nil"/>
              <w:left w:val="nil"/>
              <w:bottom w:val="single" w:color="000000" w:sz="8" w:space="0"/>
              <w:right w:val="single" w:color="000000" w:sz="8" w:space="0"/>
            </w:tcBorders>
            <w:noWrap w:val="0"/>
            <w:vAlign w:val="center"/>
          </w:tcPr>
          <w:p w14:paraId="0F7B1847">
            <w:pPr>
              <w:spacing w:line="240" w:lineRule="auto"/>
              <w:ind w:firstLine="0" w:firstLineChars="0"/>
              <w:jc w:val="center"/>
              <w:rPr>
                <w:rFonts w:hint="default" w:ascii="Times New Roman" w:hAnsi="Times New Roman" w:eastAsia="宋体" w:cs="Times New Roman"/>
                <w:i w:val="0"/>
                <w:iCs w:val="0"/>
                <w:color w:val="000000"/>
                <w:sz w:val="18"/>
                <w:szCs w:val="18"/>
                <w:u w:val="none"/>
              </w:rPr>
            </w:pPr>
          </w:p>
        </w:tc>
        <w:tc>
          <w:tcPr>
            <w:tcW w:w="326" w:type="pct"/>
            <w:tcBorders>
              <w:top w:val="nil"/>
              <w:left w:val="nil"/>
              <w:bottom w:val="single" w:color="000000" w:sz="8" w:space="0"/>
              <w:right w:val="single" w:color="000000" w:sz="8" w:space="0"/>
            </w:tcBorders>
            <w:noWrap w:val="0"/>
            <w:vAlign w:val="center"/>
          </w:tcPr>
          <w:p w14:paraId="39FFC38F">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color w:val="000000"/>
                <w:kern w:val="0"/>
                <w:sz w:val="18"/>
                <w:szCs w:val="18"/>
                <w:u w:val="none"/>
                <w:lang w:val="en-US" w:eastAsia="zh-CN" w:bidi="ar"/>
              </w:rPr>
              <w:t>11</w:t>
            </w:r>
          </w:p>
        </w:tc>
        <w:tc>
          <w:tcPr>
            <w:tcW w:w="148" w:type="pct"/>
            <w:tcBorders>
              <w:top w:val="nil"/>
              <w:left w:val="nil"/>
              <w:bottom w:val="single" w:color="000000" w:sz="8" w:space="0"/>
              <w:right w:val="single" w:color="000000" w:sz="8" w:space="0"/>
            </w:tcBorders>
            <w:noWrap w:val="0"/>
            <w:vAlign w:val="center"/>
          </w:tcPr>
          <w:p w14:paraId="19AC493A">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套</w:t>
            </w:r>
          </w:p>
        </w:tc>
        <w:tc>
          <w:tcPr>
            <w:tcW w:w="211" w:type="pct"/>
            <w:tcBorders>
              <w:top w:val="nil"/>
              <w:left w:val="nil"/>
              <w:bottom w:val="single" w:color="000000" w:sz="8" w:space="0"/>
              <w:right w:val="single" w:color="000000" w:sz="8" w:space="0"/>
            </w:tcBorders>
            <w:noWrap w:val="0"/>
            <w:vAlign w:val="center"/>
          </w:tcPr>
          <w:p w14:paraId="29B76EF6">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color w:val="000000"/>
                <w:kern w:val="0"/>
                <w:sz w:val="18"/>
                <w:szCs w:val="18"/>
                <w:u w:val="none"/>
                <w:lang w:val="en-US" w:eastAsia="zh-CN" w:bidi="ar"/>
              </w:rPr>
              <w:t>1</w:t>
            </w:r>
          </w:p>
        </w:tc>
        <w:tc>
          <w:tcPr>
            <w:tcW w:w="478" w:type="pct"/>
            <w:tcBorders>
              <w:top w:val="nil"/>
              <w:left w:val="nil"/>
              <w:bottom w:val="single" w:color="000000" w:sz="8" w:space="0"/>
              <w:right w:val="single" w:color="000000" w:sz="8" w:space="0"/>
            </w:tcBorders>
            <w:noWrap w:val="0"/>
            <w:vAlign w:val="center"/>
          </w:tcPr>
          <w:p w14:paraId="159CFD85">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20"/>
                <w:szCs w:val="20"/>
                <w:u w:val="none"/>
              </w:rPr>
            </w:pPr>
            <w:r>
              <w:rPr>
                <w:rFonts w:hint="default" w:ascii="Times New Roman" w:hAnsi="Times New Roman" w:eastAsia="宋体" w:cs="Times New Roman"/>
                <w:i w:val="0"/>
                <w:iCs w:val="0"/>
                <w:color w:val="000000"/>
                <w:kern w:val="0"/>
                <w:sz w:val="20"/>
                <w:szCs w:val="20"/>
                <w:u w:val="none"/>
                <w:lang w:val="en-US" w:eastAsia="zh-CN" w:bidi="ar"/>
              </w:rPr>
              <w:t>110000</w:t>
            </w:r>
          </w:p>
        </w:tc>
        <w:tc>
          <w:tcPr>
            <w:tcW w:w="329" w:type="pct"/>
            <w:tcBorders>
              <w:top w:val="nil"/>
              <w:left w:val="nil"/>
              <w:bottom w:val="single" w:color="000000" w:sz="8" w:space="0"/>
              <w:right w:val="single" w:color="000000" w:sz="8" w:space="0"/>
            </w:tcBorders>
            <w:noWrap w:val="0"/>
            <w:vAlign w:val="center"/>
          </w:tcPr>
          <w:p w14:paraId="1B947B69">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b/>
                <w:bCs/>
                <w:i w:val="0"/>
                <w:iCs w:val="0"/>
                <w:color w:val="000000"/>
                <w:sz w:val="18"/>
                <w:szCs w:val="18"/>
                <w:u w:val="none"/>
              </w:rPr>
            </w:pPr>
            <w:r>
              <w:rPr>
                <w:rFonts w:hint="default" w:ascii="Times New Roman" w:hAnsi="Times New Roman" w:eastAsia="宋体" w:cs="Times New Roman"/>
                <w:b/>
                <w:bCs/>
                <w:i w:val="0"/>
                <w:iCs w:val="0"/>
                <w:color w:val="000000"/>
                <w:kern w:val="0"/>
                <w:sz w:val="18"/>
                <w:szCs w:val="18"/>
                <w:u w:val="none"/>
                <w:lang w:val="en-US" w:eastAsia="zh-CN" w:bidi="ar"/>
              </w:rPr>
              <w:t>0.11%</w:t>
            </w:r>
          </w:p>
        </w:tc>
        <w:tc>
          <w:tcPr>
            <w:tcW w:w="1013" w:type="pct"/>
            <w:tcBorders>
              <w:top w:val="nil"/>
              <w:left w:val="nil"/>
              <w:bottom w:val="single" w:color="000000" w:sz="8" w:space="0"/>
              <w:right w:val="single" w:color="000000" w:sz="8" w:space="0"/>
            </w:tcBorders>
            <w:noWrap w:val="0"/>
            <w:vAlign w:val="center"/>
          </w:tcPr>
          <w:p w14:paraId="68476784">
            <w:pPr>
              <w:spacing w:line="240" w:lineRule="auto"/>
              <w:ind w:firstLine="0" w:firstLineChars="0"/>
              <w:jc w:val="center"/>
              <w:rPr>
                <w:rFonts w:hint="default" w:ascii="Times New Roman" w:hAnsi="Times New Roman" w:eastAsia="宋体" w:cs="Times New Roman"/>
                <w:i w:val="0"/>
                <w:iCs w:val="0"/>
                <w:color w:val="000000"/>
                <w:sz w:val="18"/>
                <w:szCs w:val="18"/>
                <w:u w:val="none"/>
              </w:rPr>
            </w:pPr>
          </w:p>
        </w:tc>
      </w:tr>
      <w:tr w14:paraId="409322E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3" w:hRule="atLeast"/>
        </w:trPr>
        <w:tc>
          <w:tcPr>
            <w:tcW w:w="273" w:type="pct"/>
            <w:tcBorders>
              <w:top w:val="nil"/>
              <w:left w:val="single" w:color="000000" w:sz="8" w:space="0"/>
              <w:bottom w:val="single" w:color="000000" w:sz="8" w:space="0"/>
              <w:right w:val="single" w:color="000000" w:sz="8" w:space="0"/>
            </w:tcBorders>
            <w:noWrap w:val="0"/>
            <w:vAlign w:val="center"/>
          </w:tcPr>
          <w:p w14:paraId="035C12CD">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三</w:t>
            </w:r>
          </w:p>
        </w:tc>
        <w:tc>
          <w:tcPr>
            <w:tcW w:w="675" w:type="pct"/>
            <w:tcBorders>
              <w:top w:val="nil"/>
              <w:left w:val="nil"/>
              <w:bottom w:val="single" w:color="000000" w:sz="8" w:space="0"/>
              <w:right w:val="single" w:color="000000" w:sz="8" w:space="0"/>
            </w:tcBorders>
            <w:noWrap w:val="0"/>
            <w:vAlign w:val="center"/>
          </w:tcPr>
          <w:p w14:paraId="3AF60A48">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渗滤液设备</w:t>
            </w:r>
          </w:p>
        </w:tc>
        <w:tc>
          <w:tcPr>
            <w:tcW w:w="398" w:type="pct"/>
            <w:tcBorders>
              <w:top w:val="nil"/>
              <w:left w:val="nil"/>
              <w:bottom w:val="single" w:color="000000" w:sz="8" w:space="0"/>
              <w:right w:val="single" w:color="000000" w:sz="8" w:space="0"/>
            </w:tcBorders>
            <w:noWrap w:val="0"/>
            <w:vAlign w:val="center"/>
          </w:tcPr>
          <w:p w14:paraId="7ED57FDF">
            <w:pPr>
              <w:spacing w:line="240" w:lineRule="auto"/>
              <w:ind w:firstLine="0" w:firstLineChars="0"/>
              <w:jc w:val="center"/>
              <w:rPr>
                <w:rFonts w:hint="default" w:ascii="Times New Roman" w:hAnsi="Times New Roman" w:eastAsia="宋体" w:cs="Times New Roman"/>
                <w:i w:val="0"/>
                <w:iCs w:val="0"/>
                <w:color w:val="000000"/>
                <w:sz w:val="18"/>
                <w:szCs w:val="18"/>
                <w:u w:val="none"/>
              </w:rPr>
            </w:pPr>
          </w:p>
        </w:tc>
        <w:tc>
          <w:tcPr>
            <w:tcW w:w="398" w:type="pct"/>
            <w:tcBorders>
              <w:top w:val="nil"/>
              <w:left w:val="nil"/>
              <w:bottom w:val="single" w:color="000000" w:sz="8" w:space="0"/>
              <w:right w:val="single" w:color="000000" w:sz="8" w:space="0"/>
            </w:tcBorders>
            <w:noWrap w:val="0"/>
            <w:vAlign w:val="center"/>
          </w:tcPr>
          <w:p w14:paraId="43EAC57F">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color w:val="000000"/>
                <w:kern w:val="0"/>
                <w:sz w:val="18"/>
                <w:szCs w:val="18"/>
                <w:u w:val="none"/>
                <w:lang w:val="en-US" w:eastAsia="zh-CN" w:bidi="ar"/>
              </w:rPr>
              <w:t>361.3</w:t>
            </w:r>
          </w:p>
        </w:tc>
        <w:tc>
          <w:tcPr>
            <w:tcW w:w="398" w:type="pct"/>
            <w:tcBorders>
              <w:top w:val="nil"/>
              <w:left w:val="nil"/>
              <w:bottom w:val="single" w:color="000000" w:sz="8" w:space="0"/>
              <w:right w:val="single" w:color="000000" w:sz="8" w:space="0"/>
            </w:tcBorders>
            <w:noWrap w:val="0"/>
            <w:vAlign w:val="center"/>
          </w:tcPr>
          <w:p w14:paraId="17E12A5F">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color w:val="000000"/>
                <w:kern w:val="0"/>
                <w:sz w:val="18"/>
                <w:szCs w:val="18"/>
                <w:u w:val="none"/>
                <w:lang w:val="en-US" w:eastAsia="zh-CN" w:bidi="ar"/>
              </w:rPr>
              <w:t>65.03</w:t>
            </w:r>
          </w:p>
        </w:tc>
        <w:tc>
          <w:tcPr>
            <w:tcW w:w="346" w:type="pct"/>
            <w:tcBorders>
              <w:top w:val="nil"/>
              <w:left w:val="nil"/>
              <w:bottom w:val="single" w:color="000000" w:sz="8" w:space="0"/>
              <w:right w:val="single" w:color="000000" w:sz="8" w:space="0"/>
            </w:tcBorders>
            <w:noWrap w:val="0"/>
            <w:vAlign w:val="center"/>
          </w:tcPr>
          <w:p w14:paraId="595343BA">
            <w:pPr>
              <w:spacing w:line="240" w:lineRule="auto"/>
              <w:ind w:firstLine="0" w:firstLineChars="0"/>
              <w:jc w:val="center"/>
              <w:rPr>
                <w:rFonts w:hint="default" w:ascii="Times New Roman" w:hAnsi="Times New Roman" w:eastAsia="宋体" w:cs="Times New Roman"/>
                <w:i w:val="0"/>
                <w:iCs w:val="0"/>
                <w:color w:val="000000"/>
                <w:sz w:val="18"/>
                <w:szCs w:val="18"/>
                <w:u w:val="none"/>
              </w:rPr>
            </w:pPr>
          </w:p>
        </w:tc>
        <w:tc>
          <w:tcPr>
            <w:tcW w:w="326" w:type="pct"/>
            <w:tcBorders>
              <w:top w:val="nil"/>
              <w:left w:val="nil"/>
              <w:bottom w:val="single" w:color="000000" w:sz="8" w:space="0"/>
              <w:right w:val="single" w:color="000000" w:sz="8" w:space="0"/>
            </w:tcBorders>
            <w:noWrap w:val="0"/>
            <w:vAlign w:val="center"/>
          </w:tcPr>
          <w:p w14:paraId="096ABB6A">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color w:val="000000"/>
                <w:kern w:val="0"/>
                <w:sz w:val="18"/>
                <w:szCs w:val="18"/>
                <w:u w:val="none"/>
                <w:lang w:val="en-US" w:eastAsia="zh-CN" w:bidi="ar"/>
              </w:rPr>
              <w:t>426.33</w:t>
            </w:r>
          </w:p>
        </w:tc>
        <w:tc>
          <w:tcPr>
            <w:tcW w:w="148" w:type="pct"/>
            <w:tcBorders>
              <w:top w:val="nil"/>
              <w:left w:val="nil"/>
              <w:bottom w:val="single" w:color="000000" w:sz="8" w:space="0"/>
              <w:right w:val="single" w:color="000000" w:sz="8" w:space="0"/>
            </w:tcBorders>
            <w:noWrap w:val="0"/>
            <w:vAlign w:val="center"/>
          </w:tcPr>
          <w:p w14:paraId="6D11D40B">
            <w:pPr>
              <w:spacing w:line="240" w:lineRule="auto"/>
              <w:ind w:firstLine="0" w:firstLineChars="0"/>
              <w:jc w:val="center"/>
              <w:rPr>
                <w:rFonts w:hint="default" w:ascii="Times New Roman" w:hAnsi="Times New Roman" w:eastAsia="宋体" w:cs="Times New Roman"/>
                <w:i w:val="0"/>
                <w:iCs w:val="0"/>
                <w:color w:val="000000"/>
                <w:sz w:val="18"/>
                <w:szCs w:val="18"/>
                <w:u w:val="none"/>
              </w:rPr>
            </w:pPr>
          </w:p>
        </w:tc>
        <w:tc>
          <w:tcPr>
            <w:tcW w:w="211" w:type="pct"/>
            <w:tcBorders>
              <w:top w:val="nil"/>
              <w:left w:val="nil"/>
              <w:bottom w:val="single" w:color="000000" w:sz="8" w:space="0"/>
              <w:right w:val="single" w:color="000000" w:sz="8" w:space="0"/>
            </w:tcBorders>
            <w:noWrap w:val="0"/>
            <w:vAlign w:val="center"/>
          </w:tcPr>
          <w:p w14:paraId="12004452">
            <w:pPr>
              <w:spacing w:line="240" w:lineRule="auto"/>
              <w:ind w:firstLine="0" w:firstLineChars="0"/>
              <w:jc w:val="center"/>
              <w:rPr>
                <w:rFonts w:hint="default" w:ascii="Times New Roman" w:hAnsi="Times New Roman" w:eastAsia="宋体" w:cs="Times New Roman"/>
                <w:i w:val="0"/>
                <w:iCs w:val="0"/>
                <w:color w:val="000000"/>
                <w:sz w:val="18"/>
                <w:szCs w:val="18"/>
                <w:u w:val="none"/>
              </w:rPr>
            </w:pPr>
          </w:p>
        </w:tc>
        <w:tc>
          <w:tcPr>
            <w:tcW w:w="478" w:type="pct"/>
            <w:tcBorders>
              <w:top w:val="nil"/>
              <w:left w:val="nil"/>
              <w:bottom w:val="single" w:color="000000" w:sz="8" w:space="0"/>
              <w:right w:val="single" w:color="000000" w:sz="8" w:space="0"/>
            </w:tcBorders>
            <w:noWrap w:val="0"/>
            <w:vAlign w:val="center"/>
          </w:tcPr>
          <w:p w14:paraId="29BDB4A5">
            <w:pPr>
              <w:spacing w:line="240" w:lineRule="auto"/>
              <w:ind w:firstLine="0" w:firstLineChars="0"/>
              <w:jc w:val="center"/>
              <w:rPr>
                <w:rFonts w:hint="default" w:ascii="Times New Roman" w:hAnsi="Times New Roman" w:eastAsia="宋体" w:cs="Times New Roman"/>
                <w:i w:val="0"/>
                <w:iCs w:val="0"/>
                <w:color w:val="000000"/>
                <w:sz w:val="18"/>
                <w:szCs w:val="18"/>
                <w:u w:val="none"/>
              </w:rPr>
            </w:pPr>
          </w:p>
        </w:tc>
        <w:tc>
          <w:tcPr>
            <w:tcW w:w="329" w:type="pct"/>
            <w:tcBorders>
              <w:top w:val="nil"/>
              <w:left w:val="nil"/>
              <w:bottom w:val="single" w:color="000000" w:sz="8" w:space="0"/>
              <w:right w:val="single" w:color="000000" w:sz="8" w:space="0"/>
            </w:tcBorders>
            <w:noWrap w:val="0"/>
            <w:vAlign w:val="center"/>
          </w:tcPr>
          <w:p w14:paraId="59973180">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b/>
                <w:bCs/>
                <w:i w:val="0"/>
                <w:iCs w:val="0"/>
                <w:color w:val="000000"/>
                <w:sz w:val="18"/>
                <w:szCs w:val="18"/>
                <w:u w:val="none"/>
              </w:rPr>
            </w:pPr>
            <w:r>
              <w:rPr>
                <w:rFonts w:hint="default" w:ascii="Times New Roman" w:hAnsi="Times New Roman" w:eastAsia="宋体" w:cs="Times New Roman"/>
                <w:b/>
                <w:bCs/>
                <w:i w:val="0"/>
                <w:iCs w:val="0"/>
                <w:color w:val="000000"/>
                <w:kern w:val="0"/>
                <w:sz w:val="18"/>
                <w:szCs w:val="18"/>
                <w:u w:val="none"/>
                <w:lang w:val="en-US" w:eastAsia="zh-CN" w:bidi="ar"/>
              </w:rPr>
              <w:t>4.18%</w:t>
            </w:r>
          </w:p>
        </w:tc>
        <w:tc>
          <w:tcPr>
            <w:tcW w:w="1013" w:type="pct"/>
            <w:tcBorders>
              <w:top w:val="nil"/>
              <w:left w:val="nil"/>
              <w:bottom w:val="single" w:color="000000" w:sz="8" w:space="0"/>
              <w:right w:val="single" w:color="000000" w:sz="8" w:space="0"/>
            </w:tcBorders>
            <w:noWrap w:val="0"/>
            <w:vAlign w:val="center"/>
          </w:tcPr>
          <w:p w14:paraId="23103520">
            <w:pPr>
              <w:spacing w:line="240" w:lineRule="auto"/>
              <w:ind w:firstLine="0" w:firstLineChars="0"/>
              <w:jc w:val="center"/>
              <w:rPr>
                <w:rFonts w:hint="default" w:ascii="Times New Roman" w:hAnsi="Times New Roman" w:eastAsia="宋体" w:cs="Times New Roman"/>
                <w:i w:val="0"/>
                <w:iCs w:val="0"/>
                <w:color w:val="000000"/>
                <w:sz w:val="18"/>
                <w:szCs w:val="18"/>
                <w:u w:val="none"/>
              </w:rPr>
            </w:pPr>
          </w:p>
        </w:tc>
      </w:tr>
      <w:tr w14:paraId="714E7B5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3" w:hRule="atLeast"/>
        </w:trPr>
        <w:tc>
          <w:tcPr>
            <w:tcW w:w="273" w:type="pct"/>
            <w:tcBorders>
              <w:top w:val="nil"/>
              <w:left w:val="single" w:color="000000" w:sz="8" w:space="0"/>
              <w:bottom w:val="single" w:color="000000" w:sz="8" w:space="0"/>
              <w:right w:val="single" w:color="000000" w:sz="8" w:space="0"/>
            </w:tcBorders>
            <w:noWrap w:val="0"/>
            <w:vAlign w:val="center"/>
          </w:tcPr>
          <w:p w14:paraId="1FD4EBE2">
            <w:pPr>
              <w:spacing w:line="240" w:lineRule="auto"/>
              <w:ind w:firstLine="0" w:firstLineChars="0"/>
              <w:jc w:val="center"/>
              <w:rPr>
                <w:rFonts w:hint="default" w:ascii="Times New Roman" w:hAnsi="Times New Roman" w:eastAsia="宋体" w:cs="Times New Roman"/>
                <w:i w:val="0"/>
                <w:iCs w:val="0"/>
                <w:color w:val="000000"/>
                <w:sz w:val="18"/>
                <w:szCs w:val="18"/>
                <w:u w:val="none"/>
              </w:rPr>
            </w:pPr>
          </w:p>
        </w:tc>
        <w:tc>
          <w:tcPr>
            <w:tcW w:w="675" w:type="pct"/>
            <w:tcBorders>
              <w:top w:val="nil"/>
              <w:left w:val="nil"/>
              <w:bottom w:val="single" w:color="000000" w:sz="8" w:space="0"/>
              <w:right w:val="single" w:color="000000" w:sz="8" w:space="0"/>
            </w:tcBorders>
            <w:noWrap w:val="0"/>
            <w:vAlign w:val="center"/>
          </w:tcPr>
          <w:p w14:paraId="663B5AEF">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全自动破碎机</w:t>
            </w:r>
          </w:p>
        </w:tc>
        <w:tc>
          <w:tcPr>
            <w:tcW w:w="398" w:type="pct"/>
            <w:tcBorders>
              <w:top w:val="nil"/>
              <w:left w:val="nil"/>
              <w:bottom w:val="single" w:color="000000" w:sz="8" w:space="0"/>
              <w:right w:val="single" w:color="000000" w:sz="8" w:space="0"/>
            </w:tcBorders>
            <w:noWrap w:val="0"/>
            <w:vAlign w:val="center"/>
          </w:tcPr>
          <w:p w14:paraId="57FF1B3B">
            <w:pPr>
              <w:spacing w:line="240" w:lineRule="auto"/>
              <w:ind w:firstLine="0" w:firstLineChars="0"/>
              <w:jc w:val="center"/>
              <w:rPr>
                <w:rFonts w:hint="default" w:ascii="Times New Roman" w:hAnsi="Times New Roman" w:eastAsia="宋体" w:cs="Times New Roman"/>
                <w:i w:val="0"/>
                <w:iCs w:val="0"/>
                <w:color w:val="000000"/>
                <w:sz w:val="18"/>
                <w:szCs w:val="18"/>
                <w:u w:val="none"/>
              </w:rPr>
            </w:pPr>
          </w:p>
        </w:tc>
        <w:tc>
          <w:tcPr>
            <w:tcW w:w="398" w:type="pct"/>
            <w:tcBorders>
              <w:top w:val="nil"/>
              <w:left w:val="nil"/>
              <w:bottom w:val="single" w:color="000000" w:sz="8" w:space="0"/>
              <w:right w:val="single" w:color="000000" w:sz="8" w:space="0"/>
            </w:tcBorders>
            <w:noWrap w:val="0"/>
            <w:vAlign w:val="center"/>
          </w:tcPr>
          <w:p w14:paraId="31F33A1D">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color w:val="000000"/>
                <w:kern w:val="0"/>
                <w:sz w:val="18"/>
                <w:szCs w:val="18"/>
                <w:u w:val="none"/>
                <w:lang w:val="en-US" w:eastAsia="zh-CN" w:bidi="ar"/>
              </w:rPr>
              <w:t>325.05</w:t>
            </w:r>
          </w:p>
        </w:tc>
        <w:tc>
          <w:tcPr>
            <w:tcW w:w="398" w:type="pct"/>
            <w:tcBorders>
              <w:top w:val="nil"/>
              <w:left w:val="nil"/>
              <w:bottom w:val="single" w:color="000000" w:sz="8" w:space="0"/>
              <w:right w:val="single" w:color="000000" w:sz="8" w:space="0"/>
            </w:tcBorders>
            <w:noWrap w:val="0"/>
            <w:vAlign w:val="center"/>
          </w:tcPr>
          <w:p w14:paraId="52956A25">
            <w:pPr>
              <w:spacing w:line="240" w:lineRule="auto"/>
              <w:ind w:firstLine="0" w:firstLineChars="0"/>
              <w:jc w:val="center"/>
              <w:rPr>
                <w:rFonts w:hint="default" w:ascii="Times New Roman" w:hAnsi="Times New Roman" w:eastAsia="宋体" w:cs="Times New Roman"/>
                <w:i w:val="0"/>
                <w:iCs w:val="0"/>
                <w:color w:val="000000"/>
                <w:sz w:val="18"/>
                <w:szCs w:val="18"/>
                <w:u w:val="none"/>
              </w:rPr>
            </w:pPr>
          </w:p>
        </w:tc>
        <w:tc>
          <w:tcPr>
            <w:tcW w:w="346" w:type="pct"/>
            <w:tcBorders>
              <w:top w:val="nil"/>
              <w:left w:val="nil"/>
              <w:bottom w:val="single" w:color="000000" w:sz="8" w:space="0"/>
              <w:right w:val="single" w:color="000000" w:sz="8" w:space="0"/>
            </w:tcBorders>
            <w:noWrap w:val="0"/>
            <w:vAlign w:val="center"/>
          </w:tcPr>
          <w:p w14:paraId="1B3CD6E1">
            <w:pPr>
              <w:spacing w:line="240" w:lineRule="auto"/>
              <w:ind w:firstLine="0" w:firstLineChars="0"/>
              <w:jc w:val="center"/>
              <w:rPr>
                <w:rFonts w:hint="default" w:ascii="Times New Roman" w:hAnsi="Times New Roman" w:eastAsia="宋体" w:cs="Times New Roman"/>
                <w:i w:val="0"/>
                <w:iCs w:val="0"/>
                <w:color w:val="000000"/>
                <w:sz w:val="18"/>
                <w:szCs w:val="18"/>
                <w:u w:val="none"/>
              </w:rPr>
            </w:pPr>
          </w:p>
        </w:tc>
        <w:tc>
          <w:tcPr>
            <w:tcW w:w="326" w:type="pct"/>
            <w:tcBorders>
              <w:top w:val="nil"/>
              <w:left w:val="nil"/>
              <w:bottom w:val="single" w:color="000000" w:sz="8" w:space="0"/>
              <w:right w:val="single" w:color="000000" w:sz="8" w:space="0"/>
            </w:tcBorders>
            <w:noWrap w:val="0"/>
            <w:vAlign w:val="center"/>
          </w:tcPr>
          <w:p w14:paraId="4112A81F">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color w:val="000000"/>
                <w:kern w:val="0"/>
                <w:sz w:val="18"/>
                <w:szCs w:val="18"/>
                <w:u w:val="none"/>
                <w:lang w:val="en-US" w:eastAsia="zh-CN" w:bidi="ar"/>
              </w:rPr>
              <w:t>325.3</w:t>
            </w:r>
          </w:p>
        </w:tc>
        <w:tc>
          <w:tcPr>
            <w:tcW w:w="148" w:type="pct"/>
            <w:tcBorders>
              <w:top w:val="nil"/>
              <w:left w:val="nil"/>
              <w:bottom w:val="single" w:color="000000" w:sz="8" w:space="0"/>
              <w:right w:val="single" w:color="000000" w:sz="8" w:space="0"/>
            </w:tcBorders>
            <w:noWrap w:val="0"/>
            <w:vAlign w:val="center"/>
          </w:tcPr>
          <w:p w14:paraId="40DF7351">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批</w:t>
            </w:r>
          </w:p>
        </w:tc>
        <w:tc>
          <w:tcPr>
            <w:tcW w:w="211" w:type="pct"/>
            <w:tcBorders>
              <w:top w:val="nil"/>
              <w:left w:val="nil"/>
              <w:bottom w:val="single" w:color="000000" w:sz="8" w:space="0"/>
              <w:right w:val="single" w:color="000000" w:sz="8" w:space="0"/>
            </w:tcBorders>
            <w:noWrap w:val="0"/>
            <w:vAlign w:val="center"/>
          </w:tcPr>
          <w:p w14:paraId="1D7F2AAD">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color w:val="000000"/>
                <w:kern w:val="0"/>
                <w:sz w:val="18"/>
                <w:szCs w:val="18"/>
                <w:u w:val="none"/>
                <w:lang w:val="en-US" w:eastAsia="zh-CN" w:bidi="ar"/>
              </w:rPr>
              <w:t>1</w:t>
            </w:r>
          </w:p>
        </w:tc>
        <w:tc>
          <w:tcPr>
            <w:tcW w:w="478" w:type="pct"/>
            <w:tcBorders>
              <w:top w:val="nil"/>
              <w:left w:val="nil"/>
              <w:bottom w:val="single" w:color="000000" w:sz="8" w:space="0"/>
              <w:right w:val="single" w:color="000000" w:sz="8" w:space="0"/>
            </w:tcBorders>
            <w:noWrap w:val="0"/>
            <w:vAlign w:val="center"/>
          </w:tcPr>
          <w:p w14:paraId="15D2A094">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20"/>
                <w:szCs w:val="20"/>
                <w:u w:val="none"/>
              </w:rPr>
            </w:pPr>
            <w:r>
              <w:rPr>
                <w:rFonts w:hint="default" w:ascii="Times New Roman" w:hAnsi="Times New Roman" w:eastAsia="宋体" w:cs="Times New Roman"/>
                <w:i w:val="0"/>
                <w:iCs w:val="0"/>
                <w:color w:val="000000"/>
                <w:kern w:val="0"/>
                <w:sz w:val="20"/>
                <w:szCs w:val="20"/>
                <w:u w:val="none"/>
                <w:lang w:val="en-US" w:eastAsia="zh-CN" w:bidi="ar"/>
              </w:rPr>
              <w:t>3250500</w:t>
            </w:r>
          </w:p>
        </w:tc>
        <w:tc>
          <w:tcPr>
            <w:tcW w:w="329" w:type="pct"/>
            <w:tcBorders>
              <w:top w:val="nil"/>
              <w:left w:val="nil"/>
              <w:bottom w:val="single" w:color="000000" w:sz="8" w:space="0"/>
              <w:right w:val="single" w:color="000000" w:sz="8" w:space="0"/>
            </w:tcBorders>
            <w:noWrap w:val="0"/>
            <w:vAlign w:val="center"/>
          </w:tcPr>
          <w:p w14:paraId="5FE54104">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b/>
                <w:bCs/>
                <w:i w:val="0"/>
                <w:iCs w:val="0"/>
                <w:color w:val="000000"/>
                <w:sz w:val="18"/>
                <w:szCs w:val="18"/>
                <w:u w:val="none"/>
              </w:rPr>
            </w:pPr>
            <w:r>
              <w:rPr>
                <w:rFonts w:hint="default" w:ascii="Times New Roman" w:hAnsi="Times New Roman" w:eastAsia="宋体" w:cs="Times New Roman"/>
                <w:b/>
                <w:bCs/>
                <w:i w:val="0"/>
                <w:iCs w:val="0"/>
                <w:color w:val="000000"/>
                <w:kern w:val="0"/>
                <w:sz w:val="18"/>
                <w:szCs w:val="18"/>
                <w:u w:val="none"/>
                <w:lang w:val="en-US" w:eastAsia="zh-CN" w:bidi="ar"/>
              </w:rPr>
              <w:t>3.19%</w:t>
            </w:r>
          </w:p>
        </w:tc>
        <w:tc>
          <w:tcPr>
            <w:tcW w:w="1013" w:type="pct"/>
            <w:tcBorders>
              <w:top w:val="nil"/>
              <w:left w:val="nil"/>
              <w:bottom w:val="single" w:color="000000" w:sz="8" w:space="0"/>
              <w:right w:val="single" w:color="000000" w:sz="8" w:space="0"/>
            </w:tcBorders>
            <w:noWrap w:val="0"/>
            <w:vAlign w:val="center"/>
          </w:tcPr>
          <w:p w14:paraId="6084C507">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color w:val="000000"/>
                <w:kern w:val="0"/>
                <w:sz w:val="18"/>
                <w:szCs w:val="18"/>
                <w:u w:val="none"/>
                <w:lang w:val="en-US" w:eastAsia="zh-CN" w:bidi="ar"/>
              </w:rPr>
              <w:t>≤90t/h</w:t>
            </w:r>
          </w:p>
        </w:tc>
      </w:tr>
      <w:tr w14:paraId="552D66C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3" w:hRule="atLeast"/>
        </w:trPr>
        <w:tc>
          <w:tcPr>
            <w:tcW w:w="273" w:type="pct"/>
            <w:tcBorders>
              <w:top w:val="nil"/>
              <w:left w:val="single" w:color="000000" w:sz="8" w:space="0"/>
              <w:bottom w:val="single" w:color="000000" w:sz="8" w:space="0"/>
              <w:right w:val="single" w:color="000000" w:sz="8" w:space="0"/>
            </w:tcBorders>
            <w:noWrap w:val="0"/>
            <w:vAlign w:val="center"/>
          </w:tcPr>
          <w:p w14:paraId="7B08D6E0">
            <w:pPr>
              <w:spacing w:line="240" w:lineRule="auto"/>
              <w:ind w:firstLine="0" w:firstLineChars="0"/>
              <w:jc w:val="center"/>
              <w:rPr>
                <w:rFonts w:hint="default" w:ascii="Times New Roman" w:hAnsi="Times New Roman" w:eastAsia="宋体" w:cs="Times New Roman"/>
                <w:i w:val="0"/>
                <w:iCs w:val="0"/>
                <w:color w:val="000000"/>
                <w:sz w:val="18"/>
                <w:szCs w:val="18"/>
                <w:u w:val="none"/>
              </w:rPr>
            </w:pPr>
          </w:p>
        </w:tc>
        <w:tc>
          <w:tcPr>
            <w:tcW w:w="675" w:type="pct"/>
            <w:tcBorders>
              <w:top w:val="nil"/>
              <w:left w:val="nil"/>
              <w:bottom w:val="single" w:color="000000" w:sz="8" w:space="0"/>
              <w:right w:val="single" w:color="000000" w:sz="8" w:space="0"/>
            </w:tcBorders>
            <w:noWrap w:val="0"/>
            <w:vAlign w:val="center"/>
          </w:tcPr>
          <w:p w14:paraId="7F26C1C3">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垃圾运输车辆</w:t>
            </w:r>
          </w:p>
        </w:tc>
        <w:tc>
          <w:tcPr>
            <w:tcW w:w="398" w:type="pct"/>
            <w:tcBorders>
              <w:top w:val="nil"/>
              <w:left w:val="nil"/>
              <w:bottom w:val="single" w:color="000000" w:sz="8" w:space="0"/>
              <w:right w:val="single" w:color="000000" w:sz="8" w:space="0"/>
            </w:tcBorders>
            <w:noWrap w:val="0"/>
            <w:vAlign w:val="center"/>
          </w:tcPr>
          <w:p w14:paraId="011DD71A">
            <w:pPr>
              <w:spacing w:line="240" w:lineRule="auto"/>
              <w:ind w:firstLine="0" w:firstLineChars="0"/>
              <w:jc w:val="center"/>
              <w:rPr>
                <w:rFonts w:hint="default" w:ascii="Times New Roman" w:hAnsi="Times New Roman" w:eastAsia="宋体" w:cs="Times New Roman"/>
                <w:i w:val="0"/>
                <w:iCs w:val="0"/>
                <w:color w:val="000000"/>
                <w:sz w:val="18"/>
                <w:szCs w:val="18"/>
                <w:u w:val="none"/>
              </w:rPr>
            </w:pPr>
          </w:p>
        </w:tc>
        <w:tc>
          <w:tcPr>
            <w:tcW w:w="398" w:type="pct"/>
            <w:tcBorders>
              <w:top w:val="nil"/>
              <w:left w:val="nil"/>
              <w:bottom w:val="single" w:color="000000" w:sz="8" w:space="0"/>
              <w:right w:val="single" w:color="000000" w:sz="8" w:space="0"/>
            </w:tcBorders>
            <w:noWrap w:val="0"/>
            <w:vAlign w:val="center"/>
          </w:tcPr>
          <w:p w14:paraId="266379FD">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color w:val="000000"/>
                <w:kern w:val="0"/>
                <w:sz w:val="18"/>
                <w:szCs w:val="18"/>
                <w:u w:val="none"/>
                <w:lang w:val="en-US" w:eastAsia="zh-CN" w:bidi="ar"/>
              </w:rPr>
              <w:t>36</w:t>
            </w:r>
          </w:p>
        </w:tc>
        <w:tc>
          <w:tcPr>
            <w:tcW w:w="398" w:type="pct"/>
            <w:tcBorders>
              <w:top w:val="nil"/>
              <w:left w:val="nil"/>
              <w:bottom w:val="single" w:color="000000" w:sz="8" w:space="0"/>
              <w:right w:val="single" w:color="000000" w:sz="8" w:space="0"/>
            </w:tcBorders>
            <w:noWrap w:val="0"/>
            <w:vAlign w:val="center"/>
          </w:tcPr>
          <w:p w14:paraId="387513A3">
            <w:pPr>
              <w:spacing w:line="240" w:lineRule="auto"/>
              <w:ind w:firstLine="0" w:firstLineChars="0"/>
              <w:jc w:val="center"/>
              <w:rPr>
                <w:rFonts w:hint="default" w:ascii="Times New Roman" w:hAnsi="Times New Roman" w:eastAsia="宋体" w:cs="Times New Roman"/>
                <w:i w:val="0"/>
                <w:iCs w:val="0"/>
                <w:color w:val="000000"/>
                <w:sz w:val="18"/>
                <w:szCs w:val="18"/>
                <w:u w:val="none"/>
              </w:rPr>
            </w:pPr>
          </w:p>
        </w:tc>
        <w:tc>
          <w:tcPr>
            <w:tcW w:w="346" w:type="pct"/>
            <w:tcBorders>
              <w:top w:val="nil"/>
              <w:left w:val="nil"/>
              <w:bottom w:val="single" w:color="000000" w:sz="8" w:space="0"/>
              <w:right w:val="single" w:color="000000" w:sz="8" w:space="0"/>
            </w:tcBorders>
            <w:noWrap w:val="0"/>
            <w:vAlign w:val="center"/>
          </w:tcPr>
          <w:p w14:paraId="4219F3EE">
            <w:pPr>
              <w:spacing w:line="240" w:lineRule="auto"/>
              <w:ind w:firstLine="0" w:firstLineChars="0"/>
              <w:jc w:val="center"/>
              <w:rPr>
                <w:rFonts w:hint="default" w:ascii="Times New Roman" w:hAnsi="Times New Roman" w:eastAsia="宋体" w:cs="Times New Roman"/>
                <w:i w:val="0"/>
                <w:iCs w:val="0"/>
                <w:color w:val="000000"/>
                <w:sz w:val="18"/>
                <w:szCs w:val="18"/>
                <w:u w:val="none"/>
              </w:rPr>
            </w:pPr>
          </w:p>
        </w:tc>
        <w:tc>
          <w:tcPr>
            <w:tcW w:w="326" w:type="pct"/>
            <w:tcBorders>
              <w:top w:val="nil"/>
              <w:left w:val="nil"/>
              <w:bottom w:val="single" w:color="000000" w:sz="8" w:space="0"/>
              <w:right w:val="single" w:color="000000" w:sz="8" w:space="0"/>
            </w:tcBorders>
            <w:noWrap w:val="0"/>
            <w:vAlign w:val="center"/>
          </w:tcPr>
          <w:p w14:paraId="6A27685D">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color w:val="000000"/>
                <w:kern w:val="0"/>
                <w:sz w:val="18"/>
                <w:szCs w:val="18"/>
                <w:u w:val="none"/>
                <w:lang w:val="en-US" w:eastAsia="zh-CN" w:bidi="ar"/>
              </w:rPr>
              <w:t>36</w:t>
            </w:r>
          </w:p>
        </w:tc>
        <w:tc>
          <w:tcPr>
            <w:tcW w:w="148" w:type="pct"/>
            <w:tcBorders>
              <w:top w:val="nil"/>
              <w:left w:val="nil"/>
              <w:bottom w:val="single" w:color="000000" w:sz="8" w:space="0"/>
              <w:right w:val="single" w:color="000000" w:sz="8" w:space="0"/>
            </w:tcBorders>
            <w:noWrap w:val="0"/>
            <w:vAlign w:val="center"/>
          </w:tcPr>
          <w:p w14:paraId="1293A59C">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辆</w:t>
            </w:r>
          </w:p>
        </w:tc>
        <w:tc>
          <w:tcPr>
            <w:tcW w:w="211" w:type="pct"/>
            <w:tcBorders>
              <w:top w:val="nil"/>
              <w:left w:val="nil"/>
              <w:bottom w:val="single" w:color="000000" w:sz="8" w:space="0"/>
              <w:right w:val="single" w:color="000000" w:sz="8" w:space="0"/>
            </w:tcBorders>
            <w:noWrap w:val="0"/>
            <w:vAlign w:val="center"/>
          </w:tcPr>
          <w:p w14:paraId="5CD5A25C">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color w:val="000000"/>
                <w:kern w:val="0"/>
                <w:sz w:val="18"/>
                <w:szCs w:val="18"/>
                <w:u w:val="none"/>
                <w:lang w:val="en-US" w:eastAsia="zh-CN" w:bidi="ar"/>
              </w:rPr>
              <w:t>1</w:t>
            </w:r>
          </w:p>
        </w:tc>
        <w:tc>
          <w:tcPr>
            <w:tcW w:w="478" w:type="pct"/>
            <w:tcBorders>
              <w:top w:val="nil"/>
              <w:left w:val="nil"/>
              <w:bottom w:val="single" w:color="000000" w:sz="8" w:space="0"/>
              <w:right w:val="single" w:color="000000" w:sz="8" w:space="0"/>
            </w:tcBorders>
            <w:noWrap w:val="0"/>
            <w:vAlign w:val="center"/>
          </w:tcPr>
          <w:p w14:paraId="2D98C707">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20"/>
                <w:szCs w:val="20"/>
                <w:u w:val="none"/>
              </w:rPr>
            </w:pPr>
            <w:r>
              <w:rPr>
                <w:rFonts w:hint="default" w:ascii="Times New Roman" w:hAnsi="Times New Roman" w:eastAsia="宋体" w:cs="Times New Roman"/>
                <w:i w:val="0"/>
                <w:iCs w:val="0"/>
                <w:color w:val="000000"/>
                <w:kern w:val="0"/>
                <w:sz w:val="20"/>
                <w:szCs w:val="20"/>
                <w:u w:val="none"/>
                <w:lang w:val="en-US" w:eastAsia="zh-CN" w:bidi="ar"/>
              </w:rPr>
              <w:t>360000</w:t>
            </w:r>
          </w:p>
        </w:tc>
        <w:tc>
          <w:tcPr>
            <w:tcW w:w="329" w:type="pct"/>
            <w:tcBorders>
              <w:top w:val="nil"/>
              <w:left w:val="nil"/>
              <w:bottom w:val="single" w:color="000000" w:sz="8" w:space="0"/>
              <w:right w:val="single" w:color="000000" w:sz="8" w:space="0"/>
            </w:tcBorders>
            <w:noWrap w:val="0"/>
            <w:vAlign w:val="center"/>
          </w:tcPr>
          <w:p w14:paraId="0007E0DA">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b/>
                <w:bCs/>
                <w:i w:val="0"/>
                <w:iCs w:val="0"/>
                <w:color w:val="000000"/>
                <w:sz w:val="18"/>
                <w:szCs w:val="18"/>
                <w:u w:val="none"/>
              </w:rPr>
            </w:pPr>
            <w:r>
              <w:rPr>
                <w:rFonts w:hint="default" w:ascii="Times New Roman" w:hAnsi="Times New Roman" w:eastAsia="宋体" w:cs="Times New Roman"/>
                <w:b/>
                <w:bCs/>
                <w:i w:val="0"/>
                <w:iCs w:val="0"/>
                <w:color w:val="000000"/>
                <w:kern w:val="0"/>
                <w:sz w:val="18"/>
                <w:szCs w:val="18"/>
                <w:u w:val="none"/>
                <w:lang w:val="en-US" w:eastAsia="zh-CN" w:bidi="ar"/>
              </w:rPr>
              <w:t>0.35%</w:t>
            </w:r>
          </w:p>
        </w:tc>
        <w:tc>
          <w:tcPr>
            <w:tcW w:w="1013" w:type="pct"/>
            <w:tcBorders>
              <w:top w:val="nil"/>
              <w:left w:val="nil"/>
              <w:bottom w:val="single" w:color="000000" w:sz="8" w:space="0"/>
              <w:right w:val="single" w:color="000000" w:sz="8" w:space="0"/>
            </w:tcBorders>
            <w:noWrap w:val="0"/>
            <w:vAlign w:val="center"/>
          </w:tcPr>
          <w:p w14:paraId="3E0F9662">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color w:val="000000"/>
                <w:kern w:val="0"/>
                <w:sz w:val="18"/>
                <w:szCs w:val="18"/>
                <w:u w:val="none"/>
                <w:lang w:val="en-US" w:eastAsia="zh-CN" w:bidi="ar"/>
              </w:rPr>
              <w:t>4.5</w:t>
            </w:r>
            <w:r>
              <w:rPr>
                <w:rFonts w:hint="eastAsia" w:ascii="宋体" w:hAnsi="宋体" w:eastAsia="宋体" w:cs="宋体"/>
                <w:i w:val="0"/>
                <w:iCs w:val="0"/>
                <w:color w:val="000000"/>
                <w:kern w:val="0"/>
                <w:sz w:val="18"/>
                <w:szCs w:val="18"/>
                <w:u w:val="none"/>
                <w:lang w:val="en-US" w:eastAsia="zh-CN" w:bidi="ar"/>
              </w:rPr>
              <w:t>吨</w:t>
            </w:r>
          </w:p>
        </w:tc>
      </w:tr>
      <w:tr w14:paraId="4BCD8E2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3" w:hRule="atLeast"/>
        </w:trPr>
        <w:tc>
          <w:tcPr>
            <w:tcW w:w="273" w:type="pct"/>
            <w:tcBorders>
              <w:top w:val="nil"/>
              <w:left w:val="single" w:color="000000" w:sz="8" w:space="0"/>
              <w:bottom w:val="single" w:color="000000" w:sz="8" w:space="0"/>
              <w:right w:val="single" w:color="000000" w:sz="8" w:space="0"/>
            </w:tcBorders>
            <w:noWrap w:val="0"/>
            <w:vAlign w:val="center"/>
          </w:tcPr>
          <w:p w14:paraId="4AA86D85">
            <w:pPr>
              <w:spacing w:line="240" w:lineRule="auto"/>
              <w:ind w:firstLine="0" w:firstLineChars="0"/>
              <w:jc w:val="center"/>
              <w:rPr>
                <w:rFonts w:hint="default" w:ascii="Times New Roman" w:hAnsi="Times New Roman" w:eastAsia="宋体" w:cs="Times New Roman"/>
                <w:i w:val="0"/>
                <w:iCs w:val="0"/>
                <w:color w:val="000000"/>
                <w:sz w:val="18"/>
                <w:szCs w:val="18"/>
                <w:u w:val="none"/>
              </w:rPr>
            </w:pPr>
          </w:p>
        </w:tc>
        <w:tc>
          <w:tcPr>
            <w:tcW w:w="675" w:type="pct"/>
            <w:tcBorders>
              <w:top w:val="nil"/>
              <w:left w:val="nil"/>
              <w:bottom w:val="single" w:color="000000" w:sz="8" w:space="0"/>
              <w:right w:val="single" w:color="000000" w:sz="8" w:space="0"/>
            </w:tcBorders>
            <w:noWrap w:val="0"/>
            <w:vAlign w:val="center"/>
          </w:tcPr>
          <w:p w14:paraId="600BF88F">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color w:val="000000"/>
                <w:kern w:val="0"/>
                <w:sz w:val="18"/>
                <w:szCs w:val="18"/>
                <w:u w:val="none"/>
                <w:lang w:val="en-US" w:eastAsia="zh-CN" w:bidi="ar"/>
              </w:rPr>
              <w:t>UPVC</w:t>
            </w:r>
            <w:r>
              <w:rPr>
                <w:rFonts w:hint="eastAsia" w:ascii="宋体" w:hAnsi="宋体" w:eastAsia="宋体" w:cs="宋体"/>
                <w:i w:val="0"/>
                <w:iCs w:val="0"/>
                <w:color w:val="000000"/>
                <w:kern w:val="0"/>
                <w:sz w:val="18"/>
                <w:szCs w:val="18"/>
                <w:u w:val="none"/>
                <w:lang w:val="en-US" w:eastAsia="zh-CN" w:bidi="ar"/>
              </w:rPr>
              <w:t>管</w:t>
            </w:r>
          </w:p>
        </w:tc>
        <w:tc>
          <w:tcPr>
            <w:tcW w:w="398" w:type="pct"/>
            <w:tcBorders>
              <w:top w:val="nil"/>
              <w:left w:val="nil"/>
              <w:bottom w:val="single" w:color="000000" w:sz="8" w:space="0"/>
              <w:right w:val="single" w:color="000000" w:sz="8" w:space="0"/>
            </w:tcBorders>
            <w:noWrap w:val="0"/>
            <w:vAlign w:val="center"/>
          </w:tcPr>
          <w:p w14:paraId="6CD21B4D">
            <w:pPr>
              <w:spacing w:line="240" w:lineRule="auto"/>
              <w:ind w:firstLine="0" w:firstLineChars="0"/>
              <w:jc w:val="center"/>
              <w:rPr>
                <w:rFonts w:hint="default" w:ascii="Times New Roman" w:hAnsi="Times New Roman" w:eastAsia="宋体" w:cs="Times New Roman"/>
                <w:i w:val="0"/>
                <w:iCs w:val="0"/>
                <w:color w:val="000000"/>
                <w:sz w:val="18"/>
                <w:szCs w:val="18"/>
                <w:u w:val="none"/>
              </w:rPr>
            </w:pPr>
          </w:p>
        </w:tc>
        <w:tc>
          <w:tcPr>
            <w:tcW w:w="398" w:type="pct"/>
            <w:tcBorders>
              <w:top w:val="nil"/>
              <w:left w:val="nil"/>
              <w:bottom w:val="single" w:color="000000" w:sz="8" w:space="0"/>
              <w:right w:val="single" w:color="000000" w:sz="8" w:space="0"/>
            </w:tcBorders>
            <w:noWrap w:val="0"/>
            <w:vAlign w:val="center"/>
          </w:tcPr>
          <w:p w14:paraId="397F30AD">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color w:val="000000"/>
                <w:kern w:val="0"/>
                <w:sz w:val="18"/>
                <w:szCs w:val="18"/>
                <w:u w:val="none"/>
                <w:lang w:val="en-US" w:eastAsia="zh-CN" w:bidi="ar"/>
              </w:rPr>
              <w:t>0.08</w:t>
            </w:r>
          </w:p>
        </w:tc>
        <w:tc>
          <w:tcPr>
            <w:tcW w:w="398" w:type="pct"/>
            <w:tcBorders>
              <w:top w:val="nil"/>
              <w:left w:val="nil"/>
              <w:bottom w:val="single" w:color="000000" w:sz="8" w:space="0"/>
              <w:right w:val="single" w:color="000000" w:sz="8" w:space="0"/>
            </w:tcBorders>
            <w:noWrap w:val="0"/>
            <w:vAlign w:val="center"/>
          </w:tcPr>
          <w:p w14:paraId="794CF103">
            <w:pPr>
              <w:spacing w:line="240" w:lineRule="auto"/>
              <w:ind w:firstLine="0" w:firstLineChars="0"/>
              <w:jc w:val="center"/>
              <w:rPr>
                <w:rFonts w:hint="default" w:ascii="Times New Roman" w:hAnsi="Times New Roman" w:eastAsia="宋体" w:cs="Times New Roman"/>
                <w:i w:val="0"/>
                <w:iCs w:val="0"/>
                <w:color w:val="000000"/>
                <w:sz w:val="18"/>
                <w:szCs w:val="18"/>
                <w:u w:val="none"/>
              </w:rPr>
            </w:pPr>
          </w:p>
        </w:tc>
        <w:tc>
          <w:tcPr>
            <w:tcW w:w="346" w:type="pct"/>
            <w:tcBorders>
              <w:top w:val="nil"/>
              <w:left w:val="nil"/>
              <w:bottom w:val="single" w:color="000000" w:sz="8" w:space="0"/>
              <w:right w:val="single" w:color="000000" w:sz="8" w:space="0"/>
            </w:tcBorders>
            <w:noWrap w:val="0"/>
            <w:vAlign w:val="center"/>
          </w:tcPr>
          <w:p w14:paraId="41EBC2BE">
            <w:pPr>
              <w:spacing w:line="240" w:lineRule="auto"/>
              <w:ind w:firstLine="0" w:firstLineChars="0"/>
              <w:jc w:val="center"/>
              <w:rPr>
                <w:rFonts w:hint="default" w:ascii="Times New Roman" w:hAnsi="Times New Roman" w:eastAsia="宋体" w:cs="Times New Roman"/>
                <w:i w:val="0"/>
                <w:iCs w:val="0"/>
                <w:color w:val="000000"/>
                <w:sz w:val="18"/>
                <w:szCs w:val="18"/>
                <w:u w:val="none"/>
              </w:rPr>
            </w:pPr>
          </w:p>
        </w:tc>
        <w:tc>
          <w:tcPr>
            <w:tcW w:w="326" w:type="pct"/>
            <w:tcBorders>
              <w:top w:val="nil"/>
              <w:left w:val="nil"/>
              <w:bottom w:val="single" w:color="000000" w:sz="8" w:space="0"/>
              <w:right w:val="single" w:color="000000" w:sz="8" w:space="0"/>
            </w:tcBorders>
            <w:noWrap w:val="0"/>
            <w:vAlign w:val="center"/>
          </w:tcPr>
          <w:p w14:paraId="0C1258E4">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color w:val="000000"/>
                <w:kern w:val="0"/>
                <w:sz w:val="18"/>
                <w:szCs w:val="18"/>
                <w:u w:val="none"/>
                <w:lang w:val="en-US" w:eastAsia="zh-CN" w:bidi="ar"/>
              </w:rPr>
              <w:t>0.08</w:t>
            </w:r>
          </w:p>
        </w:tc>
        <w:tc>
          <w:tcPr>
            <w:tcW w:w="148" w:type="pct"/>
            <w:tcBorders>
              <w:top w:val="nil"/>
              <w:left w:val="nil"/>
              <w:bottom w:val="single" w:color="000000" w:sz="8" w:space="0"/>
              <w:right w:val="single" w:color="000000" w:sz="8" w:space="0"/>
            </w:tcBorders>
            <w:noWrap w:val="0"/>
            <w:vAlign w:val="center"/>
          </w:tcPr>
          <w:p w14:paraId="3BE5E593">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color w:val="000000"/>
                <w:kern w:val="0"/>
                <w:sz w:val="18"/>
                <w:szCs w:val="18"/>
                <w:u w:val="none"/>
                <w:lang w:val="en-US" w:eastAsia="zh-CN" w:bidi="ar"/>
              </w:rPr>
              <w:t>m</w:t>
            </w:r>
          </w:p>
        </w:tc>
        <w:tc>
          <w:tcPr>
            <w:tcW w:w="211" w:type="pct"/>
            <w:tcBorders>
              <w:top w:val="nil"/>
              <w:left w:val="nil"/>
              <w:bottom w:val="single" w:color="000000" w:sz="8" w:space="0"/>
              <w:right w:val="single" w:color="000000" w:sz="8" w:space="0"/>
            </w:tcBorders>
            <w:noWrap w:val="0"/>
            <w:vAlign w:val="center"/>
          </w:tcPr>
          <w:p w14:paraId="0FB76667">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color w:val="000000"/>
                <w:kern w:val="0"/>
                <w:sz w:val="18"/>
                <w:szCs w:val="18"/>
                <w:u w:val="none"/>
                <w:lang w:val="en-US" w:eastAsia="zh-CN" w:bidi="ar"/>
              </w:rPr>
              <w:t>10</w:t>
            </w:r>
          </w:p>
        </w:tc>
        <w:tc>
          <w:tcPr>
            <w:tcW w:w="478" w:type="pct"/>
            <w:tcBorders>
              <w:top w:val="nil"/>
              <w:left w:val="nil"/>
              <w:bottom w:val="single" w:color="000000" w:sz="8" w:space="0"/>
              <w:right w:val="single" w:color="000000" w:sz="8" w:space="0"/>
            </w:tcBorders>
            <w:noWrap w:val="0"/>
            <w:vAlign w:val="center"/>
          </w:tcPr>
          <w:p w14:paraId="3DC53686">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20"/>
                <w:szCs w:val="20"/>
                <w:u w:val="none"/>
              </w:rPr>
            </w:pPr>
            <w:r>
              <w:rPr>
                <w:rFonts w:hint="default" w:ascii="Times New Roman" w:hAnsi="Times New Roman" w:eastAsia="宋体" w:cs="Times New Roman"/>
                <w:i w:val="0"/>
                <w:iCs w:val="0"/>
                <w:color w:val="000000"/>
                <w:kern w:val="0"/>
                <w:sz w:val="20"/>
                <w:szCs w:val="20"/>
                <w:u w:val="none"/>
                <w:lang w:val="en-US" w:eastAsia="zh-CN" w:bidi="ar"/>
              </w:rPr>
              <w:t>80</w:t>
            </w:r>
          </w:p>
        </w:tc>
        <w:tc>
          <w:tcPr>
            <w:tcW w:w="329" w:type="pct"/>
            <w:tcBorders>
              <w:top w:val="nil"/>
              <w:left w:val="nil"/>
              <w:bottom w:val="single" w:color="000000" w:sz="8" w:space="0"/>
              <w:right w:val="single" w:color="000000" w:sz="8" w:space="0"/>
            </w:tcBorders>
            <w:noWrap w:val="0"/>
            <w:vAlign w:val="center"/>
          </w:tcPr>
          <w:p w14:paraId="6065FB61">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b/>
                <w:bCs/>
                <w:i w:val="0"/>
                <w:iCs w:val="0"/>
                <w:color w:val="000000"/>
                <w:sz w:val="18"/>
                <w:szCs w:val="18"/>
                <w:u w:val="none"/>
              </w:rPr>
            </w:pPr>
            <w:r>
              <w:rPr>
                <w:rFonts w:hint="default" w:ascii="Times New Roman" w:hAnsi="Times New Roman" w:eastAsia="宋体" w:cs="Times New Roman"/>
                <w:b/>
                <w:bCs/>
                <w:i w:val="0"/>
                <w:iCs w:val="0"/>
                <w:color w:val="000000"/>
                <w:kern w:val="0"/>
                <w:sz w:val="18"/>
                <w:szCs w:val="18"/>
                <w:u w:val="none"/>
                <w:lang w:val="en-US" w:eastAsia="zh-CN" w:bidi="ar"/>
              </w:rPr>
              <w:t>0.00%</w:t>
            </w:r>
          </w:p>
        </w:tc>
        <w:tc>
          <w:tcPr>
            <w:tcW w:w="1013" w:type="pct"/>
            <w:tcBorders>
              <w:top w:val="nil"/>
              <w:left w:val="nil"/>
              <w:bottom w:val="single" w:color="000000" w:sz="8" w:space="0"/>
              <w:right w:val="single" w:color="000000" w:sz="8" w:space="0"/>
            </w:tcBorders>
            <w:noWrap w:val="0"/>
            <w:vAlign w:val="center"/>
          </w:tcPr>
          <w:p w14:paraId="63E8ECDF">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color w:val="000000"/>
                <w:kern w:val="0"/>
                <w:sz w:val="18"/>
                <w:szCs w:val="18"/>
                <w:u w:val="none"/>
                <w:lang w:val="en-US" w:eastAsia="zh-CN" w:bidi="ar"/>
              </w:rPr>
              <w:t>DN200</w:t>
            </w:r>
          </w:p>
        </w:tc>
      </w:tr>
      <w:tr w14:paraId="3608848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3" w:hRule="atLeast"/>
        </w:trPr>
        <w:tc>
          <w:tcPr>
            <w:tcW w:w="273" w:type="pct"/>
            <w:tcBorders>
              <w:top w:val="nil"/>
              <w:left w:val="single" w:color="000000" w:sz="8" w:space="0"/>
              <w:bottom w:val="single" w:color="000000" w:sz="8" w:space="0"/>
              <w:right w:val="single" w:color="000000" w:sz="8" w:space="0"/>
            </w:tcBorders>
            <w:noWrap w:val="0"/>
            <w:vAlign w:val="center"/>
          </w:tcPr>
          <w:p w14:paraId="33A25D14">
            <w:pPr>
              <w:spacing w:line="240" w:lineRule="auto"/>
              <w:ind w:firstLine="0" w:firstLineChars="0"/>
              <w:jc w:val="center"/>
              <w:rPr>
                <w:rFonts w:hint="default" w:ascii="Times New Roman" w:hAnsi="Times New Roman" w:eastAsia="宋体" w:cs="Times New Roman"/>
                <w:i w:val="0"/>
                <w:iCs w:val="0"/>
                <w:color w:val="000000"/>
                <w:sz w:val="18"/>
                <w:szCs w:val="18"/>
                <w:u w:val="none"/>
              </w:rPr>
            </w:pPr>
          </w:p>
        </w:tc>
        <w:tc>
          <w:tcPr>
            <w:tcW w:w="675" w:type="pct"/>
            <w:tcBorders>
              <w:top w:val="nil"/>
              <w:left w:val="nil"/>
              <w:bottom w:val="single" w:color="000000" w:sz="8" w:space="0"/>
              <w:right w:val="single" w:color="000000" w:sz="8" w:space="0"/>
            </w:tcBorders>
            <w:noWrap w:val="0"/>
            <w:vAlign w:val="center"/>
          </w:tcPr>
          <w:p w14:paraId="596E7006">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color w:val="000000"/>
                <w:kern w:val="0"/>
                <w:sz w:val="18"/>
                <w:szCs w:val="18"/>
                <w:u w:val="none"/>
                <w:lang w:val="en-US" w:eastAsia="zh-CN" w:bidi="ar"/>
              </w:rPr>
              <w:t>UPVC</w:t>
            </w:r>
            <w:r>
              <w:rPr>
                <w:rFonts w:hint="eastAsia" w:ascii="宋体" w:hAnsi="宋体" w:eastAsia="宋体" w:cs="宋体"/>
                <w:i w:val="0"/>
                <w:iCs w:val="0"/>
                <w:color w:val="000000"/>
                <w:kern w:val="0"/>
                <w:sz w:val="18"/>
                <w:szCs w:val="18"/>
                <w:u w:val="none"/>
                <w:lang w:val="en-US" w:eastAsia="zh-CN" w:bidi="ar"/>
              </w:rPr>
              <w:t>管</w:t>
            </w:r>
          </w:p>
        </w:tc>
        <w:tc>
          <w:tcPr>
            <w:tcW w:w="398" w:type="pct"/>
            <w:tcBorders>
              <w:top w:val="nil"/>
              <w:left w:val="nil"/>
              <w:bottom w:val="single" w:color="000000" w:sz="8" w:space="0"/>
              <w:right w:val="single" w:color="000000" w:sz="8" w:space="0"/>
            </w:tcBorders>
            <w:noWrap w:val="0"/>
            <w:vAlign w:val="center"/>
          </w:tcPr>
          <w:p w14:paraId="56EB3BE2">
            <w:pPr>
              <w:spacing w:line="240" w:lineRule="auto"/>
              <w:ind w:firstLine="0" w:firstLineChars="0"/>
              <w:jc w:val="center"/>
              <w:rPr>
                <w:rFonts w:hint="default" w:ascii="Times New Roman" w:hAnsi="Times New Roman" w:eastAsia="宋体" w:cs="Times New Roman"/>
                <w:i w:val="0"/>
                <w:iCs w:val="0"/>
                <w:color w:val="000000"/>
                <w:sz w:val="18"/>
                <w:szCs w:val="18"/>
                <w:u w:val="none"/>
              </w:rPr>
            </w:pPr>
          </w:p>
        </w:tc>
        <w:tc>
          <w:tcPr>
            <w:tcW w:w="398" w:type="pct"/>
            <w:tcBorders>
              <w:top w:val="nil"/>
              <w:left w:val="nil"/>
              <w:bottom w:val="single" w:color="000000" w:sz="8" w:space="0"/>
              <w:right w:val="single" w:color="000000" w:sz="8" w:space="0"/>
            </w:tcBorders>
            <w:noWrap w:val="0"/>
            <w:vAlign w:val="center"/>
          </w:tcPr>
          <w:p w14:paraId="1266E7FF">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color w:val="000000"/>
                <w:kern w:val="0"/>
                <w:sz w:val="18"/>
                <w:szCs w:val="18"/>
                <w:u w:val="none"/>
                <w:lang w:val="en-US" w:eastAsia="zh-CN" w:bidi="ar"/>
              </w:rPr>
              <w:t>0.17</w:t>
            </w:r>
          </w:p>
        </w:tc>
        <w:tc>
          <w:tcPr>
            <w:tcW w:w="398" w:type="pct"/>
            <w:tcBorders>
              <w:top w:val="nil"/>
              <w:left w:val="nil"/>
              <w:bottom w:val="single" w:color="000000" w:sz="8" w:space="0"/>
              <w:right w:val="single" w:color="000000" w:sz="8" w:space="0"/>
            </w:tcBorders>
            <w:noWrap w:val="0"/>
            <w:vAlign w:val="center"/>
          </w:tcPr>
          <w:p w14:paraId="19D255F8">
            <w:pPr>
              <w:spacing w:line="240" w:lineRule="auto"/>
              <w:ind w:firstLine="0" w:firstLineChars="0"/>
              <w:jc w:val="center"/>
              <w:rPr>
                <w:rFonts w:hint="default" w:ascii="Times New Roman" w:hAnsi="Times New Roman" w:eastAsia="宋体" w:cs="Times New Roman"/>
                <w:i w:val="0"/>
                <w:iCs w:val="0"/>
                <w:color w:val="000000"/>
                <w:sz w:val="18"/>
                <w:szCs w:val="18"/>
                <w:u w:val="none"/>
              </w:rPr>
            </w:pPr>
          </w:p>
        </w:tc>
        <w:tc>
          <w:tcPr>
            <w:tcW w:w="346" w:type="pct"/>
            <w:tcBorders>
              <w:top w:val="nil"/>
              <w:left w:val="nil"/>
              <w:bottom w:val="single" w:color="000000" w:sz="8" w:space="0"/>
              <w:right w:val="single" w:color="000000" w:sz="8" w:space="0"/>
            </w:tcBorders>
            <w:noWrap w:val="0"/>
            <w:vAlign w:val="center"/>
          </w:tcPr>
          <w:p w14:paraId="13775B50">
            <w:pPr>
              <w:spacing w:line="240" w:lineRule="auto"/>
              <w:ind w:firstLine="0" w:firstLineChars="0"/>
              <w:jc w:val="center"/>
              <w:rPr>
                <w:rFonts w:hint="default" w:ascii="Times New Roman" w:hAnsi="Times New Roman" w:eastAsia="宋体" w:cs="Times New Roman"/>
                <w:i w:val="0"/>
                <w:iCs w:val="0"/>
                <w:color w:val="000000"/>
                <w:sz w:val="18"/>
                <w:szCs w:val="18"/>
                <w:u w:val="none"/>
              </w:rPr>
            </w:pPr>
          </w:p>
        </w:tc>
        <w:tc>
          <w:tcPr>
            <w:tcW w:w="326" w:type="pct"/>
            <w:tcBorders>
              <w:top w:val="nil"/>
              <w:left w:val="nil"/>
              <w:bottom w:val="single" w:color="000000" w:sz="8" w:space="0"/>
              <w:right w:val="single" w:color="000000" w:sz="8" w:space="0"/>
            </w:tcBorders>
            <w:noWrap w:val="0"/>
            <w:vAlign w:val="center"/>
          </w:tcPr>
          <w:p w14:paraId="55373969">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color w:val="000000"/>
                <w:kern w:val="0"/>
                <w:sz w:val="18"/>
                <w:szCs w:val="18"/>
                <w:u w:val="none"/>
                <w:lang w:val="en-US" w:eastAsia="zh-CN" w:bidi="ar"/>
              </w:rPr>
              <w:t>0.17</w:t>
            </w:r>
          </w:p>
        </w:tc>
        <w:tc>
          <w:tcPr>
            <w:tcW w:w="148" w:type="pct"/>
            <w:tcBorders>
              <w:top w:val="nil"/>
              <w:left w:val="nil"/>
              <w:bottom w:val="single" w:color="000000" w:sz="8" w:space="0"/>
              <w:right w:val="single" w:color="000000" w:sz="8" w:space="0"/>
            </w:tcBorders>
            <w:noWrap w:val="0"/>
            <w:vAlign w:val="center"/>
          </w:tcPr>
          <w:p w14:paraId="4F9423E7">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color w:val="000000"/>
                <w:kern w:val="0"/>
                <w:sz w:val="18"/>
                <w:szCs w:val="18"/>
                <w:u w:val="none"/>
                <w:lang w:val="en-US" w:eastAsia="zh-CN" w:bidi="ar"/>
              </w:rPr>
              <w:t>m</w:t>
            </w:r>
          </w:p>
        </w:tc>
        <w:tc>
          <w:tcPr>
            <w:tcW w:w="211" w:type="pct"/>
            <w:tcBorders>
              <w:top w:val="nil"/>
              <w:left w:val="nil"/>
              <w:bottom w:val="single" w:color="000000" w:sz="8" w:space="0"/>
              <w:right w:val="single" w:color="000000" w:sz="8" w:space="0"/>
            </w:tcBorders>
            <w:noWrap w:val="0"/>
            <w:vAlign w:val="center"/>
          </w:tcPr>
          <w:p w14:paraId="314332A9">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color w:val="000000"/>
                <w:kern w:val="0"/>
                <w:sz w:val="18"/>
                <w:szCs w:val="18"/>
                <w:u w:val="none"/>
                <w:lang w:val="en-US" w:eastAsia="zh-CN" w:bidi="ar"/>
              </w:rPr>
              <w:t>15</w:t>
            </w:r>
          </w:p>
        </w:tc>
        <w:tc>
          <w:tcPr>
            <w:tcW w:w="478" w:type="pct"/>
            <w:tcBorders>
              <w:top w:val="nil"/>
              <w:left w:val="nil"/>
              <w:bottom w:val="single" w:color="000000" w:sz="8" w:space="0"/>
              <w:right w:val="single" w:color="000000" w:sz="8" w:space="0"/>
            </w:tcBorders>
            <w:noWrap w:val="0"/>
            <w:vAlign w:val="center"/>
          </w:tcPr>
          <w:p w14:paraId="2D327DCF">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20"/>
                <w:szCs w:val="20"/>
                <w:u w:val="none"/>
              </w:rPr>
            </w:pPr>
            <w:r>
              <w:rPr>
                <w:rFonts w:hint="default" w:ascii="Times New Roman" w:hAnsi="Times New Roman" w:eastAsia="宋体" w:cs="Times New Roman"/>
                <w:i w:val="0"/>
                <w:iCs w:val="0"/>
                <w:color w:val="000000"/>
                <w:kern w:val="0"/>
                <w:sz w:val="20"/>
                <w:szCs w:val="20"/>
                <w:u w:val="none"/>
                <w:lang w:val="en-US" w:eastAsia="zh-CN" w:bidi="ar"/>
              </w:rPr>
              <w:t>110</w:t>
            </w:r>
          </w:p>
        </w:tc>
        <w:tc>
          <w:tcPr>
            <w:tcW w:w="329" w:type="pct"/>
            <w:tcBorders>
              <w:top w:val="nil"/>
              <w:left w:val="nil"/>
              <w:bottom w:val="single" w:color="000000" w:sz="8" w:space="0"/>
              <w:right w:val="single" w:color="000000" w:sz="8" w:space="0"/>
            </w:tcBorders>
            <w:noWrap w:val="0"/>
            <w:vAlign w:val="center"/>
          </w:tcPr>
          <w:p w14:paraId="53BC1019">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b/>
                <w:bCs/>
                <w:i w:val="0"/>
                <w:iCs w:val="0"/>
                <w:color w:val="000000"/>
                <w:sz w:val="18"/>
                <w:szCs w:val="18"/>
                <w:u w:val="none"/>
              </w:rPr>
            </w:pPr>
            <w:r>
              <w:rPr>
                <w:rFonts w:hint="default" w:ascii="Times New Roman" w:hAnsi="Times New Roman" w:eastAsia="宋体" w:cs="Times New Roman"/>
                <w:b/>
                <w:bCs/>
                <w:i w:val="0"/>
                <w:iCs w:val="0"/>
                <w:color w:val="000000"/>
                <w:kern w:val="0"/>
                <w:sz w:val="18"/>
                <w:szCs w:val="18"/>
                <w:u w:val="none"/>
                <w:lang w:val="en-US" w:eastAsia="zh-CN" w:bidi="ar"/>
              </w:rPr>
              <w:t>0.00%</w:t>
            </w:r>
          </w:p>
        </w:tc>
        <w:tc>
          <w:tcPr>
            <w:tcW w:w="1013" w:type="pct"/>
            <w:tcBorders>
              <w:top w:val="nil"/>
              <w:left w:val="nil"/>
              <w:bottom w:val="single" w:color="000000" w:sz="8" w:space="0"/>
              <w:right w:val="single" w:color="000000" w:sz="8" w:space="0"/>
            </w:tcBorders>
            <w:noWrap w:val="0"/>
            <w:vAlign w:val="center"/>
          </w:tcPr>
          <w:p w14:paraId="09EADBC7">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color w:val="000000"/>
                <w:kern w:val="0"/>
                <w:sz w:val="18"/>
                <w:szCs w:val="18"/>
                <w:u w:val="none"/>
                <w:lang w:val="en-US" w:eastAsia="zh-CN" w:bidi="ar"/>
              </w:rPr>
              <w:t>DN300</w:t>
            </w:r>
          </w:p>
        </w:tc>
      </w:tr>
      <w:tr w14:paraId="5E82E56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3" w:hRule="atLeast"/>
        </w:trPr>
        <w:tc>
          <w:tcPr>
            <w:tcW w:w="273" w:type="pct"/>
            <w:tcBorders>
              <w:top w:val="nil"/>
              <w:left w:val="single" w:color="000000" w:sz="8" w:space="0"/>
              <w:bottom w:val="single" w:color="000000" w:sz="8" w:space="0"/>
              <w:right w:val="single" w:color="000000" w:sz="8" w:space="0"/>
            </w:tcBorders>
            <w:noWrap w:val="0"/>
            <w:vAlign w:val="center"/>
          </w:tcPr>
          <w:p w14:paraId="572F85C1">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b/>
                <w:bCs/>
                <w:i w:val="0"/>
                <w:iCs w:val="0"/>
                <w:color w:val="000000"/>
                <w:sz w:val="18"/>
                <w:szCs w:val="18"/>
                <w:u w:val="none"/>
              </w:rPr>
            </w:pPr>
            <w:r>
              <w:rPr>
                <w:rFonts w:hint="default" w:ascii="Times New Roman" w:hAnsi="Times New Roman" w:eastAsia="宋体" w:cs="Times New Roman"/>
                <w:b/>
                <w:bCs/>
                <w:i w:val="0"/>
                <w:iCs w:val="0"/>
                <w:color w:val="000000"/>
                <w:kern w:val="0"/>
                <w:sz w:val="18"/>
                <w:szCs w:val="18"/>
                <w:u w:val="none"/>
                <w:lang w:val="en-US" w:eastAsia="zh-CN" w:bidi="ar"/>
              </w:rPr>
              <w:t>Ⅲ</w:t>
            </w:r>
          </w:p>
        </w:tc>
        <w:tc>
          <w:tcPr>
            <w:tcW w:w="675" w:type="pct"/>
            <w:tcBorders>
              <w:top w:val="nil"/>
              <w:left w:val="nil"/>
              <w:bottom w:val="single" w:color="000000" w:sz="8" w:space="0"/>
              <w:right w:val="single" w:color="000000" w:sz="8" w:space="0"/>
            </w:tcBorders>
            <w:noWrap w:val="0"/>
            <w:vAlign w:val="center"/>
          </w:tcPr>
          <w:p w14:paraId="3442B2CF">
            <w:pPr>
              <w:keepNext w:val="0"/>
              <w:keepLines w:val="0"/>
              <w:widowControl/>
              <w:suppressLineNumbers w:val="0"/>
              <w:spacing w:line="240" w:lineRule="auto"/>
              <w:ind w:firstLine="0" w:firstLineChars="0"/>
              <w:jc w:val="center"/>
              <w:textAlignment w:val="center"/>
              <w:rPr>
                <w:rFonts w:hint="eastAsia" w:ascii="宋体" w:hAnsi="宋体" w:eastAsia="宋体" w:cs="宋体"/>
                <w:b/>
                <w:bCs/>
                <w:i w:val="0"/>
                <w:iCs w:val="0"/>
                <w:color w:val="000000"/>
                <w:sz w:val="18"/>
                <w:szCs w:val="18"/>
                <w:u w:val="none"/>
              </w:rPr>
            </w:pPr>
            <w:r>
              <w:rPr>
                <w:rFonts w:hint="eastAsia" w:ascii="宋体" w:hAnsi="宋体" w:eastAsia="宋体" w:cs="宋体"/>
                <w:b/>
                <w:bCs/>
                <w:i w:val="0"/>
                <w:iCs w:val="0"/>
                <w:color w:val="000000"/>
                <w:kern w:val="0"/>
                <w:sz w:val="18"/>
                <w:szCs w:val="18"/>
                <w:u w:val="none"/>
                <w:lang w:val="en-US" w:eastAsia="zh-CN" w:bidi="ar"/>
              </w:rPr>
              <w:t>自控系统</w:t>
            </w:r>
          </w:p>
        </w:tc>
        <w:tc>
          <w:tcPr>
            <w:tcW w:w="398" w:type="pct"/>
            <w:tcBorders>
              <w:top w:val="nil"/>
              <w:left w:val="nil"/>
              <w:bottom w:val="single" w:color="000000" w:sz="8" w:space="0"/>
              <w:right w:val="single" w:color="000000" w:sz="8" w:space="0"/>
            </w:tcBorders>
            <w:noWrap w:val="0"/>
            <w:vAlign w:val="center"/>
          </w:tcPr>
          <w:p w14:paraId="4BC0A54A">
            <w:pPr>
              <w:spacing w:line="240" w:lineRule="auto"/>
              <w:ind w:firstLine="0" w:firstLineChars="0"/>
              <w:jc w:val="center"/>
              <w:rPr>
                <w:rFonts w:hint="default" w:ascii="Times New Roman" w:hAnsi="Times New Roman" w:eastAsia="宋体" w:cs="Times New Roman"/>
                <w:b/>
                <w:bCs/>
                <w:i w:val="0"/>
                <w:iCs w:val="0"/>
                <w:color w:val="000000"/>
                <w:sz w:val="18"/>
                <w:szCs w:val="18"/>
                <w:u w:val="none"/>
              </w:rPr>
            </w:pPr>
          </w:p>
        </w:tc>
        <w:tc>
          <w:tcPr>
            <w:tcW w:w="398" w:type="pct"/>
            <w:tcBorders>
              <w:top w:val="nil"/>
              <w:left w:val="nil"/>
              <w:bottom w:val="single" w:color="000000" w:sz="8" w:space="0"/>
              <w:right w:val="single" w:color="000000" w:sz="8" w:space="0"/>
            </w:tcBorders>
            <w:noWrap w:val="0"/>
            <w:vAlign w:val="center"/>
          </w:tcPr>
          <w:p w14:paraId="61B418B3">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b/>
                <w:bCs/>
                <w:i w:val="0"/>
                <w:iCs w:val="0"/>
                <w:color w:val="000000"/>
                <w:sz w:val="18"/>
                <w:szCs w:val="18"/>
                <w:u w:val="none"/>
              </w:rPr>
            </w:pPr>
            <w:r>
              <w:rPr>
                <w:rFonts w:hint="default" w:ascii="Times New Roman" w:hAnsi="Times New Roman" w:eastAsia="宋体" w:cs="Times New Roman"/>
                <w:b/>
                <w:bCs/>
                <w:i w:val="0"/>
                <w:iCs w:val="0"/>
                <w:color w:val="000000"/>
                <w:kern w:val="0"/>
                <w:sz w:val="18"/>
                <w:szCs w:val="18"/>
                <w:u w:val="none"/>
                <w:lang w:val="en-US" w:eastAsia="zh-CN" w:bidi="ar"/>
              </w:rPr>
              <w:t>235</w:t>
            </w:r>
          </w:p>
        </w:tc>
        <w:tc>
          <w:tcPr>
            <w:tcW w:w="398" w:type="pct"/>
            <w:tcBorders>
              <w:top w:val="nil"/>
              <w:left w:val="nil"/>
              <w:bottom w:val="single" w:color="000000" w:sz="8" w:space="0"/>
              <w:right w:val="single" w:color="000000" w:sz="8" w:space="0"/>
            </w:tcBorders>
            <w:noWrap w:val="0"/>
            <w:vAlign w:val="center"/>
          </w:tcPr>
          <w:p w14:paraId="427F6991">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b/>
                <w:bCs/>
                <w:i w:val="0"/>
                <w:iCs w:val="0"/>
                <w:color w:val="000000"/>
                <w:sz w:val="18"/>
                <w:szCs w:val="18"/>
                <w:u w:val="none"/>
              </w:rPr>
            </w:pPr>
            <w:r>
              <w:rPr>
                <w:rFonts w:hint="default" w:ascii="Times New Roman" w:hAnsi="Times New Roman" w:eastAsia="宋体" w:cs="Times New Roman"/>
                <w:b/>
                <w:bCs/>
                <w:i w:val="0"/>
                <w:iCs w:val="0"/>
                <w:color w:val="000000"/>
                <w:kern w:val="0"/>
                <w:sz w:val="18"/>
                <w:szCs w:val="18"/>
                <w:u w:val="none"/>
                <w:lang w:val="en-US" w:eastAsia="zh-CN" w:bidi="ar"/>
              </w:rPr>
              <w:t>43.48</w:t>
            </w:r>
          </w:p>
        </w:tc>
        <w:tc>
          <w:tcPr>
            <w:tcW w:w="346" w:type="pct"/>
            <w:tcBorders>
              <w:top w:val="nil"/>
              <w:left w:val="nil"/>
              <w:bottom w:val="single" w:color="000000" w:sz="8" w:space="0"/>
              <w:right w:val="single" w:color="000000" w:sz="8" w:space="0"/>
            </w:tcBorders>
            <w:noWrap w:val="0"/>
            <w:vAlign w:val="center"/>
          </w:tcPr>
          <w:p w14:paraId="4B21D22A">
            <w:pPr>
              <w:spacing w:line="240" w:lineRule="auto"/>
              <w:ind w:firstLine="0" w:firstLineChars="0"/>
              <w:jc w:val="center"/>
              <w:rPr>
                <w:rFonts w:hint="default" w:ascii="Times New Roman" w:hAnsi="Times New Roman" w:eastAsia="宋体" w:cs="Times New Roman"/>
                <w:b/>
                <w:bCs/>
                <w:i w:val="0"/>
                <w:iCs w:val="0"/>
                <w:color w:val="000000"/>
                <w:sz w:val="18"/>
                <w:szCs w:val="18"/>
                <w:u w:val="none"/>
              </w:rPr>
            </w:pPr>
          </w:p>
        </w:tc>
        <w:tc>
          <w:tcPr>
            <w:tcW w:w="326" w:type="pct"/>
            <w:tcBorders>
              <w:top w:val="nil"/>
              <w:left w:val="nil"/>
              <w:bottom w:val="single" w:color="000000" w:sz="8" w:space="0"/>
              <w:right w:val="single" w:color="000000" w:sz="8" w:space="0"/>
            </w:tcBorders>
            <w:noWrap w:val="0"/>
            <w:vAlign w:val="center"/>
          </w:tcPr>
          <w:p w14:paraId="662FD73B">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b/>
                <w:bCs/>
                <w:i w:val="0"/>
                <w:iCs w:val="0"/>
                <w:color w:val="000000"/>
                <w:sz w:val="18"/>
                <w:szCs w:val="18"/>
                <w:u w:val="none"/>
              </w:rPr>
            </w:pPr>
            <w:r>
              <w:rPr>
                <w:rFonts w:hint="default" w:ascii="Times New Roman" w:hAnsi="Times New Roman" w:eastAsia="宋体" w:cs="Times New Roman"/>
                <w:b/>
                <w:bCs/>
                <w:i w:val="0"/>
                <w:iCs w:val="0"/>
                <w:color w:val="000000"/>
                <w:kern w:val="0"/>
                <w:sz w:val="18"/>
                <w:szCs w:val="18"/>
                <w:u w:val="none"/>
                <w:lang w:val="en-US" w:eastAsia="zh-CN" w:bidi="ar"/>
              </w:rPr>
              <w:t>278.48</w:t>
            </w:r>
          </w:p>
        </w:tc>
        <w:tc>
          <w:tcPr>
            <w:tcW w:w="148" w:type="pct"/>
            <w:tcBorders>
              <w:top w:val="nil"/>
              <w:left w:val="nil"/>
              <w:bottom w:val="single" w:color="000000" w:sz="8" w:space="0"/>
              <w:right w:val="single" w:color="000000" w:sz="8" w:space="0"/>
            </w:tcBorders>
            <w:noWrap w:val="0"/>
            <w:vAlign w:val="center"/>
          </w:tcPr>
          <w:p w14:paraId="09FC3F5C">
            <w:pPr>
              <w:spacing w:line="240" w:lineRule="auto"/>
              <w:ind w:firstLine="0" w:firstLineChars="0"/>
              <w:jc w:val="center"/>
              <w:rPr>
                <w:rFonts w:hint="default" w:ascii="Times New Roman" w:hAnsi="Times New Roman" w:eastAsia="宋体" w:cs="Times New Roman"/>
                <w:b/>
                <w:bCs/>
                <w:i w:val="0"/>
                <w:iCs w:val="0"/>
                <w:color w:val="000000"/>
                <w:sz w:val="18"/>
                <w:szCs w:val="18"/>
                <w:u w:val="none"/>
              </w:rPr>
            </w:pPr>
          </w:p>
        </w:tc>
        <w:tc>
          <w:tcPr>
            <w:tcW w:w="211" w:type="pct"/>
            <w:tcBorders>
              <w:top w:val="nil"/>
              <w:left w:val="nil"/>
              <w:bottom w:val="single" w:color="000000" w:sz="8" w:space="0"/>
              <w:right w:val="single" w:color="000000" w:sz="8" w:space="0"/>
            </w:tcBorders>
            <w:noWrap w:val="0"/>
            <w:vAlign w:val="center"/>
          </w:tcPr>
          <w:p w14:paraId="2562294E">
            <w:pPr>
              <w:spacing w:line="240" w:lineRule="auto"/>
              <w:ind w:firstLine="0" w:firstLineChars="0"/>
              <w:jc w:val="center"/>
              <w:rPr>
                <w:rFonts w:hint="default" w:ascii="Times New Roman" w:hAnsi="Times New Roman" w:eastAsia="宋体" w:cs="Times New Roman"/>
                <w:b/>
                <w:bCs/>
                <w:i w:val="0"/>
                <w:iCs w:val="0"/>
                <w:color w:val="000000"/>
                <w:sz w:val="18"/>
                <w:szCs w:val="18"/>
                <w:u w:val="none"/>
              </w:rPr>
            </w:pPr>
          </w:p>
        </w:tc>
        <w:tc>
          <w:tcPr>
            <w:tcW w:w="478" w:type="pct"/>
            <w:tcBorders>
              <w:top w:val="nil"/>
              <w:left w:val="nil"/>
              <w:bottom w:val="single" w:color="000000" w:sz="8" w:space="0"/>
              <w:right w:val="single" w:color="000000" w:sz="8" w:space="0"/>
            </w:tcBorders>
            <w:noWrap w:val="0"/>
            <w:vAlign w:val="center"/>
          </w:tcPr>
          <w:p w14:paraId="4A25183C">
            <w:pPr>
              <w:spacing w:line="240" w:lineRule="auto"/>
              <w:ind w:firstLine="0" w:firstLineChars="0"/>
              <w:jc w:val="center"/>
              <w:rPr>
                <w:rFonts w:hint="default" w:ascii="Times New Roman" w:hAnsi="Times New Roman" w:eastAsia="宋体" w:cs="Times New Roman"/>
                <w:b/>
                <w:bCs/>
                <w:i w:val="0"/>
                <w:iCs w:val="0"/>
                <w:color w:val="000000"/>
                <w:sz w:val="18"/>
                <w:szCs w:val="18"/>
                <w:u w:val="none"/>
              </w:rPr>
            </w:pPr>
          </w:p>
        </w:tc>
        <w:tc>
          <w:tcPr>
            <w:tcW w:w="329" w:type="pct"/>
            <w:tcBorders>
              <w:top w:val="nil"/>
              <w:left w:val="nil"/>
              <w:bottom w:val="single" w:color="000000" w:sz="8" w:space="0"/>
              <w:right w:val="single" w:color="000000" w:sz="8" w:space="0"/>
            </w:tcBorders>
            <w:noWrap w:val="0"/>
            <w:vAlign w:val="center"/>
          </w:tcPr>
          <w:p w14:paraId="1169B3DF">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b/>
                <w:bCs/>
                <w:i w:val="0"/>
                <w:iCs w:val="0"/>
                <w:color w:val="000000"/>
                <w:sz w:val="18"/>
                <w:szCs w:val="18"/>
                <w:u w:val="none"/>
              </w:rPr>
            </w:pPr>
            <w:r>
              <w:rPr>
                <w:rFonts w:hint="default" w:ascii="Times New Roman" w:hAnsi="Times New Roman" w:eastAsia="宋体" w:cs="Times New Roman"/>
                <w:b/>
                <w:bCs/>
                <w:i w:val="0"/>
                <w:iCs w:val="0"/>
                <w:color w:val="000000"/>
                <w:kern w:val="0"/>
                <w:sz w:val="18"/>
                <w:szCs w:val="18"/>
                <w:u w:val="none"/>
                <w:lang w:val="en-US" w:eastAsia="zh-CN" w:bidi="ar"/>
              </w:rPr>
              <w:t>2.73%</w:t>
            </w:r>
          </w:p>
        </w:tc>
        <w:tc>
          <w:tcPr>
            <w:tcW w:w="1013" w:type="pct"/>
            <w:tcBorders>
              <w:top w:val="nil"/>
              <w:left w:val="nil"/>
              <w:bottom w:val="single" w:color="000000" w:sz="8" w:space="0"/>
              <w:right w:val="single" w:color="000000" w:sz="8" w:space="0"/>
            </w:tcBorders>
            <w:noWrap w:val="0"/>
            <w:vAlign w:val="center"/>
          </w:tcPr>
          <w:p w14:paraId="62680E1B">
            <w:pPr>
              <w:spacing w:line="240" w:lineRule="auto"/>
              <w:ind w:firstLine="0" w:firstLineChars="0"/>
              <w:jc w:val="center"/>
              <w:rPr>
                <w:rFonts w:hint="default" w:ascii="Times New Roman" w:hAnsi="Times New Roman" w:eastAsia="宋体" w:cs="Times New Roman"/>
                <w:b/>
                <w:bCs/>
                <w:i w:val="0"/>
                <w:iCs w:val="0"/>
                <w:color w:val="000000"/>
                <w:sz w:val="18"/>
                <w:szCs w:val="18"/>
                <w:u w:val="none"/>
              </w:rPr>
            </w:pPr>
          </w:p>
        </w:tc>
      </w:tr>
      <w:tr w14:paraId="629E4BC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3" w:hRule="atLeast"/>
        </w:trPr>
        <w:tc>
          <w:tcPr>
            <w:tcW w:w="273" w:type="pct"/>
            <w:tcBorders>
              <w:top w:val="nil"/>
              <w:left w:val="single" w:color="000000" w:sz="8" w:space="0"/>
              <w:bottom w:val="single" w:color="000000" w:sz="8" w:space="0"/>
              <w:right w:val="single" w:color="000000" w:sz="8" w:space="0"/>
            </w:tcBorders>
            <w:noWrap w:val="0"/>
            <w:vAlign w:val="center"/>
          </w:tcPr>
          <w:p w14:paraId="7F1528B9">
            <w:pPr>
              <w:spacing w:line="240" w:lineRule="auto"/>
              <w:ind w:firstLine="0" w:firstLineChars="0"/>
              <w:jc w:val="center"/>
              <w:rPr>
                <w:rFonts w:hint="default" w:ascii="Times New Roman" w:hAnsi="Times New Roman" w:eastAsia="宋体" w:cs="Times New Roman"/>
                <w:i w:val="0"/>
                <w:iCs w:val="0"/>
                <w:color w:val="000000"/>
                <w:sz w:val="18"/>
                <w:szCs w:val="18"/>
                <w:u w:val="none"/>
              </w:rPr>
            </w:pPr>
          </w:p>
        </w:tc>
        <w:tc>
          <w:tcPr>
            <w:tcW w:w="675" w:type="pct"/>
            <w:tcBorders>
              <w:top w:val="nil"/>
              <w:left w:val="nil"/>
              <w:bottom w:val="single" w:color="000000" w:sz="8" w:space="0"/>
              <w:right w:val="single" w:color="000000" w:sz="8" w:space="0"/>
            </w:tcBorders>
            <w:noWrap w:val="0"/>
            <w:vAlign w:val="center"/>
          </w:tcPr>
          <w:p w14:paraId="2A969DB7">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中控系统</w:t>
            </w:r>
          </w:p>
        </w:tc>
        <w:tc>
          <w:tcPr>
            <w:tcW w:w="398" w:type="pct"/>
            <w:tcBorders>
              <w:top w:val="nil"/>
              <w:left w:val="nil"/>
              <w:bottom w:val="single" w:color="000000" w:sz="8" w:space="0"/>
              <w:right w:val="single" w:color="000000" w:sz="8" w:space="0"/>
            </w:tcBorders>
            <w:noWrap w:val="0"/>
            <w:vAlign w:val="center"/>
          </w:tcPr>
          <w:p w14:paraId="5780C96E">
            <w:pPr>
              <w:spacing w:line="240" w:lineRule="auto"/>
              <w:ind w:firstLine="0" w:firstLineChars="0"/>
              <w:jc w:val="center"/>
              <w:rPr>
                <w:rFonts w:hint="default" w:ascii="Times New Roman" w:hAnsi="Times New Roman" w:eastAsia="宋体" w:cs="Times New Roman"/>
                <w:i w:val="0"/>
                <w:iCs w:val="0"/>
                <w:color w:val="000000"/>
                <w:sz w:val="18"/>
                <w:szCs w:val="18"/>
                <w:u w:val="none"/>
              </w:rPr>
            </w:pPr>
          </w:p>
        </w:tc>
        <w:tc>
          <w:tcPr>
            <w:tcW w:w="398" w:type="pct"/>
            <w:tcBorders>
              <w:top w:val="nil"/>
              <w:left w:val="nil"/>
              <w:bottom w:val="single" w:color="000000" w:sz="8" w:space="0"/>
              <w:right w:val="single" w:color="000000" w:sz="8" w:space="0"/>
            </w:tcBorders>
            <w:noWrap w:val="0"/>
            <w:vAlign w:val="center"/>
          </w:tcPr>
          <w:p w14:paraId="03862C3D">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color w:val="000000"/>
                <w:kern w:val="0"/>
                <w:sz w:val="18"/>
                <w:szCs w:val="18"/>
                <w:u w:val="none"/>
                <w:lang w:val="en-US" w:eastAsia="zh-CN" w:bidi="ar"/>
              </w:rPr>
              <w:t>56</w:t>
            </w:r>
          </w:p>
        </w:tc>
        <w:tc>
          <w:tcPr>
            <w:tcW w:w="398" w:type="pct"/>
            <w:tcBorders>
              <w:top w:val="nil"/>
              <w:left w:val="nil"/>
              <w:bottom w:val="single" w:color="000000" w:sz="8" w:space="0"/>
              <w:right w:val="single" w:color="000000" w:sz="8" w:space="0"/>
            </w:tcBorders>
            <w:noWrap w:val="0"/>
            <w:vAlign w:val="center"/>
          </w:tcPr>
          <w:p w14:paraId="753F07E3">
            <w:pPr>
              <w:spacing w:line="240" w:lineRule="auto"/>
              <w:ind w:firstLine="0" w:firstLineChars="0"/>
              <w:jc w:val="center"/>
              <w:rPr>
                <w:rFonts w:hint="default" w:ascii="Times New Roman" w:hAnsi="Times New Roman" w:eastAsia="宋体" w:cs="Times New Roman"/>
                <w:i w:val="0"/>
                <w:iCs w:val="0"/>
                <w:color w:val="000000"/>
                <w:sz w:val="18"/>
                <w:szCs w:val="18"/>
                <w:u w:val="none"/>
              </w:rPr>
            </w:pPr>
          </w:p>
        </w:tc>
        <w:tc>
          <w:tcPr>
            <w:tcW w:w="346" w:type="pct"/>
            <w:tcBorders>
              <w:top w:val="nil"/>
              <w:left w:val="nil"/>
              <w:bottom w:val="single" w:color="000000" w:sz="8" w:space="0"/>
              <w:right w:val="single" w:color="000000" w:sz="8" w:space="0"/>
            </w:tcBorders>
            <w:noWrap w:val="0"/>
            <w:vAlign w:val="center"/>
          </w:tcPr>
          <w:p w14:paraId="58961390">
            <w:pPr>
              <w:spacing w:line="240" w:lineRule="auto"/>
              <w:ind w:firstLine="0" w:firstLineChars="0"/>
              <w:jc w:val="center"/>
              <w:rPr>
                <w:rFonts w:hint="default" w:ascii="Times New Roman" w:hAnsi="Times New Roman" w:eastAsia="宋体" w:cs="Times New Roman"/>
                <w:i w:val="0"/>
                <w:iCs w:val="0"/>
                <w:color w:val="000000"/>
                <w:sz w:val="18"/>
                <w:szCs w:val="18"/>
                <w:u w:val="none"/>
              </w:rPr>
            </w:pPr>
          </w:p>
        </w:tc>
        <w:tc>
          <w:tcPr>
            <w:tcW w:w="326" w:type="pct"/>
            <w:tcBorders>
              <w:top w:val="nil"/>
              <w:left w:val="nil"/>
              <w:bottom w:val="single" w:color="000000" w:sz="8" w:space="0"/>
              <w:right w:val="single" w:color="000000" w:sz="8" w:space="0"/>
            </w:tcBorders>
            <w:noWrap w:val="0"/>
            <w:vAlign w:val="center"/>
          </w:tcPr>
          <w:p w14:paraId="41E22713">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color w:val="000000"/>
                <w:kern w:val="0"/>
                <w:sz w:val="18"/>
                <w:szCs w:val="18"/>
                <w:u w:val="none"/>
                <w:lang w:val="en-US" w:eastAsia="zh-CN" w:bidi="ar"/>
              </w:rPr>
              <w:t>56</w:t>
            </w:r>
          </w:p>
        </w:tc>
        <w:tc>
          <w:tcPr>
            <w:tcW w:w="148" w:type="pct"/>
            <w:tcBorders>
              <w:top w:val="nil"/>
              <w:left w:val="nil"/>
              <w:bottom w:val="single" w:color="000000" w:sz="8" w:space="0"/>
              <w:right w:val="single" w:color="000000" w:sz="8" w:space="0"/>
            </w:tcBorders>
            <w:noWrap w:val="0"/>
            <w:vAlign w:val="center"/>
          </w:tcPr>
          <w:p w14:paraId="4AD6D580">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项</w:t>
            </w:r>
          </w:p>
        </w:tc>
        <w:tc>
          <w:tcPr>
            <w:tcW w:w="211" w:type="pct"/>
            <w:tcBorders>
              <w:top w:val="nil"/>
              <w:left w:val="nil"/>
              <w:bottom w:val="single" w:color="000000" w:sz="8" w:space="0"/>
              <w:right w:val="single" w:color="000000" w:sz="8" w:space="0"/>
            </w:tcBorders>
            <w:noWrap w:val="0"/>
            <w:vAlign w:val="center"/>
          </w:tcPr>
          <w:p w14:paraId="31AD8670">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color w:val="000000"/>
                <w:kern w:val="0"/>
                <w:sz w:val="18"/>
                <w:szCs w:val="18"/>
                <w:u w:val="none"/>
                <w:lang w:val="en-US" w:eastAsia="zh-CN" w:bidi="ar"/>
              </w:rPr>
              <w:t>1</w:t>
            </w:r>
          </w:p>
        </w:tc>
        <w:tc>
          <w:tcPr>
            <w:tcW w:w="478" w:type="pct"/>
            <w:tcBorders>
              <w:top w:val="nil"/>
              <w:left w:val="nil"/>
              <w:bottom w:val="single" w:color="000000" w:sz="8" w:space="0"/>
              <w:right w:val="single" w:color="000000" w:sz="8" w:space="0"/>
            </w:tcBorders>
            <w:noWrap w:val="0"/>
            <w:vAlign w:val="center"/>
          </w:tcPr>
          <w:p w14:paraId="60DE0FB0">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20"/>
                <w:szCs w:val="20"/>
                <w:u w:val="none"/>
              </w:rPr>
            </w:pPr>
            <w:r>
              <w:rPr>
                <w:rFonts w:hint="default" w:ascii="Times New Roman" w:hAnsi="Times New Roman" w:eastAsia="宋体" w:cs="Times New Roman"/>
                <w:i w:val="0"/>
                <w:iCs w:val="0"/>
                <w:color w:val="000000"/>
                <w:kern w:val="0"/>
                <w:sz w:val="20"/>
                <w:szCs w:val="20"/>
                <w:u w:val="none"/>
                <w:lang w:val="en-US" w:eastAsia="zh-CN" w:bidi="ar"/>
              </w:rPr>
              <w:t>560000</w:t>
            </w:r>
          </w:p>
        </w:tc>
        <w:tc>
          <w:tcPr>
            <w:tcW w:w="329" w:type="pct"/>
            <w:tcBorders>
              <w:top w:val="nil"/>
              <w:left w:val="nil"/>
              <w:bottom w:val="single" w:color="000000" w:sz="8" w:space="0"/>
              <w:right w:val="single" w:color="000000" w:sz="8" w:space="0"/>
            </w:tcBorders>
            <w:noWrap w:val="0"/>
            <w:vAlign w:val="center"/>
          </w:tcPr>
          <w:p w14:paraId="656F6524">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b/>
                <w:bCs/>
                <w:i w:val="0"/>
                <w:iCs w:val="0"/>
                <w:color w:val="000000"/>
                <w:sz w:val="18"/>
                <w:szCs w:val="18"/>
                <w:u w:val="none"/>
              </w:rPr>
            </w:pPr>
            <w:r>
              <w:rPr>
                <w:rFonts w:hint="default" w:ascii="Times New Roman" w:hAnsi="Times New Roman" w:eastAsia="宋体" w:cs="Times New Roman"/>
                <w:b/>
                <w:bCs/>
                <w:i w:val="0"/>
                <w:iCs w:val="0"/>
                <w:color w:val="000000"/>
                <w:kern w:val="0"/>
                <w:sz w:val="18"/>
                <w:szCs w:val="18"/>
                <w:u w:val="none"/>
                <w:lang w:val="en-US" w:eastAsia="zh-CN" w:bidi="ar"/>
              </w:rPr>
              <w:t>0.55%</w:t>
            </w:r>
          </w:p>
        </w:tc>
        <w:tc>
          <w:tcPr>
            <w:tcW w:w="1013" w:type="pct"/>
            <w:tcBorders>
              <w:top w:val="nil"/>
              <w:left w:val="nil"/>
              <w:bottom w:val="single" w:color="000000" w:sz="8" w:space="0"/>
              <w:right w:val="single" w:color="000000" w:sz="8" w:space="0"/>
            </w:tcBorders>
            <w:noWrap w:val="0"/>
            <w:vAlign w:val="center"/>
          </w:tcPr>
          <w:p w14:paraId="4D90D729">
            <w:pPr>
              <w:spacing w:line="240" w:lineRule="auto"/>
              <w:ind w:firstLine="0" w:firstLineChars="0"/>
              <w:jc w:val="center"/>
              <w:rPr>
                <w:rFonts w:hint="default" w:ascii="Times New Roman" w:hAnsi="Times New Roman" w:eastAsia="宋体" w:cs="Times New Roman"/>
                <w:i w:val="0"/>
                <w:iCs w:val="0"/>
                <w:color w:val="000000"/>
                <w:sz w:val="18"/>
                <w:szCs w:val="18"/>
                <w:u w:val="none"/>
              </w:rPr>
            </w:pPr>
          </w:p>
        </w:tc>
      </w:tr>
      <w:tr w14:paraId="4BA197B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3" w:hRule="atLeast"/>
        </w:trPr>
        <w:tc>
          <w:tcPr>
            <w:tcW w:w="273" w:type="pct"/>
            <w:tcBorders>
              <w:top w:val="nil"/>
              <w:left w:val="single" w:color="000000" w:sz="8" w:space="0"/>
              <w:bottom w:val="single" w:color="000000" w:sz="8" w:space="0"/>
              <w:right w:val="single" w:color="000000" w:sz="8" w:space="0"/>
            </w:tcBorders>
            <w:noWrap w:val="0"/>
            <w:vAlign w:val="center"/>
          </w:tcPr>
          <w:p w14:paraId="4E1E3F44">
            <w:pPr>
              <w:spacing w:line="240" w:lineRule="auto"/>
              <w:ind w:firstLine="0" w:firstLineChars="0"/>
              <w:jc w:val="center"/>
              <w:rPr>
                <w:rFonts w:hint="default" w:ascii="Times New Roman" w:hAnsi="Times New Roman" w:eastAsia="宋体" w:cs="Times New Roman"/>
                <w:i w:val="0"/>
                <w:iCs w:val="0"/>
                <w:color w:val="000000"/>
                <w:sz w:val="18"/>
                <w:szCs w:val="18"/>
                <w:u w:val="none"/>
              </w:rPr>
            </w:pPr>
          </w:p>
        </w:tc>
        <w:tc>
          <w:tcPr>
            <w:tcW w:w="675" w:type="pct"/>
            <w:tcBorders>
              <w:top w:val="nil"/>
              <w:left w:val="nil"/>
              <w:bottom w:val="single" w:color="000000" w:sz="8" w:space="0"/>
              <w:right w:val="single" w:color="000000" w:sz="8" w:space="0"/>
            </w:tcBorders>
            <w:noWrap w:val="0"/>
            <w:vAlign w:val="center"/>
          </w:tcPr>
          <w:p w14:paraId="10F6AC7D">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视频监控及安防系统</w:t>
            </w:r>
          </w:p>
        </w:tc>
        <w:tc>
          <w:tcPr>
            <w:tcW w:w="398" w:type="pct"/>
            <w:tcBorders>
              <w:top w:val="nil"/>
              <w:left w:val="nil"/>
              <w:bottom w:val="single" w:color="000000" w:sz="8" w:space="0"/>
              <w:right w:val="single" w:color="000000" w:sz="8" w:space="0"/>
            </w:tcBorders>
            <w:noWrap w:val="0"/>
            <w:vAlign w:val="center"/>
          </w:tcPr>
          <w:p w14:paraId="20522681">
            <w:pPr>
              <w:spacing w:line="240" w:lineRule="auto"/>
              <w:ind w:firstLine="0" w:firstLineChars="0"/>
              <w:jc w:val="center"/>
              <w:rPr>
                <w:rFonts w:hint="default" w:ascii="Times New Roman" w:hAnsi="Times New Roman" w:eastAsia="宋体" w:cs="Times New Roman"/>
                <w:i w:val="0"/>
                <w:iCs w:val="0"/>
                <w:color w:val="000000"/>
                <w:sz w:val="18"/>
                <w:szCs w:val="18"/>
                <w:u w:val="none"/>
              </w:rPr>
            </w:pPr>
          </w:p>
        </w:tc>
        <w:tc>
          <w:tcPr>
            <w:tcW w:w="398" w:type="pct"/>
            <w:tcBorders>
              <w:top w:val="nil"/>
              <w:left w:val="nil"/>
              <w:bottom w:val="single" w:color="000000" w:sz="8" w:space="0"/>
              <w:right w:val="single" w:color="000000" w:sz="8" w:space="0"/>
            </w:tcBorders>
            <w:noWrap w:val="0"/>
            <w:vAlign w:val="center"/>
          </w:tcPr>
          <w:p w14:paraId="662B0A31">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color w:val="000000"/>
                <w:kern w:val="0"/>
                <w:sz w:val="18"/>
                <w:szCs w:val="18"/>
                <w:u w:val="none"/>
                <w:lang w:val="en-US" w:eastAsia="zh-CN" w:bidi="ar"/>
              </w:rPr>
              <w:t>34</w:t>
            </w:r>
          </w:p>
        </w:tc>
        <w:tc>
          <w:tcPr>
            <w:tcW w:w="398" w:type="pct"/>
            <w:tcBorders>
              <w:top w:val="nil"/>
              <w:left w:val="nil"/>
              <w:bottom w:val="single" w:color="000000" w:sz="8" w:space="0"/>
              <w:right w:val="single" w:color="000000" w:sz="8" w:space="0"/>
            </w:tcBorders>
            <w:noWrap w:val="0"/>
            <w:vAlign w:val="center"/>
          </w:tcPr>
          <w:p w14:paraId="2E77ACEC">
            <w:pPr>
              <w:spacing w:line="240" w:lineRule="auto"/>
              <w:ind w:firstLine="0" w:firstLineChars="0"/>
              <w:jc w:val="center"/>
              <w:rPr>
                <w:rFonts w:hint="default" w:ascii="Times New Roman" w:hAnsi="Times New Roman" w:eastAsia="宋体" w:cs="Times New Roman"/>
                <w:i w:val="0"/>
                <w:iCs w:val="0"/>
                <w:color w:val="000000"/>
                <w:sz w:val="18"/>
                <w:szCs w:val="18"/>
                <w:u w:val="none"/>
              </w:rPr>
            </w:pPr>
          </w:p>
        </w:tc>
        <w:tc>
          <w:tcPr>
            <w:tcW w:w="346" w:type="pct"/>
            <w:tcBorders>
              <w:top w:val="nil"/>
              <w:left w:val="nil"/>
              <w:bottom w:val="single" w:color="000000" w:sz="8" w:space="0"/>
              <w:right w:val="single" w:color="000000" w:sz="8" w:space="0"/>
            </w:tcBorders>
            <w:noWrap w:val="0"/>
            <w:vAlign w:val="center"/>
          </w:tcPr>
          <w:p w14:paraId="2ADA8E52">
            <w:pPr>
              <w:spacing w:line="240" w:lineRule="auto"/>
              <w:ind w:firstLine="0" w:firstLineChars="0"/>
              <w:jc w:val="center"/>
              <w:rPr>
                <w:rFonts w:hint="default" w:ascii="Times New Roman" w:hAnsi="Times New Roman" w:eastAsia="宋体" w:cs="Times New Roman"/>
                <w:i w:val="0"/>
                <w:iCs w:val="0"/>
                <w:color w:val="000000"/>
                <w:sz w:val="18"/>
                <w:szCs w:val="18"/>
                <w:u w:val="none"/>
              </w:rPr>
            </w:pPr>
          </w:p>
        </w:tc>
        <w:tc>
          <w:tcPr>
            <w:tcW w:w="326" w:type="pct"/>
            <w:tcBorders>
              <w:top w:val="nil"/>
              <w:left w:val="nil"/>
              <w:bottom w:val="single" w:color="000000" w:sz="8" w:space="0"/>
              <w:right w:val="single" w:color="000000" w:sz="8" w:space="0"/>
            </w:tcBorders>
            <w:noWrap w:val="0"/>
            <w:vAlign w:val="center"/>
          </w:tcPr>
          <w:p w14:paraId="28B6C9B9">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color w:val="000000"/>
                <w:kern w:val="0"/>
                <w:sz w:val="18"/>
                <w:szCs w:val="18"/>
                <w:u w:val="none"/>
                <w:lang w:val="en-US" w:eastAsia="zh-CN" w:bidi="ar"/>
              </w:rPr>
              <w:t>34</w:t>
            </w:r>
          </w:p>
        </w:tc>
        <w:tc>
          <w:tcPr>
            <w:tcW w:w="148" w:type="pct"/>
            <w:tcBorders>
              <w:top w:val="nil"/>
              <w:left w:val="nil"/>
              <w:bottom w:val="single" w:color="000000" w:sz="8" w:space="0"/>
              <w:right w:val="single" w:color="000000" w:sz="8" w:space="0"/>
            </w:tcBorders>
            <w:noWrap w:val="0"/>
            <w:vAlign w:val="center"/>
          </w:tcPr>
          <w:p w14:paraId="3A0E9E40">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项</w:t>
            </w:r>
          </w:p>
        </w:tc>
        <w:tc>
          <w:tcPr>
            <w:tcW w:w="211" w:type="pct"/>
            <w:tcBorders>
              <w:top w:val="nil"/>
              <w:left w:val="nil"/>
              <w:bottom w:val="single" w:color="000000" w:sz="8" w:space="0"/>
              <w:right w:val="single" w:color="000000" w:sz="8" w:space="0"/>
            </w:tcBorders>
            <w:noWrap w:val="0"/>
            <w:vAlign w:val="center"/>
          </w:tcPr>
          <w:p w14:paraId="4C4BCCD1">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color w:val="000000"/>
                <w:kern w:val="0"/>
                <w:sz w:val="18"/>
                <w:szCs w:val="18"/>
                <w:u w:val="none"/>
                <w:lang w:val="en-US" w:eastAsia="zh-CN" w:bidi="ar"/>
              </w:rPr>
              <w:t>1</w:t>
            </w:r>
          </w:p>
        </w:tc>
        <w:tc>
          <w:tcPr>
            <w:tcW w:w="478" w:type="pct"/>
            <w:tcBorders>
              <w:top w:val="nil"/>
              <w:left w:val="nil"/>
              <w:bottom w:val="single" w:color="000000" w:sz="8" w:space="0"/>
              <w:right w:val="single" w:color="000000" w:sz="8" w:space="0"/>
            </w:tcBorders>
            <w:noWrap w:val="0"/>
            <w:vAlign w:val="center"/>
          </w:tcPr>
          <w:p w14:paraId="33BC3E26">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20"/>
                <w:szCs w:val="20"/>
                <w:u w:val="none"/>
              </w:rPr>
            </w:pPr>
            <w:r>
              <w:rPr>
                <w:rFonts w:hint="default" w:ascii="Times New Roman" w:hAnsi="Times New Roman" w:eastAsia="宋体" w:cs="Times New Roman"/>
                <w:i w:val="0"/>
                <w:iCs w:val="0"/>
                <w:color w:val="000000"/>
                <w:kern w:val="0"/>
                <w:sz w:val="20"/>
                <w:szCs w:val="20"/>
                <w:u w:val="none"/>
                <w:lang w:val="en-US" w:eastAsia="zh-CN" w:bidi="ar"/>
              </w:rPr>
              <w:t>340000</w:t>
            </w:r>
          </w:p>
        </w:tc>
        <w:tc>
          <w:tcPr>
            <w:tcW w:w="329" w:type="pct"/>
            <w:tcBorders>
              <w:top w:val="nil"/>
              <w:left w:val="nil"/>
              <w:bottom w:val="single" w:color="000000" w:sz="8" w:space="0"/>
              <w:right w:val="single" w:color="000000" w:sz="8" w:space="0"/>
            </w:tcBorders>
            <w:noWrap w:val="0"/>
            <w:vAlign w:val="center"/>
          </w:tcPr>
          <w:p w14:paraId="1C7D28E5">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b/>
                <w:bCs/>
                <w:i w:val="0"/>
                <w:iCs w:val="0"/>
                <w:color w:val="000000"/>
                <w:sz w:val="18"/>
                <w:szCs w:val="18"/>
                <w:u w:val="none"/>
              </w:rPr>
            </w:pPr>
            <w:r>
              <w:rPr>
                <w:rFonts w:hint="default" w:ascii="Times New Roman" w:hAnsi="Times New Roman" w:eastAsia="宋体" w:cs="Times New Roman"/>
                <w:b/>
                <w:bCs/>
                <w:i w:val="0"/>
                <w:iCs w:val="0"/>
                <w:color w:val="000000"/>
                <w:kern w:val="0"/>
                <w:sz w:val="18"/>
                <w:szCs w:val="18"/>
                <w:u w:val="none"/>
                <w:lang w:val="en-US" w:eastAsia="zh-CN" w:bidi="ar"/>
              </w:rPr>
              <w:t>0.33%</w:t>
            </w:r>
          </w:p>
        </w:tc>
        <w:tc>
          <w:tcPr>
            <w:tcW w:w="1013" w:type="pct"/>
            <w:tcBorders>
              <w:top w:val="nil"/>
              <w:left w:val="nil"/>
              <w:bottom w:val="single" w:color="000000" w:sz="8" w:space="0"/>
              <w:right w:val="single" w:color="000000" w:sz="8" w:space="0"/>
            </w:tcBorders>
            <w:noWrap w:val="0"/>
            <w:vAlign w:val="center"/>
          </w:tcPr>
          <w:p w14:paraId="320E413C">
            <w:pPr>
              <w:spacing w:line="240" w:lineRule="auto"/>
              <w:ind w:firstLine="0" w:firstLineChars="0"/>
              <w:jc w:val="center"/>
              <w:rPr>
                <w:rFonts w:hint="default" w:ascii="Times New Roman" w:hAnsi="Times New Roman" w:eastAsia="宋体" w:cs="Times New Roman"/>
                <w:i w:val="0"/>
                <w:iCs w:val="0"/>
                <w:color w:val="000000"/>
                <w:sz w:val="18"/>
                <w:szCs w:val="18"/>
                <w:u w:val="none"/>
              </w:rPr>
            </w:pPr>
          </w:p>
        </w:tc>
      </w:tr>
      <w:tr w14:paraId="77E90AE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3" w:hRule="atLeast"/>
        </w:trPr>
        <w:tc>
          <w:tcPr>
            <w:tcW w:w="273" w:type="pct"/>
            <w:tcBorders>
              <w:top w:val="nil"/>
              <w:left w:val="single" w:color="000000" w:sz="8" w:space="0"/>
              <w:bottom w:val="single" w:color="000000" w:sz="8" w:space="0"/>
              <w:right w:val="single" w:color="000000" w:sz="8" w:space="0"/>
            </w:tcBorders>
            <w:noWrap w:val="0"/>
            <w:vAlign w:val="center"/>
          </w:tcPr>
          <w:p w14:paraId="20C0339F">
            <w:pPr>
              <w:spacing w:line="240" w:lineRule="auto"/>
              <w:ind w:firstLine="0" w:firstLineChars="0"/>
              <w:jc w:val="center"/>
              <w:rPr>
                <w:rFonts w:hint="default" w:ascii="Times New Roman" w:hAnsi="Times New Roman" w:eastAsia="宋体" w:cs="Times New Roman"/>
                <w:i w:val="0"/>
                <w:iCs w:val="0"/>
                <w:color w:val="000000"/>
                <w:sz w:val="18"/>
                <w:szCs w:val="18"/>
                <w:u w:val="none"/>
              </w:rPr>
            </w:pPr>
          </w:p>
        </w:tc>
        <w:tc>
          <w:tcPr>
            <w:tcW w:w="675" w:type="pct"/>
            <w:tcBorders>
              <w:top w:val="nil"/>
              <w:left w:val="nil"/>
              <w:bottom w:val="single" w:color="000000" w:sz="8" w:space="0"/>
              <w:right w:val="single" w:color="000000" w:sz="8" w:space="0"/>
            </w:tcBorders>
            <w:noWrap w:val="0"/>
            <w:vAlign w:val="center"/>
          </w:tcPr>
          <w:p w14:paraId="38E129D9">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消防报警</w:t>
            </w:r>
          </w:p>
        </w:tc>
        <w:tc>
          <w:tcPr>
            <w:tcW w:w="398" w:type="pct"/>
            <w:tcBorders>
              <w:top w:val="nil"/>
              <w:left w:val="nil"/>
              <w:bottom w:val="single" w:color="000000" w:sz="8" w:space="0"/>
              <w:right w:val="single" w:color="000000" w:sz="8" w:space="0"/>
            </w:tcBorders>
            <w:noWrap w:val="0"/>
            <w:vAlign w:val="center"/>
          </w:tcPr>
          <w:p w14:paraId="19C83402">
            <w:pPr>
              <w:spacing w:line="240" w:lineRule="auto"/>
              <w:ind w:firstLine="0" w:firstLineChars="0"/>
              <w:jc w:val="center"/>
              <w:rPr>
                <w:rFonts w:hint="default" w:ascii="Times New Roman" w:hAnsi="Times New Roman" w:eastAsia="宋体" w:cs="Times New Roman"/>
                <w:i w:val="0"/>
                <w:iCs w:val="0"/>
                <w:color w:val="000000"/>
                <w:sz w:val="18"/>
                <w:szCs w:val="18"/>
                <w:u w:val="none"/>
              </w:rPr>
            </w:pPr>
          </w:p>
        </w:tc>
        <w:tc>
          <w:tcPr>
            <w:tcW w:w="398" w:type="pct"/>
            <w:tcBorders>
              <w:top w:val="nil"/>
              <w:left w:val="nil"/>
              <w:bottom w:val="single" w:color="000000" w:sz="8" w:space="0"/>
              <w:right w:val="single" w:color="000000" w:sz="8" w:space="0"/>
            </w:tcBorders>
            <w:noWrap w:val="0"/>
            <w:vAlign w:val="center"/>
          </w:tcPr>
          <w:p w14:paraId="0B80E45E">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color w:val="000000"/>
                <w:kern w:val="0"/>
                <w:sz w:val="18"/>
                <w:szCs w:val="18"/>
                <w:u w:val="none"/>
                <w:lang w:val="en-US" w:eastAsia="zh-CN" w:bidi="ar"/>
              </w:rPr>
              <w:t>45</w:t>
            </w:r>
          </w:p>
        </w:tc>
        <w:tc>
          <w:tcPr>
            <w:tcW w:w="398" w:type="pct"/>
            <w:tcBorders>
              <w:top w:val="nil"/>
              <w:left w:val="nil"/>
              <w:bottom w:val="single" w:color="000000" w:sz="8" w:space="0"/>
              <w:right w:val="single" w:color="000000" w:sz="8" w:space="0"/>
            </w:tcBorders>
            <w:noWrap w:val="0"/>
            <w:vAlign w:val="center"/>
          </w:tcPr>
          <w:p w14:paraId="72F99C2B">
            <w:pPr>
              <w:spacing w:line="240" w:lineRule="auto"/>
              <w:ind w:firstLine="0" w:firstLineChars="0"/>
              <w:jc w:val="center"/>
              <w:rPr>
                <w:rFonts w:hint="default" w:ascii="Times New Roman" w:hAnsi="Times New Roman" w:eastAsia="宋体" w:cs="Times New Roman"/>
                <w:i w:val="0"/>
                <w:iCs w:val="0"/>
                <w:color w:val="000000"/>
                <w:sz w:val="18"/>
                <w:szCs w:val="18"/>
                <w:u w:val="none"/>
              </w:rPr>
            </w:pPr>
          </w:p>
        </w:tc>
        <w:tc>
          <w:tcPr>
            <w:tcW w:w="346" w:type="pct"/>
            <w:tcBorders>
              <w:top w:val="nil"/>
              <w:left w:val="nil"/>
              <w:bottom w:val="single" w:color="000000" w:sz="8" w:space="0"/>
              <w:right w:val="single" w:color="000000" w:sz="8" w:space="0"/>
            </w:tcBorders>
            <w:noWrap w:val="0"/>
            <w:vAlign w:val="center"/>
          </w:tcPr>
          <w:p w14:paraId="2FE412E9">
            <w:pPr>
              <w:spacing w:line="240" w:lineRule="auto"/>
              <w:ind w:firstLine="0" w:firstLineChars="0"/>
              <w:jc w:val="center"/>
              <w:rPr>
                <w:rFonts w:hint="default" w:ascii="Times New Roman" w:hAnsi="Times New Roman" w:eastAsia="宋体" w:cs="Times New Roman"/>
                <w:i w:val="0"/>
                <w:iCs w:val="0"/>
                <w:color w:val="000000"/>
                <w:sz w:val="18"/>
                <w:szCs w:val="18"/>
                <w:u w:val="none"/>
              </w:rPr>
            </w:pPr>
          </w:p>
        </w:tc>
        <w:tc>
          <w:tcPr>
            <w:tcW w:w="326" w:type="pct"/>
            <w:tcBorders>
              <w:top w:val="nil"/>
              <w:left w:val="nil"/>
              <w:bottom w:val="single" w:color="000000" w:sz="8" w:space="0"/>
              <w:right w:val="single" w:color="000000" w:sz="8" w:space="0"/>
            </w:tcBorders>
            <w:noWrap w:val="0"/>
            <w:vAlign w:val="center"/>
          </w:tcPr>
          <w:p w14:paraId="1E24DB2D">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color w:val="000000"/>
                <w:kern w:val="0"/>
                <w:sz w:val="18"/>
                <w:szCs w:val="18"/>
                <w:u w:val="none"/>
                <w:lang w:val="en-US" w:eastAsia="zh-CN" w:bidi="ar"/>
              </w:rPr>
              <w:t>45</w:t>
            </w:r>
          </w:p>
        </w:tc>
        <w:tc>
          <w:tcPr>
            <w:tcW w:w="148" w:type="pct"/>
            <w:tcBorders>
              <w:top w:val="nil"/>
              <w:left w:val="nil"/>
              <w:bottom w:val="single" w:color="000000" w:sz="8" w:space="0"/>
              <w:right w:val="single" w:color="000000" w:sz="8" w:space="0"/>
            </w:tcBorders>
            <w:noWrap w:val="0"/>
            <w:vAlign w:val="center"/>
          </w:tcPr>
          <w:p w14:paraId="61F139FE">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项</w:t>
            </w:r>
          </w:p>
        </w:tc>
        <w:tc>
          <w:tcPr>
            <w:tcW w:w="211" w:type="pct"/>
            <w:tcBorders>
              <w:top w:val="nil"/>
              <w:left w:val="nil"/>
              <w:bottom w:val="single" w:color="000000" w:sz="8" w:space="0"/>
              <w:right w:val="single" w:color="000000" w:sz="8" w:space="0"/>
            </w:tcBorders>
            <w:noWrap w:val="0"/>
            <w:vAlign w:val="center"/>
          </w:tcPr>
          <w:p w14:paraId="131CA337">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color w:val="000000"/>
                <w:kern w:val="0"/>
                <w:sz w:val="18"/>
                <w:szCs w:val="18"/>
                <w:u w:val="none"/>
                <w:lang w:val="en-US" w:eastAsia="zh-CN" w:bidi="ar"/>
              </w:rPr>
              <w:t>1</w:t>
            </w:r>
          </w:p>
        </w:tc>
        <w:tc>
          <w:tcPr>
            <w:tcW w:w="478" w:type="pct"/>
            <w:tcBorders>
              <w:top w:val="nil"/>
              <w:left w:val="nil"/>
              <w:bottom w:val="single" w:color="000000" w:sz="8" w:space="0"/>
              <w:right w:val="single" w:color="000000" w:sz="8" w:space="0"/>
            </w:tcBorders>
            <w:noWrap w:val="0"/>
            <w:vAlign w:val="center"/>
          </w:tcPr>
          <w:p w14:paraId="4BC33176">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20"/>
                <w:szCs w:val="20"/>
                <w:u w:val="none"/>
              </w:rPr>
            </w:pPr>
            <w:r>
              <w:rPr>
                <w:rFonts w:hint="default" w:ascii="Times New Roman" w:hAnsi="Times New Roman" w:eastAsia="宋体" w:cs="Times New Roman"/>
                <w:i w:val="0"/>
                <w:iCs w:val="0"/>
                <w:color w:val="000000"/>
                <w:kern w:val="0"/>
                <w:sz w:val="20"/>
                <w:szCs w:val="20"/>
                <w:u w:val="none"/>
                <w:lang w:val="en-US" w:eastAsia="zh-CN" w:bidi="ar"/>
              </w:rPr>
              <w:t>450000</w:t>
            </w:r>
          </w:p>
        </w:tc>
        <w:tc>
          <w:tcPr>
            <w:tcW w:w="329" w:type="pct"/>
            <w:tcBorders>
              <w:top w:val="nil"/>
              <w:left w:val="nil"/>
              <w:bottom w:val="single" w:color="000000" w:sz="8" w:space="0"/>
              <w:right w:val="single" w:color="000000" w:sz="8" w:space="0"/>
            </w:tcBorders>
            <w:noWrap w:val="0"/>
            <w:vAlign w:val="center"/>
          </w:tcPr>
          <w:p w14:paraId="44765D68">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b/>
                <w:bCs/>
                <w:i w:val="0"/>
                <w:iCs w:val="0"/>
                <w:color w:val="000000"/>
                <w:sz w:val="18"/>
                <w:szCs w:val="18"/>
                <w:u w:val="none"/>
              </w:rPr>
            </w:pPr>
            <w:r>
              <w:rPr>
                <w:rFonts w:hint="default" w:ascii="Times New Roman" w:hAnsi="Times New Roman" w:eastAsia="宋体" w:cs="Times New Roman"/>
                <w:b/>
                <w:bCs/>
                <w:i w:val="0"/>
                <w:iCs w:val="0"/>
                <w:color w:val="000000"/>
                <w:kern w:val="0"/>
                <w:sz w:val="18"/>
                <w:szCs w:val="18"/>
                <w:u w:val="none"/>
                <w:lang w:val="en-US" w:eastAsia="zh-CN" w:bidi="ar"/>
              </w:rPr>
              <w:t>0.44%</w:t>
            </w:r>
          </w:p>
        </w:tc>
        <w:tc>
          <w:tcPr>
            <w:tcW w:w="1013" w:type="pct"/>
            <w:tcBorders>
              <w:top w:val="nil"/>
              <w:left w:val="nil"/>
              <w:bottom w:val="single" w:color="000000" w:sz="8" w:space="0"/>
              <w:right w:val="single" w:color="000000" w:sz="8" w:space="0"/>
            </w:tcBorders>
            <w:noWrap w:val="0"/>
            <w:vAlign w:val="center"/>
          </w:tcPr>
          <w:p w14:paraId="43C4D329">
            <w:pPr>
              <w:spacing w:line="240" w:lineRule="auto"/>
              <w:ind w:firstLine="0" w:firstLineChars="0"/>
              <w:jc w:val="center"/>
              <w:rPr>
                <w:rFonts w:hint="default" w:ascii="Times New Roman" w:hAnsi="Times New Roman" w:eastAsia="宋体" w:cs="Times New Roman"/>
                <w:i w:val="0"/>
                <w:iCs w:val="0"/>
                <w:color w:val="000000"/>
                <w:sz w:val="18"/>
                <w:szCs w:val="18"/>
                <w:u w:val="none"/>
              </w:rPr>
            </w:pPr>
          </w:p>
        </w:tc>
      </w:tr>
      <w:tr w14:paraId="263E437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3" w:hRule="atLeast"/>
        </w:trPr>
        <w:tc>
          <w:tcPr>
            <w:tcW w:w="273" w:type="pct"/>
            <w:tcBorders>
              <w:top w:val="nil"/>
              <w:left w:val="single" w:color="000000" w:sz="8" w:space="0"/>
              <w:bottom w:val="single" w:color="000000" w:sz="8" w:space="0"/>
              <w:right w:val="single" w:color="000000" w:sz="8" w:space="0"/>
            </w:tcBorders>
            <w:noWrap w:val="0"/>
            <w:vAlign w:val="center"/>
          </w:tcPr>
          <w:p w14:paraId="5D3082E0">
            <w:pPr>
              <w:spacing w:line="240" w:lineRule="auto"/>
              <w:ind w:firstLine="0" w:firstLineChars="0"/>
              <w:jc w:val="center"/>
              <w:rPr>
                <w:rFonts w:hint="default" w:ascii="Times New Roman" w:hAnsi="Times New Roman" w:eastAsia="宋体" w:cs="Times New Roman"/>
                <w:i w:val="0"/>
                <w:iCs w:val="0"/>
                <w:color w:val="000000"/>
                <w:sz w:val="18"/>
                <w:szCs w:val="18"/>
                <w:u w:val="none"/>
              </w:rPr>
            </w:pPr>
          </w:p>
        </w:tc>
        <w:tc>
          <w:tcPr>
            <w:tcW w:w="675" w:type="pct"/>
            <w:tcBorders>
              <w:top w:val="nil"/>
              <w:left w:val="nil"/>
              <w:bottom w:val="single" w:color="000000" w:sz="8" w:space="0"/>
              <w:right w:val="single" w:color="000000" w:sz="8" w:space="0"/>
            </w:tcBorders>
            <w:noWrap w:val="0"/>
            <w:vAlign w:val="center"/>
          </w:tcPr>
          <w:p w14:paraId="610D9F25">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监控设备柜</w:t>
            </w:r>
          </w:p>
        </w:tc>
        <w:tc>
          <w:tcPr>
            <w:tcW w:w="398" w:type="pct"/>
            <w:tcBorders>
              <w:top w:val="nil"/>
              <w:left w:val="nil"/>
              <w:bottom w:val="single" w:color="000000" w:sz="8" w:space="0"/>
              <w:right w:val="single" w:color="000000" w:sz="8" w:space="0"/>
            </w:tcBorders>
            <w:noWrap w:val="0"/>
            <w:vAlign w:val="center"/>
          </w:tcPr>
          <w:p w14:paraId="5871978D">
            <w:pPr>
              <w:spacing w:line="240" w:lineRule="auto"/>
              <w:ind w:firstLine="0" w:firstLineChars="0"/>
              <w:jc w:val="center"/>
              <w:rPr>
                <w:rFonts w:hint="default" w:ascii="Times New Roman" w:hAnsi="Times New Roman" w:eastAsia="宋体" w:cs="Times New Roman"/>
                <w:i w:val="0"/>
                <w:iCs w:val="0"/>
                <w:color w:val="000000"/>
                <w:sz w:val="18"/>
                <w:szCs w:val="18"/>
                <w:u w:val="none"/>
              </w:rPr>
            </w:pPr>
          </w:p>
        </w:tc>
        <w:tc>
          <w:tcPr>
            <w:tcW w:w="398" w:type="pct"/>
            <w:tcBorders>
              <w:top w:val="nil"/>
              <w:left w:val="nil"/>
              <w:bottom w:val="single" w:color="000000" w:sz="8" w:space="0"/>
              <w:right w:val="single" w:color="000000" w:sz="8" w:space="0"/>
            </w:tcBorders>
            <w:noWrap w:val="0"/>
            <w:vAlign w:val="center"/>
          </w:tcPr>
          <w:p w14:paraId="4A1782A4">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color w:val="000000"/>
                <w:kern w:val="0"/>
                <w:sz w:val="18"/>
                <w:szCs w:val="18"/>
                <w:u w:val="none"/>
                <w:lang w:val="en-US" w:eastAsia="zh-CN" w:bidi="ar"/>
              </w:rPr>
              <w:t>100</w:t>
            </w:r>
          </w:p>
        </w:tc>
        <w:tc>
          <w:tcPr>
            <w:tcW w:w="398" w:type="pct"/>
            <w:tcBorders>
              <w:top w:val="nil"/>
              <w:left w:val="nil"/>
              <w:bottom w:val="single" w:color="000000" w:sz="8" w:space="0"/>
              <w:right w:val="single" w:color="000000" w:sz="8" w:space="0"/>
            </w:tcBorders>
            <w:noWrap w:val="0"/>
            <w:vAlign w:val="center"/>
          </w:tcPr>
          <w:p w14:paraId="12CE969E">
            <w:pPr>
              <w:spacing w:line="240" w:lineRule="auto"/>
              <w:ind w:firstLine="0" w:firstLineChars="0"/>
              <w:jc w:val="center"/>
              <w:rPr>
                <w:rFonts w:hint="default" w:ascii="Times New Roman" w:hAnsi="Times New Roman" w:eastAsia="宋体" w:cs="Times New Roman"/>
                <w:i w:val="0"/>
                <w:iCs w:val="0"/>
                <w:color w:val="000000"/>
                <w:sz w:val="18"/>
                <w:szCs w:val="18"/>
                <w:u w:val="none"/>
              </w:rPr>
            </w:pPr>
          </w:p>
        </w:tc>
        <w:tc>
          <w:tcPr>
            <w:tcW w:w="346" w:type="pct"/>
            <w:tcBorders>
              <w:top w:val="nil"/>
              <w:left w:val="nil"/>
              <w:bottom w:val="single" w:color="000000" w:sz="8" w:space="0"/>
              <w:right w:val="single" w:color="000000" w:sz="8" w:space="0"/>
            </w:tcBorders>
            <w:noWrap w:val="0"/>
            <w:vAlign w:val="center"/>
          </w:tcPr>
          <w:p w14:paraId="724ECBB3">
            <w:pPr>
              <w:spacing w:line="240" w:lineRule="auto"/>
              <w:ind w:firstLine="0" w:firstLineChars="0"/>
              <w:jc w:val="center"/>
              <w:rPr>
                <w:rFonts w:hint="default" w:ascii="Times New Roman" w:hAnsi="Times New Roman" w:eastAsia="宋体" w:cs="Times New Roman"/>
                <w:i w:val="0"/>
                <w:iCs w:val="0"/>
                <w:color w:val="000000"/>
                <w:sz w:val="18"/>
                <w:szCs w:val="18"/>
                <w:u w:val="none"/>
              </w:rPr>
            </w:pPr>
          </w:p>
        </w:tc>
        <w:tc>
          <w:tcPr>
            <w:tcW w:w="326" w:type="pct"/>
            <w:tcBorders>
              <w:top w:val="nil"/>
              <w:left w:val="nil"/>
              <w:bottom w:val="single" w:color="000000" w:sz="8" w:space="0"/>
              <w:right w:val="single" w:color="000000" w:sz="8" w:space="0"/>
            </w:tcBorders>
            <w:noWrap w:val="0"/>
            <w:vAlign w:val="center"/>
          </w:tcPr>
          <w:p w14:paraId="2297A7CC">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color w:val="000000"/>
                <w:kern w:val="0"/>
                <w:sz w:val="18"/>
                <w:szCs w:val="18"/>
                <w:u w:val="none"/>
                <w:lang w:val="en-US" w:eastAsia="zh-CN" w:bidi="ar"/>
              </w:rPr>
              <w:t>100</w:t>
            </w:r>
          </w:p>
        </w:tc>
        <w:tc>
          <w:tcPr>
            <w:tcW w:w="148" w:type="pct"/>
            <w:tcBorders>
              <w:top w:val="nil"/>
              <w:left w:val="nil"/>
              <w:bottom w:val="single" w:color="000000" w:sz="8" w:space="0"/>
              <w:right w:val="single" w:color="000000" w:sz="8" w:space="0"/>
            </w:tcBorders>
            <w:noWrap w:val="0"/>
            <w:vAlign w:val="center"/>
          </w:tcPr>
          <w:p w14:paraId="3A4A78E3">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项</w:t>
            </w:r>
          </w:p>
        </w:tc>
        <w:tc>
          <w:tcPr>
            <w:tcW w:w="211" w:type="pct"/>
            <w:tcBorders>
              <w:top w:val="nil"/>
              <w:left w:val="nil"/>
              <w:bottom w:val="single" w:color="000000" w:sz="8" w:space="0"/>
              <w:right w:val="single" w:color="000000" w:sz="8" w:space="0"/>
            </w:tcBorders>
            <w:noWrap w:val="0"/>
            <w:vAlign w:val="center"/>
          </w:tcPr>
          <w:p w14:paraId="15D39BAB">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color w:val="000000"/>
                <w:kern w:val="0"/>
                <w:sz w:val="18"/>
                <w:szCs w:val="18"/>
                <w:u w:val="none"/>
                <w:lang w:val="en-US" w:eastAsia="zh-CN" w:bidi="ar"/>
              </w:rPr>
              <w:t>1</w:t>
            </w:r>
          </w:p>
        </w:tc>
        <w:tc>
          <w:tcPr>
            <w:tcW w:w="478" w:type="pct"/>
            <w:tcBorders>
              <w:top w:val="nil"/>
              <w:left w:val="nil"/>
              <w:bottom w:val="single" w:color="000000" w:sz="8" w:space="0"/>
              <w:right w:val="single" w:color="000000" w:sz="8" w:space="0"/>
            </w:tcBorders>
            <w:noWrap w:val="0"/>
            <w:vAlign w:val="center"/>
          </w:tcPr>
          <w:p w14:paraId="24935BBE">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20"/>
                <w:szCs w:val="20"/>
                <w:u w:val="none"/>
              </w:rPr>
            </w:pPr>
            <w:r>
              <w:rPr>
                <w:rFonts w:hint="default" w:ascii="Times New Roman" w:hAnsi="Times New Roman" w:eastAsia="宋体" w:cs="Times New Roman"/>
                <w:i w:val="0"/>
                <w:iCs w:val="0"/>
                <w:color w:val="000000"/>
                <w:kern w:val="0"/>
                <w:sz w:val="20"/>
                <w:szCs w:val="20"/>
                <w:u w:val="none"/>
                <w:lang w:val="en-US" w:eastAsia="zh-CN" w:bidi="ar"/>
              </w:rPr>
              <w:t>1000000</w:t>
            </w:r>
          </w:p>
        </w:tc>
        <w:tc>
          <w:tcPr>
            <w:tcW w:w="329" w:type="pct"/>
            <w:tcBorders>
              <w:top w:val="nil"/>
              <w:left w:val="nil"/>
              <w:bottom w:val="single" w:color="000000" w:sz="8" w:space="0"/>
              <w:right w:val="single" w:color="000000" w:sz="8" w:space="0"/>
            </w:tcBorders>
            <w:noWrap w:val="0"/>
            <w:vAlign w:val="center"/>
          </w:tcPr>
          <w:p w14:paraId="0DDF4004">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b/>
                <w:bCs/>
                <w:i w:val="0"/>
                <w:iCs w:val="0"/>
                <w:color w:val="000000"/>
                <w:sz w:val="18"/>
                <w:szCs w:val="18"/>
                <w:u w:val="none"/>
              </w:rPr>
            </w:pPr>
            <w:r>
              <w:rPr>
                <w:rFonts w:hint="default" w:ascii="Times New Roman" w:hAnsi="Times New Roman" w:eastAsia="宋体" w:cs="Times New Roman"/>
                <w:b/>
                <w:bCs/>
                <w:i w:val="0"/>
                <w:iCs w:val="0"/>
                <w:color w:val="000000"/>
                <w:kern w:val="0"/>
                <w:sz w:val="18"/>
                <w:szCs w:val="18"/>
                <w:u w:val="none"/>
                <w:lang w:val="en-US" w:eastAsia="zh-CN" w:bidi="ar"/>
              </w:rPr>
              <w:t>0.98%</w:t>
            </w:r>
          </w:p>
        </w:tc>
        <w:tc>
          <w:tcPr>
            <w:tcW w:w="1013" w:type="pct"/>
            <w:tcBorders>
              <w:top w:val="nil"/>
              <w:left w:val="nil"/>
              <w:bottom w:val="single" w:color="000000" w:sz="8" w:space="0"/>
              <w:right w:val="single" w:color="000000" w:sz="8" w:space="0"/>
            </w:tcBorders>
            <w:noWrap w:val="0"/>
            <w:vAlign w:val="center"/>
          </w:tcPr>
          <w:p w14:paraId="26F2F819">
            <w:pPr>
              <w:spacing w:line="240" w:lineRule="auto"/>
              <w:ind w:firstLine="0" w:firstLineChars="0"/>
              <w:jc w:val="center"/>
              <w:rPr>
                <w:rFonts w:hint="default" w:ascii="Times New Roman" w:hAnsi="Times New Roman" w:eastAsia="宋体" w:cs="Times New Roman"/>
                <w:i w:val="0"/>
                <w:iCs w:val="0"/>
                <w:color w:val="000000"/>
                <w:sz w:val="18"/>
                <w:szCs w:val="18"/>
                <w:u w:val="none"/>
              </w:rPr>
            </w:pPr>
          </w:p>
        </w:tc>
      </w:tr>
      <w:tr w14:paraId="1A0D951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3" w:hRule="atLeast"/>
        </w:trPr>
        <w:tc>
          <w:tcPr>
            <w:tcW w:w="273" w:type="pct"/>
            <w:tcBorders>
              <w:top w:val="nil"/>
              <w:left w:val="single" w:color="000000" w:sz="8" w:space="0"/>
              <w:bottom w:val="single" w:color="000000" w:sz="8" w:space="0"/>
              <w:right w:val="single" w:color="000000" w:sz="8" w:space="0"/>
            </w:tcBorders>
            <w:noWrap w:val="0"/>
            <w:vAlign w:val="center"/>
          </w:tcPr>
          <w:p w14:paraId="3CD9BBDB">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b/>
                <w:bCs/>
                <w:i w:val="0"/>
                <w:iCs w:val="0"/>
                <w:color w:val="000000"/>
                <w:sz w:val="18"/>
                <w:szCs w:val="18"/>
                <w:u w:val="none"/>
              </w:rPr>
            </w:pPr>
            <w:r>
              <w:rPr>
                <w:rFonts w:hint="default" w:ascii="Times New Roman" w:hAnsi="Times New Roman" w:eastAsia="宋体" w:cs="Times New Roman"/>
                <w:b/>
                <w:bCs/>
                <w:i w:val="0"/>
                <w:iCs w:val="0"/>
                <w:color w:val="000000"/>
                <w:kern w:val="0"/>
                <w:sz w:val="18"/>
                <w:szCs w:val="18"/>
                <w:u w:val="none"/>
                <w:lang w:val="en-US" w:eastAsia="zh-CN" w:bidi="ar"/>
              </w:rPr>
              <w:t>Ⅳ</w:t>
            </w:r>
          </w:p>
        </w:tc>
        <w:tc>
          <w:tcPr>
            <w:tcW w:w="675" w:type="pct"/>
            <w:tcBorders>
              <w:top w:val="nil"/>
              <w:left w:val="nil"/>
              <w:bottom w:val="single" w:color="000000" w:sz="8" w:space="0"/>
              <w:right w:val="single" w:color="000000" w:sz="8" w:space="0"/>
            </w:tcBorders>
            <w:noWrap w:val="0"/>
            <w:vAlign w:val="center"/>
          </w:tcPr>
          <w:p w14:paraId="025467DF">
            <w:pPr>
              <w:keepNext w:val="0"/>
              <w:keepLines w:val="0"/>
              <w:widowControl/>
              <w:suppressLineNumbers w:val="0"/>
              <w:spacing w:line="240" w:lineRule="auto"/>
              <w:ind w:firstLine="0" w:firstLineChars="0"/>
              <w:jc w:val="center"/>
              <w:textAlignment w:val="center"/>
              <w:rPr>
                <w:rFonts w:hint="eastAsia" w:ascii="宋体" w:hAnsi="宋体" w:eastAsia="宋体" w:cs="宋体"/>
                <w:b/>
                <w:bCs/>
                <w:i w:val="0"/>
                <w:iCs w:val="0"/>
                <w:color w:val="000000"/>
                <w:sz w:val="18"/>
                <w:szCs w:val="18"/>
                <w:u w:val="none"/>
              </w:rPr>
            </w:pPr>
            <w:r>
              <w:rPr>
                <w:rFonts w:hint="eastAsia" w:ascii="宋体" w:hAnsi="宋体" w:eastAsia="宋体" w:cs="宋体"/>
                <w:b/>
                <w:bCs/>
                <w:i w:val="0"/>
                <w:iCs w:val="0"/>
                <w:color w:val="000000"/>
                <w:kern w:val="0"/>
                <w:sz w:val="18"/>
                <w:szCs w:val="18"/>
                <w:u w:val="none"/>
                <w:lang w:val="en-US" w:eastAsia="zh-CN" w:bidi="ar"/>
              </w:rPr>
              <w:t>智慧垃圾分类设施</w:t>
            </w:r>
          </w:p>
        </w:tc>
        <w:tc>
          <w:tcPr>
            <w:tcW w:w="398" w:type="pct"/>
            <w:tcBorders>
              <w:top w:val="nil"/>
              <w:left w:val="nil"/>
              <w:bottom w:val="single" w:color="000000" w:sz="8" w:space="0"/>
              <w:right w:val="single" w:color="000000" w:sz="8" w:space="0"/>
            </w:tcBorders>
            <w:noWrap w:val="0"/>
            <w:vAlign w:val="center"/>
          </w:tcPr>
          <w:p w14:paraId="07D21C4A">
            <w:pPr>
              <w:spacing w:line="240" w:lineRule="auto"/>
              <w:ind w:firstLine="0" w:firstLineChars="0"/>
              <w:jc w:val="center"/>
              <w:rPr>
                <w:rFonts w:hint="default" w:ascii="Times New Roman" w:hAnsi="Times New Roman" w:eastAsia="宋体" w:cs="Times New Roman"/>
                <w:b/>
                <w:bCs/>
                <w:i w:val="0"/>
                <w:iCs w:val="0"/>
                <w:color w:val="000000"/>
                <w:sz w:val="18"/>
                <w:szCs w:val="18"/>
                <w:u w:val="none"/>
              </w:rPr>
            </w:pPr>
          </w:p>
        </w:tc>
        <w:tc>
          <w:tcPr>
            <w:tcW w:w="398" w:type="pct"/>
            <w:tcBorders>
              <w:top w:val="nil"/>
              <w:left w:val="nil"/>
              <w:bottom w:val="single" w:color="000000" w:sz="8" w:space="0"/>
              <w:right w:val="single" w:color="000000" w:sz="8" w:space="0"/>
            </w:tcBorders>
            <w:noWrap w:val="0"/>
            <w:vAlign w:val="center"/>
          </w:tcPr>
          <w:p w14:paraId="09C906F4">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b/>
                <w:bCs/>
                <w:i w:val="0"/>
                <w:iCs w:val="0"/>
                <w:color w:val="000000"/>
                <w:sz w:val="18"/>
                <w:szCs w:val="18"/>
                <w:u w:val="none"/>
              </w:rPr>
            </w:pPr>
            <w:r>
              <w:rPr>
                <w:rFonts w:hint="default" w:ascii="Times New Roman" w:hAnsi="Times New Roman" w:eastAsia="宋体" w:cs="Times New Roman"/>
                <w:b/>
                <w:bCs/>
                <w:i w:val="0"/>
                <w:iCs w:val="0"/>
                <w:color w:val="000000"/>
                <w:kern w:val="0"/>
                <w:sz w:val="18"/>
                <w:szCs w:val="18"/>
                <w:u w:val="none"/>
                <w:lang w:val="en-US" w:eastAsia="zh-CN" w:bidi="ar"/>
              </w:rPr>
              <w:t>128.1</w:t>
            </w:r>
          </w:p>
        </w:tc>
        <w:tc>
          <w:tcPr>
            <w:tcW w:w="398" w:type="pct"/>
            <w:tcBorders>
              <w:top w:val="nil"/>
              <w:left w:val="nil"/>
              <w:bottom w:val="single" w:color="000000" w:sz="8" w:space="0"/>
              <w:right w:val="single" w:color="000000" w:sz="8" w:space="0"/>
            </w:tcBorders>
            <w:noWrap w:val="0"/>
            <w:vAlign w:val="center"/>
          </w:tcPr>
          <w:p w14:paraId="744114F0">
            <w:pPr>
              <w:spacing w:line="240" w:lineRule="auto"/>
              <w:ind w:firstLine="0" w:firstLineChars="0"/>
              <w:jc w:val="center"/>
              <w:rPr>
                <w:rFonts w:hint="default" w:ascii="Times New Roman" w:hAnsi="Times New Roman" w:eastAsia="宋体" w:cs="Times New Roman"/>
                <w:b/>
                <w:bCs/>
                <w:i w:val="0"/>
                <w:iCs w:val="0"/>
                <w:color w:val="000000"/>
                <w:sz w:val="18"/>
                <w:szCs w:val="18"/>
                <w:u w:val="none"/>
              </w:rPr>
            </w:pPr>
          </w:p>
        </w:tc>
        <w:tc>
          <w:tcPr>
            <w:tcW w:w="346" w:type="pct"/>
            <w:tcBorders>
              <w:top w:val="nil"/>
              <w:left w:val="nil"/>
              <w:bottom w:val="single" w:color="000000" w:sz="8" w:space="0"/>
              <w:right w:val="single" w:color="000000" w:sz="8" w:space="0"/>
            </w:tcBorders>
            <w:noWrap w:val="0"/>
            <w:vAlign w:val="center"/>
          </w:tcPr>
          <w:p w14:paraId="660B87EC">
            <w:pPr>
              <w:spacing w:line="240" w:lineRule="auto"/>
              <w:ind w:firstLine="0" w:firstLineChars="0"/>
              <w:jc w:val="center"/>
              <w:rPr>
                <w:rFonts w:hint="default" w:ascii="Times New Roman" w:hAnsi="Times New Roman" w:eastAsia="宋体" w:cs="Times New Roman"/>
                <w:b/>
                <w:bCs/>
                <w:i w:val="0"/>
                <w:iCs w:val="0"/>
                <w:color w:val="000000"/>
                <w:sz w:val="18"/>
                <w:szCs w:val="18"/>
                <w:u w:val="none"/>
              </w:rPr>
            </w:pPr>
          </w:p>
        </w:tc>
        <w:tc>
          <w:tcPr>
            <w:tcW w:w="326" w:type="pct"/>
            <w:tcBorders>
              <w:top w:val="nil"/>
              <w:left w:val="nil"/>
              <w:bottom w:val="single" w:color="000000" w:sz="8" w:space="0"/>
              <w:right w:val="single" w:color="000000" w:sz="8" w:space="0"/>
            </w:tcBorders>
            <w:noWrap w:val="0"/>
            <w:vAlign w:val="center"/>
          </w:tcPr>
          <w:p w14:paraId="5B770468">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b/>
                <w:bCs/>
                <w:i w:val="0"/>
                <w:iCs w:val="0"/>
                <w:color w:val="000000"/>
                <w:sz w:val="18"/>
                <w:szCs w:val="18"/>
                <w:u w:val="none"/>
              </w:rPr>
            </w:pPr>
            <w:r>
              <w:rPr>
                <w:rFonts w:hint="default" w:ascii="Times New Roman" w:hAnsi="Times New Roman" w:eastAsia="宋体" w:cs="Times New Roman"/>
                <w:b/>
                <w:bCs/>
                <w:i w:val="0"/>
                <w:iCs w:val="0"/>
                <w:color w:val="000000"/>
                <w:kern w:val="0"/>
                <w:sz w:val="18"/>
                <w:szCs w:val="18"/>
                <w:u w:val="none"/>
                <w:lang w:val="en-US" w:eastAsia="zh-CN" w:bidi="ar"/>
              </w:rPr>
              <w:t>128.1</w:t>
            </w:r>
          </w:p>
        </w:tc>
        <w:tc>
          <w:tcPr>
            <w:tcW w:w="148" w:type="pct"/>
            <w:tcBorders>
              <w:top w:val="nil"/>
              <w:left w:val="nil"/>
              <w:bottom w:val="single" w:color="000000" w:sz="8" w:space="0"/>
              <w:right w:val="single" w:color="000000" w:sz="8" w:space="0"/>
            </w:tcBorders>
            <w:noWrap w:val="0"/>
            <w:vAlign w:val="center"/>
          </w:tcPr>
          <w:p w14:paraId="46FEFDF2">
            <w:pPr>
              <w:keepNext w:val="0"/>
              <w:keepLines w:val="0"/>
              <w:widowControl/>
              <w:suppressLineNumbers w:val="0"/>
              <w:spacing w:line="240" w:lineRule="auto"/>
              <w:ind w:firstLine="0" w:firstLineChars="0"/>
              <w:jc w:val="center"/>
              <w:textAlignment w:val="center"/>
              <w:rPr>
                <w:rFonts w:hint="eastAsia" w:ascii="宋体" w:hAnsi="宋体" w:eastAsia="宋体" w:cs="宋体"/>
                <w:b/>
                <w:bCs/>
                <w:i w:val="0"/>
                <w:iCs w:val="0"/>
                <w:color w:val="000000"/>
                <w:sz w:val="18"/>
                <w:szCs w:val="18"/>
                <w:u w:val="none"/>
              </w:rPr>
            </w:pPr>
            <w:r>
              <w:rPr>
                <w:rFonts w:hint="eastAsia" w:ascii="宋体" w:hAnsi="宋体" w:eastAsia="宋体" w:cs="宋体"/>
                <w:b/>
                <w:bCs/>
                <w:i w:val="0"/>
                <w:iCs w:val="0"/>
                <w:color w:val="000000"/>
                <w:kern w:val="0"/>
                <w:sz w:val="18"/>
                <w:szCs w:val="18"/>
                <w:u w:val="none"/>
                <w:lang w:val="en-US" w:eastAsia="zh-CN" w:bidi="ar"/>
              </w:rPr>
              <w:t>项</w:t>
            </w:r>
          </w:p>
        </w:tc>
        <w:tc>
          <w:tcPr>
            <w:tcW w:w="211" w:type="pct"/>
            <w:tcBorders>
              <w:top w:val="nil"/>
              <w:left w:val="nil"/>
              <w:bottom w:val="single" w:color="000000" w:sz="8" w:space="0"/>
              <w:right w:val="single" w:color="000000" w:sz="8" w:space="0"/>
            </w:tcBorders>
            <w:noWrap w:val="0"/>
            <w:vAlign w:val="center"/>
          </w:tcPr>
          <w:p w14:paraId="124F1AA6">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b/>
                <w:bCs/>
                <w:i w:val="0"/>
                <w:iCs w:val="0"/>
                <w:color w:val="000000"/>
                <w:sz w:val="18"/>
                <w:szCs w:val="18"/>
                <w:u w:val="none"/>
              </w:rPr>
            </w:pPr>
            <w:r>
              <w:rPr>
                <w:rFonts w:hint="default" w:ascii="Times New Roman" w:hAnsi="Times New Roman" w:eastAsia="宋体" w:cs="Times New Roman"/>
                <w:b/>
                <w:bCs/>
                <w:i w:val="0"/>
                <w:iCs w:val="0"/>
                <w:color w:val="000000"/>
                <w:kern w:val="0"/>
                <w:sz w:val="18"/>
                <w:szCs w:val="18"/>
                <w:u w:val="none"/>
                <w:lang w:val="en-US" w:eastAsia="zh-CN" w:bidi="ar"/>
              </w:rPr>
              <w:t>1</w:t>
            </w:r>
          </w:p>
        </w:tc>
        <w:tc>
          <w:tcPr>
            <w:tcW w:w="478" w:type="pct"/>
            <w:tcBorders>
              <w:top w:val="nil"/>
              <w:left w:val="nil"/>
              <w:bottom w:val="single" w:color="000000" w:sz="8" w:space="0"/>
              <w:right w:val="single" w:color="000000" w:sz="8" w:space="0"/>
            </w:tcBorders>
            <w:noWrap w:val="0"/>
            <w:vAlign w:val="center"/>
          </w:tcPr>
          <w:p w14:paraId="500B6570">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b/>
                <w:bCs/>
                <w:i w:val="0"/>
                <w:iCs w:val="0"/>
                <w:color w:val="000000"/>
                <w:sz w:val="18"/>
                <w:szCs w:val="18"/>
                <w:u w:val="none"/>
              </w:rPr>
            </w:pPr>
            <w:r>
              <w:rPr>
                <w:rFonts w:hint="default" w:ascii="Times New Roman" w:hAnsi="Times New Roman" w:eastAsia="宋体" w:cs="Times New Roman"/>
                <w:b/>
                <w:bCs/>
                <w:i w:val="0"/>
                <w:iCs w:val="0"/>
                <w:color w:val="000000"/>
                <w:kern w:val="0"/>
                <w:sz w:val="18"/>
                <w:szCs w:val="18"/>
                <w:u w:val="none"/>
                <w:lang w:val="en-US" w:eastAsia="zh-CN" w:bidi="ar"/>
              </w:rPr>
              <w:t>1281000</w:t>
            </w:r>
          </w:p>
        </w:tc>
        <w:tc>
          <w:tcPr>
            <w:tcW w:w="329" w:type="pct"/>
            <w:tcBorders>
              <w:top w:val="nil"/>
              <w:left w:val="nil"/>
              <w:bottom w:val="single" w:color="000000" w:sz="8" w:space="0"/>
              <w:right w:val="single" w:color="000000" w:sz="8" w:space="0"/>
            </w:tcBorders>
            <w:noWrap w:val="0"/>
            <w:vAlign w:val="center"/>
          </w:tcPr>
          <w:p w14:paraId="27E20B26">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b/>
                <w:bCs/>
                <w:i w:val="0"/>
                <w:iCs w:val="0"/>
                <w:color w:val="000000"/>
                <w:sz w:val="18"/>
                <w:szCs w:val="18"/>
                <w:u w:val="none"/>
              </w:rPr>
            </w:pPr>
            <w:r>
              <w:rPr>
                <w:rFonts w:hint="default" w:ascii="Times New Roman" w:hAnsi="Times New Roman" w:eastAsia="宋体" w:cs="Times New Roman"/>
                <w:b/>
                <w:bCs/>
                <w:i w:val="0"/>
                <w:iCs w:val="0"/>
                <w:color w:val="000000"/>
                <w:kern w:val="0"/>
                <w:sz w:val="18"/>
                <w:szCs w:val="18"/>
                <w:u w:val="none"/>
                <w:lang w:val="en-US" w:eastAsia="zh-CN" w:bidi="ar"/>
              </w:rPr>
              <w:t>1.26%</w:t>
            </w:r>
          </w:p>
        </w:tc>
        <w:tc>
          <w:tcPr>
            <w:tcW w:w="1013" w:type="pct"/>
            <w:tcBorders>
              <w:top w:val="nil"/>
              <w:left w:val="nil"/>
              <w:bottom w:val="single" w:color="000000" w:sz="8" w:space="0"/>
              <w:right w:val="single" w:color="000000" w:sz="8" w:space="0"/>
            </w:tcBorders>
            <w:noWrap w:val="0"/>
            <w:vAlign w:val="center"/>
          </w:tcPr>
          <w:p w14:paraId="4FBD3EB5">
            <w:pPr>
              <w:spacing w:line="240" w:lineRule="auto"/>
              <w:ind w:firstLine="0" w:firstLineChars="0"/>
              <w:jc w:val="center"/>
              <w:rPr>
                <w:rFonts w:hint="eastAsia" w:ascii="宋体" w:hAnsi="宋体" w:eastAsia="宋体" w:cs="宋体"/>
                <w:b/>
                <w:bCs/>
                <w:i w:val="0"/>
                <w:iCs w:val="0"/>
                <w:color w:val="000000"/>
                <w:sz w:val="18"/>
                <w:szCs w:val="18"/>
                <w:u w:val="none"/>
              </w:rPr>
            </w:pPr>
          </w:p>
        </w:tc>
      </w:tr>
      <w:tr w14:paraId="385F5E3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3" w:hRule="atLeast"/>
        </w:trPr>
        <w:tc>
          <w:tcPr>
            <w:tcW w:w="273" w:type="pct"/>
            <w:tcBorders>
              <w:top w:val="nil"/>
              <w:left w:val="single" w:color="000000" w:sz="8" w:space="0"/>
              <w:bottom w:val="single" w:color="000000" w:sz="8" w:space="0"/>
              <w:right w:val="single" w:color="000000" w:sz="8" w:space="0"/>
            </w:tcBorders>
            <w:noWrap w:val="0"/>
            <w:vAlign w:val="center"/>
          </w:tcPr>
          <w:p w14:paraId="371C85F1">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b/>
                <w:bCs/>
                <w:i w:val="0"/>
                <w:iCs w:val="0"/>
                <w:color w:val="000000"/>
                <w:sz w:val="18"/>
                <w:szCs w:val="18"/>
                <w:u w:val="none"/>
              </w:rPr>
            </w:pPr>
            <w:r>
              <w:rPr>
                <w:rFonts w:hint="default" w:ascii="Times New Roman" w:hAnsi="Times New Roman" w:eastAsia="宋体" w:cs="Times New Roman"/>
                <w:b/>
                <w:bCs/>
                <w:i w:val="0"/>
                <w:iCs w:val="0"/>
                <w:color w:val="000000"/>
                <w:kern w:val="0"/>
                <w:sz w:val="18"/>
                <w:szCs w:val="18"/>
                <w:u w:val="none"/>
                <w:lang w:val="en-US" w:eastAsia="zh-CN" w:bidi="ar"/>
              </w:rPr>
              <w:t>Ⅴ</w:t>
            </w:r>
          </w:p>
        </w:tc>
        <w:tc>
          <w:tcPr>
            <w:tcW w:w="675" w:type="pct"/>
            <w:tcBorders>
              <w:top w:val="nil"/>
              <w:left w:val="nil"/>
              <w:bottom w:val="single" w:color="000000" w:sz="8" w:space="0"/>
              <w:right w:val="single" w:color="000000" w:sz="8" w:space="0"/>
            </w:tcBorders>
            <w:noWrap w:val="0"/>
            <w:vAlign w:val="center"/>
          </w:tcPr>
          <w:p w14:paraId="264CD04C">
            <w:pPr>
              <w:keepNext w:val="0"/>
              <w:keepLines w:val="0"/>
              <w:widowControl/>
              <w:suppressLineNumbers w:val="0"/>
              <w:spacing w:line="240" w:lineRule="auto"/>
              <w:ind w:firstLine="0" w:firstLineChars="0"/>
              <w:jc w:val="center"/>
              <w:textAlignment w:val="center"/>
              <w:rPr>
                <w:rFonts w:hint="eastAsia" w:ascii="宋体" w:hAnsi="宋体" w:eastAsia="宋体" w:cs="宋体"/>
                <w:b/>
                <w:bCs/>
                <w:i w:val="0"/>
                <w:iCs w:val="0"/>
                <w:color w:val="000000"/>
                <w:sz w:val="18"/>
                <w:szCs w:val="18"/>
                <w:u w:val="none"/>
              </w:rPr>
            </w:pPr>
            <w:r>
              <w:rPr>
                <w:rFonts w:hint="eastAsia" w:ascii="宋体" w:hAnsi="宋体" w:eastAsia="宋体" w:cs="宋体"/>
                <w:b/>
                <w:bCs/>
                <w:i w:val="0"/>
                <w:iCs w:val="0"/>
                <w:color w:val="000000"/>
                <w:kern w:val="0"/>
                <w:sz w:val="18"/>
                <w:szCs w:val="18"/>
                <w:u w:val="none"/>
                <w:lang w:val="en-US" w:eastAsia="zh-CN" w:bidi="ar"/>
              </w:rPr>
              <w:t>信息化工程</w:t>
            </w:r>
          </w:p>
        </w:tc>
        <w:tc>
          <w:tcPr>
            <w:tcW w:w="398" w:type="pct"/>
            <w:tcBorders>
              <w:top w:val="nil"/>
              <w:left w:val="nil"/>
              <w:bottom w:val="single" w:color="000000" w:sz="8" w:space="0"/>
              <w:right w:val="single" w:color="000000" w:sz="8" w:space="0"/>
            </w:tcBorders>
            <w:noWrap w:val="0"/>
            <w:vAlign w:val="center"/>
          </w:tcPr>
          <w:p w14:paraId="5FD41FFC">
            <w:pPr>
              <w:spacing w:line="240" w:lineRule="auto"/>
              <w:ind w:firstLine="0" w:firstLineChars="0"/>
              <w:jc w:val="center"/>
              <w:rPr>
                <w:rFonts w:hint="default" w:ascii="Times New Roman" w:hAnsi="Times New Roman" w:eastAsia="宋体" w:cs="Times New Roman"/>
                <w:b/>
                <w:bCs/>
                <w:i w:val="0"/>
                <w:iCs w:val="0"/>
                <w:color w:val="000000"/>
                <w:sz w:val="18"/>
                <w:szCs w:val="18"/>
                <w:u w:val="none"/>
              </w:rPr>
            </w:pPr>
          </w:p>
        </w:tc>
        <w:tc>
          <w:tcPr>
            <w:tcW w:w="398" w:type="pct"/>
            <w:tcBorders>
              <w:top w:val="nil"/>
              <w:left w:val="nil"/>
              <w:bottom w:val="single" w:color="000000" w:sz="8" w:space="0"/>
              <w:right w:val="single" w:color="000000" w:sz="8" w:space="0"/>
            </w:tcBorders>
            <w:noWrap w:val="0"/>
            <w:vAlign w:val="center"/>
          </w:tcPr>
          <w:p w14:paraId="4A72FE57">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b/>
                <w:bCs/>
                <w:i w:val="0"/>
                <w:iCs w:val="0"/>
                <w:color w:val="000000"/>
                <w:sz w:val="18"/>
                <w:szCs w:val="18"/>
                <w:u w:val="none"/>
              </w:rPr>
            </w:pPr>
            <w:r>
              <w:rPr>
                <w:rFonts w:hint="default" w:ascii="Times New Roman" w:hAnsi="Times New Roman" w:eastAsia="宋体" w:cs="Times New Roman"/>
                <w:b/>
                <w:bCs/>
                <w:i w:val="0"/>
                <w:iCs w:val="0"/>
                <w:color w:val="000000"/>
                <w:kern w:val="0"/>
                <w:sz w:val="18"/>
                <w:szCs w:val="18"/>
                <w:u w:val="none"/>
                <w:lang w:val="en-US" w:eastAsia="zh-CN" w:bidi="ar"/>
              </w:rPr>
              <w:t>1750</w:t>
            </w:r>
          </w:p>
        </w:tc>
        <w:tc>
          <w:tcPr>
            <w:tcW w:w="398" w:type="pct"/>
            <w:tcBorders>
              <w:top w:val="nil"/>
              <w:left w:val="nil"/>
              <w:bottom w:val="single" w:color="000000" w:sz="8" w:space="0"/>
              <w:right w:val="single" w:color="000000" w:sz="8" w:space="0"/>
            </w:tcBorders>
            <w:noWrap w:val="0"/>
            <w:vAlign w:val="center"/>
          </w:tcPr>
          <w:p w14:paraId="1BB0056A">
            <w:pPr>
              <w:spacing w:line="240" w:lineRule="auto"/>
              <w:ind w:firstLine="0" w:firstLineChars="0"/>
              <w:jc w:val="center"/>
              <w:rPr>
                <w:rFonts w:hint="default" w:ascii="Times New Roman" w:hAnsi="Times New Roman" w:eastAsia="宋体" w:cs="Times New Roman"/>
                <w:b/>
                <w:bCs/>
                <w:i w:val="0"/>
                <w:iCs w:val="0"/>
                <w:color w:val="000000"/>
                <w:sz w:val="18"/>
                <w:szCs w:val="18"/>
                <w:u w:val="none"/>
              </w:rPr>
            </w:pPr>
          </w:p>
        </w:tc>
        <w:tc>
          <w:tcPr>
            <w:tcW w:w="346" w:type="pct"/>
            <w:tcBorders>
              <w:top w:val="nil"/>
              <w:left w:val="nil"/>
              <w:bottom w:val="single" w:color="000000" w:sz="8" w:space="0"/>
              <w:right w:val="single" w:color="000000" w:sz="8" w:space="0"/>
            </w:tcBorders>
            <w:noWrap w:val="0"/>
            <w:vAlign w:val="center"/>
          </w:tcPr>
          <w:p w14:paraId="3098F136">
            <w:pPr>
              <w:spacing w:line="240" w:lineRule="auto"/>
              <w:ind w:firstLine="0" w:firstLineChars="0"/>
              <w:jc w:val="center"/>
              <w:rPr>
                <w:rFonts w:hint="default" w:ascii="Times New Roman" w:hAnsi="Times New Roman" w:eastAsia="宋体" w:cs="Times New Roman"/>
                <w:b/>
                <w:bCs/>
                <w:i w:val="0"/>
                <w:iCs w:val="0"/>
                <w:color w:val="000000"/>
                <w:sz w:val="18"/>
                <w:szCs w:val="18"/>
                <w:u w:val="none"/>
              </w:rPr>
            </w:pPr>
          </w:p>
        </w:tc>
        <w:tc>
          <w:tcPr>
            <w:tcW w:w="326" w:type="pct"/>
            <w:tcBorders>
              <w:top w:val="nil"/>
              <w:left w:val="nil"/>
              <w:bottom w:val="single" w:color="000000" w:sz="8" w:space="0"/>
              <w:right w:val="single" w:color="000000" w:sz="8" w:space="0"/>
            </w:tcBorders>
            <w:noWrap w:val="0"/>
            <w:vAlign w:val="center"/>
          </w:tcPr>
          <w:p w14:paraId="6AB44765">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b/>
                <w:bCs/>
                <w:i w:val="0"/>
                <w:iCs w:val="0"/>
                <w:color w:val="000000"/>
                <w:sz w:val="18"/>
                <w:szCs w:val="18"/>
                <w:u w:val="none"/>
              </w:rPr>
            </w:pPr>
            <w:r>
              <w:rPr>
                <w:rFonts w:hint="default" w:ascii="Times New Roman" w:hAnsi="Times New Roman" w:eastAsia="宋体" w:cs="Times New Roman"/>
                <w:b/>
                <w:bCs/>
                <w:i w:val="0"/>
                <w:iCs w:val="0"/>
                <w:color w:val="000000"/>
                <w:kern w:val="0"/>
                <w:sz w:val="18"/>
                <w:szCs w:val="18"/>
                <w:u w:val="none"/>
                <w:lang w:val="en-US" w:eastAsia="zh-CN" w:bidi="ar"/>
              </w:rPr>
              <w:t>1750</w:t>
            </w:r>
          </w:p>
        </w:tc>
        <w:tc>
          <w:tcPr>
            <w:tcW w:w="148" w:type="pct"/>
            <w:tcBorders>
              <w:top w:val="nil"/>
              <w:left w:val="nil"/>
              <w:bottom w:val="single" w:color="000000" w:sz="8" w:space="0"/>
              <w:right w:val="single" w:color="000000" w:sz="8" w:space="0"/>
            </w:tcBorders>
            <w:noWrap w:val="0"/>
            <w:vAlign w:val="center"/>
          </w:tcPr>
          <w:p w14:paraId="69BDB546">
            <w:pPr>
              <w:keepNext w:val="0"/>
              <w:keepLines w:val="0"/>
              <w:widowControl/>
              <w:suppressLineNumbers w:val="0"/>
              <w:spacing w:line="240" w:lineRule="auto"/>
              <w:ind w:firstLine="0" w:firstLineChars="0"/>
              <w:jc w:val="center"/>
              <w:textAlignment w:val="center"/>
              <w:rPr>
                <w:rFonts w:hint="eastAsia" w:ascii="宋体" w:hAnsi="宋体" w:eastAsia="宋体" w:cs="宋体"/>
                <w:b/>
                <w:bCs/>
                <w:i w:val="0"/>
                <w:iCs w:val="0"/>
                <w:color w:val="000000"/>
                <w:sz w:val="18"/>
                <w:szCs w:val="18"/>
                <w:u w:val="none"/>
              </w:rPr>
            </w:pPr>
            <w:r>
              <w:rPr>
                <w:rFonts w:hint="eastAsia" w:ascii="宋体" w:hAnsi="宋体" w:eastAsia="宋体" w:cs="宋体"/>
                <w:b/>
                <w:bCs/>
                <w:i w:val="0"/>
                <w:iCs w:val="0"/>
                <w:color w:val="000000"/>
                <w:kern w:val="0"/>
                <w:sz w:val="18"/>
                <w:szCs w:val="18"/>
                <w:u w:val="none"/>
                <w:lang w:val="en-US" w:eastAsia="zh-CN" w:bidi="ar"/>
              </w:rPr>
              <w:t>项</w:t>
            </w:r>
          </w:p>
        </w:tc>
        <w:tc>
          <w:tcPr>
            <w:tcW w:w="211" w:type="pct"/>
            <w:tcBorders>
              <w:top w:val="nil"/>
              <w:left w:val="nil"/>
              <w:bottom w:val="single" w:color="000000" w:sz="8" w:space="0"/>
              <w:right w:val="single" w:color="000000" w:sz="8" w:space="0"/>
            </w:tcBorders>
            <w:noWrap w:val="0"/>
            <w:vAlign w:val="center"/>
          </w:tcPr>
          <w:p w14:paraId="40A6C5A2">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b/>
                <w:bCs/>
                <w:i w:val="0"/>
                <w:iCs w:val="0"/>
                <w:color w:val="000000"/>
                <w:sz w:val="18"/>
                <w:szCs w:val="18"/>
                <w:u w:val="none"/>
              </w:rPr>
            </w:pPr>
            <w:r>
              <w:rPr>
                <w:rFonts w:hint="default" w:ascii="Times New Roman" w:hAnsi="Times New Roman" w:eastAsia="宋体" w:cs="Times New Roman"/>
                <w:b/>
                <w:bCs/>
                <w:i w:val="0"/>
                <w:iCs w:val="0"/>
                <w:color w:val="000000"/>
                <w:kern w:val="0"/>
                <w:sz w:val="18"/>
                <w:szCs w:val="18"/>
                <w:u w:val="none"/>
                <w:lang w:val="en-US" w:eastAsia="zh-CN" w:bidi="ar"/>
              </w:rPr>
              <w:t>1</w:t>
            </w:r>
          </w:p>
        </w:tc>
        <w:tc>
          <w:tcPr>
            <w:tcW w:w="478" w:type="pct"/>
            <w:tcBorders>
              <w:top w:val="nil"/>
              <w:left w:val="nil"/>
              <w:bottom w:val="single" w:color="000000" w:sz="8" w:space="0"/>
              <w:right w:val="single" w:color="000000" w:sz="8" w:space="0"/>
            </w:tcBorders>
            <w:noWrap w:val="0"/>
            <w:vAlign w:val="center"/>
          </w:tcPr>
          <w:p w14:paraId="6B5B32D1">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b/>
                <w:bCs/>
                <w:i w:val="0"/>
                <w:iCs w:val="0"/>
                <w:color w:val="000000"/>
                <w:sz w:val="18"/>
                <w:szCs w:val="18"/>
                <w:u w:val="none"/>
              </w:rPr>
            </w:pPr>
            <w:r>
              <w:rPr>
                <w:rFonts w:hint="default" w:ascii="Times New Roman" w:hAnsi="Times New Roman" w:eastAsia="宋体" w:cs="Times New Roman"/>
                <w:b/>
                <w:bCs/>
                <w:i w:val="0"/>
                <w:iCs w:val="0"/>
                <w:color w:val="000000"/>
                <w:kern w:val="0"/>
                <w:sz w:val="18"/>
                <w:szCs w:val="18"/>
                <w:u w:val="none"/>
                <w:lang w:val="en-US" w:eastAsia="zh-CN" w:bidi="ar"/>
              </w:rPr>
              <w:t>17500000</w:t>
            </w:r>
          </w:p>
        </w:tc>
        <w:tc>
          <w:tcPr>
            <w:tcW w:w="329" w:type="pct"/>
            <w:tcBorders>
              <w:top w:val="nil"/>
              <w:left w:val="nil"/>
              <w:bottom w:val="single" w:color="000000" w:sz="8" w:space="0"/>
              <w:right w:val="single" w:color="000000" w:sz="8" w:space="0"/>
            </w:tcBorders>
            <w:noWrap w:val="0"/>
            <w:vAlign w:val="center"/>
          </w:tcPr>
          <w:p w14:paraId="1524BFC4">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b/>
                <w:bCs/>
                <w:i w:val="0"/>
                <w:iCs w:val="0"/>
                <w:color w:val="000000"/>
                <w:sz w:val="18"/>
                <w:szCs w:val="18"/>
                <w:u w:val="none"/>
              </w:rPr>
            </w:pPr>
            <w:r>
              <w:rPr>
                <w:rFonts w:hint="default" w:ascii="Times New Roman" w:hAnsi="Times New Roman" w:eastAsia="宋体" w:cs="Times New Roman"/>
                <w:b/>
                <w:bCs/>
                <w:i w:val="0"/>
                <w:iCs w:val="0"/>
                <w:color w:val="000000"/>
                <w:kern w:val="0"/>
                <w:sz w:val="18"/>
                <w:szCs w:val="18"/>
                <w:u w:val="none"/>
                <w:lang w:val="en-US" w:eastAsia="zh-CN" w:bidi="ar"/>
              </w:rPr>
              <w:t>17.16%</w:t>
            </w:r>
          </w:p>
        </w:tc>
        <w:tc>
          <w:tcPr>
            <w:tcW w:w="1013" w:type="pct"/>
            <w:tcBorders>
              <w:top w:val="nil"/>
              <w:left w:val="nil"/>
              <w:bottom w:val="single" w:color="000000" w:sz="8" w:space="0"/>
              <w:right w:val="single" w:color="000000" w:sz="8" w:space="0"/>
            </w:tcBorders>
            <w:noWrap w:val="0"/>
            <w:vAlign w:val="center"/>
          </w:tcPr>
          <w:p w14:paraId="0B6EBDD8">
            <w:pPr>
              <w:spacing w:line="240" w:lineRule="auto"/>
              <w:ind w:firstLine="0" w:firstLineChars="0"/>
              <w:jc w:val="center"/>
              <w:rPr>
                <w:rFonts w:hint="default" w:ascii="Times New Roman" w:hAnsi="Times New Roman" w:eastAsia="宋体" w:cs="Times New Roman"/>
                <w:b/>
                <w:bCs/>
                <w:i w:val="0"/>
                <w:iCs w:val="0"/>
                <w:color w:val="000000"/>
                <w:sz w:val="18"/>
                <w:szCs w:val="18"/>
                <w:u w:val="none"/>
              </w:rPr>
            </w:pPr>
          </w:p>
        </w:tc>
      </w:tr>
      <w:tr w14:paraId="64E87FC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3" w:hRule="atLeast"/>
        </w:trPr>
        <w:tc>
          <w:tcPr>
            <w:tcW w:w="273" w:type="pct"/>
            <w:tcBorders>
              <w:top w:val="nil"/>
              <w:left w:val="single" w:color="000000" w:sz="8" w:space="0"/>
              <w:bottom w:val="single" w:color="000000" w:sz="8" w:space="0"/>
              <w:right w:val="single" w:color="000000" w:sz="8" w:space="0"/>
            </w:tcBorders>
            <w:noWrap w:val="0"/>
            <w:vAlign w:val="center"/>
          </w:tcPr>
          <w:p w14:paraId="0EC4367C">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b/>
                <w:bCs/>
                <w:i w:val="0"/>
                <w:iCs w:val="0"/>
                <w:color w:val="000000"/>
                <w:sz w:val="18"/>
                <w:szCs w:val="18"/>
                <w:u w:val="none"/>
              </w:rPr>
            </w:pPr>
            <w:r>
              <w:rPr>
                <w:rFonts w:hint="default" w:ascii="Times New Roman" w:hAnsi="Times New Roman" w:eastAsia="宋体" w:cs="Times New Roman"/>
                <w:b/>
                <w:bCs/>
                <w:i w:val="0"/>
                <w:iCs w:val="0"/>
                <w:color w:val="000000"/>
                <w:kern w:val="0"/>
                <w:sz w:val="18"/>
                <w:szCs w:val="18"/>
                <w:u w:val="none"/>
                <w:lang w:val="en-US" w:eastAsia="zh-CN" w:bidi="ar"/>
              </w:rPr>
              <w:t>Ⅵ</w:t>
            </w:r>
          </w:p>
        </w:tc>
        <w:tc>
          <w:tcPr>
            <w:tcW w:w="675" w:type="pct"/>
            <w:tcBorders>
              <w:top w:val="nil"/>
              <w:left w:val="nil"/>
              <w:bottom w:val="single" w:color="000000" w:sz="8" w:space="0"/>
              <w:right w:val="single" w:color="000000" w:sz="8" w:space="0"/>
            </w:tcBorders>
            <w:noWrap w:val="0"/>
            <w:vAlign w:val="center"/>
          </w:tcPr>
          <w:p w14:paraId="14D3F59A">
            <w:pPr>
              <w:keepNext w:val="0"/>
              <w:keepLines w:val="0"/>
              <w:widowControl/>
              <w:suppressLineNumbers w:val="0"/>
              <w:spacing w:line="240" w:lineRule="auto"/>
              <w:ind w:firstLine="0" w:firstLineChars="0"/>
              <w:jc w:val="center"/>
              <w:textAlignment w:val="center"/>
              <w:rPr>
                <w:rFonts w:hint="eastAsia" w:ascii="宋体" w:hAnsi="宋体" w:eastAsia="宋体" w:cs="宋体"/>
                <w:b/>
                <w:bCs/>
                <w:i w:val="0"/>
                <w:iCs w:val="0"/>
                <w:color w:val="000000"/>
                <w:sz w:val="18"/>
                <w:szCs w:val="18"/>
                <w:u w:val="none"/>
              </w:rPr>
            </w:pPr>
            <w:r>
              <w:rPr>
                <w:rFonts w:hint="eastAsia" w:ascii="宋体" w:hAnsi="宋体" w:eastAsia="宋体" w:cs="宋体"/>
                <w:b/>
                <w:bCs/>
                <w:i w:val="0"/>
                <w:iCs w:val="0"/>
                <w:color w:val="000000"/>
                <w:kern w:val="0"/>
                <w:sz w:val="18"/>
                <w:szCs w:val="18"/>
                <w:u w:val="none"/>
                <w:lang w:val="en-US" w:eastAsia="zh-CN" w:bidi="ar"/>
              </w:rPr>
              <w:t>强电工程</w:t>
            </w:r>
          </w:p>
        </w:tc>
        <w:tc>
          <w:tcPr>
            <w:tcW w:w="398" w:type="pct"/>
            <w:tcBorders>
              <w:top w:val="nil"/>
              <w:left w:val="nil"/>
              <w:bottom w:val="single" w:color="000000" w:sz="8" w:space="0"/>
              <w:right w:val="single" w:color="000000" w:sz="8" w:space="0"/>
            </w:tcBorders>
            <w:noWrap w:val="0"/>
            <w:vAlign w:val="center"/>
          </w:tcPr>
          <w:p w14:paraId="36CD191B">
            <w:pPr>
              <w:spacing w:line="240" w:lineRule="auto"/>
              <w:ind w:firstLine="0" w:firstLineChars="0"/>
              <w:jc w:val="center"/>
              <w:rPr>
                <w:rFonts w:hint="default" w:ascii="Times New Roman" w:hAnsi="Times New Roman" w:eastAsia="宋体" w:cs="Times New Roman"/>
                <w:b/>
                <w:bCs/>
                <w:i w:val="0"/>
                <w:iCs w:val="0"/>
                <w:color w:val="000000"/>
                <w:sz w:val="18"/>
                <w:szCs w:val="18"/>
                <w:u w:val="none"/>
              </w:rPr>
            </w:pPr>
          </w:p>
        </w:tc>
        <w:tc>
          <w:tcPr>
            <w:tcW w:w="398" w:type="pct"/>
            <w:tcBorders>
              <w:top w:val="nil"/>
              <w:left w:val="nil"/>
              <w:bottom w:val="single" w:color="000000" w:sz="8" w:space="0"/>
              <w:right w:val="single" w:color="000000" w:sz="8" w:space="0"/>
            </w:tcBorders>
            <w:noWrap w:val="0"/>
            <w:vAlign w:val="center"/>
          </w:tcPr>
          <w:p w14:paraId="0E9235B8">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b/>
                <w:bCs/>
                <w:i w:val="0"/>
                <w:iCs w:val="0"/>
                <w:color w:val="000000"/>
                <w:sz w:val="18"/>
                <w:szCs w:val="18"/>
                <w:u w:val="none"/>
              </w:rPr>
            </w:pPr>
            <w:r>
              <w:rPr>
                <w:rFonts w:hint="default" w:ascii="Times New Roman" w:hAnsi="Times New Roman" w:eastAsia="宋体" w:cs="Times New Roman"/>
                <w:b/>
                <w:bCs/>
                <w:i w:val="0"/>
                <w:iCs w:val="0"/>
                <w:color w:val="000000"/>
                <w:kern w:val="0"/>
                <w:sz w:val="18"/>
                <w:szCs w:val="18"/>
                <w:u w:val="none"/>
                <w:lang w:val="en-US" w:eastAsia="zh-CN" w:bidi="ar"/>
              </w:rPr>
              <w:t>31</w:t>
            </w:r>
          </w:p>
        </w:tc>
        <w:tc>
          <w:tcPr>
            <w:tcW w:w="398" w:type="pct"/>
            <w:tcBorders>
              <w:top w:val="nil"/>
              <w:left w:val="nil"/>
              <w:bottom w:val="single" w:color="000000" w:sz="8" w:space="0"/>
              <w:right w:val="single" w:color="000000" w:sz="8" w:space="0"/>
            </w:tcBorders>
            <w:noWrap w:val="0"/>
            <w:vAlign w:val="center"/>
          </w:tcPr>
          <w:p w14:paraId="498B745B">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b/>
                <w:bCs/>
                <w:i w:val="0"/>
                <w:iCs w:val="0"/>
                <w:color w:val="000000"/>
                <w:sz w:val="18"/>
                <w:szCs w:val="18"/>
                <w:u w:val="none"/>
              </w:rPr>
            </w:pPr>
            <w:r>
              <w:rPr>
                <w:rFonts w:hint="default" w:ascii="Times New Roman" w:hAnsi="Times New Roman" w:eastAsia="宋体" w:cs="Times New Roman"/>
                <w:b/>
                <w:bCs/>
                <w:i w:val="0"/>
                <w:iCs w:val="0"/>
                <w:color w:val="000000"/>
                <w:kern w:val="0"/>
                <w:sz w:val="18"/>
                <w:szCs w:val="18"/>
                <w:u w:val="none"/>
                <w:lang w:val="en-US" w:eastAsia="zh-CN" w:bidi="ar"/>
              </w:rPr>
              <w:t>197</w:t>
            </w:r>
          </w:p>
        </w:tc>
        <w:tc>
          <w:tcPr>
            <w:tcW w:w="346" w:type="pct"/>
            <w:tcBorders>
              <w:top w:val="nil"/>
              <w:left w:val="nil"/>
              <w:bottom w:val="single" w:color="000000" w:sz="8" w:space="0"/>
              <w:right w:val="single" w:color="000000" w:sz="8" w:space="0"/>
            </w:tcBorders>
            <w:noWrap w:val="0"/>
            <w:vAlign w:val="center"/>
          </w:tcPr>
          <w:p w14:paraId="3FD60303">
            <w:pPr>
              <w:spacing w:line="240" w:lineRule="auto"/>
              <w:ind w:firstLine="0" w:firstLineChars="0"/>
              <w:jc w:val="center"/>
              <w:rPr>
                <w:rFonts w:hint="default" w:ascii="Times New Roman" w:hAnsi="Times New Roman" w:eastAsia="宋体" w:cs="Times New Roman"/>
                <w:b/>
                <w:bCs/>
                <w:i w:val="0"/>
                <w:iCs w:val="0"/>
                <w:color w:val="000000"/>
                <w:sz w:val="18"/>
                <w:szCs w:val="18"/>
                <w:u w:val="none"/>
              </w:rPr>
            </w:pPr>
          </w:p>
        </w:tc>
        <w:tc>
          <w:tcPr>
            <w:tcW w:w="326" w:type="pct"/>
            <w:tcBorders>
              <w:top w:val="nil"/>
              <w:left w:val="nil"/>
              <w:bottom w:val="single" w:color="000000" w:sz="8" w:space="0"/>
              <w:right w:val="single" w:color="000000" w:sz="8" w:space="0"/>
            </w:tcBorders>
            <w:noWrap w:val="0"/>
            <w:vAlign w:val="center"/>
          </w:tcPr>
          <w:p w14:paraId="7C3250F5">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b/>
                <w:bCs/>
                <w:i w:val="0"/>
                <w:iCs w:val="0"/>
                <w:color w:val="000000"/>
                <w:sz w:val="18"/>
                <w:szCs w:val="18"/>
                <w:u w:val="none"/>
              </w:rPr>
            </w:pPr>
            <w:r>
              <w:rPr>
                <w:rFonts w:hint="default" w:ascii="Times New Roman" w:hAnsi="Times New Roman" w:eastAsia="宋体" w:cs="Times New Roman"/>
                <w:b/>
                <w:bCs/>
                <w:i w:val="0"/>
                <w:iCs w:val="0"/>
                <w:color w:val="000000"/>
                <w:kern w:val="0"/>
                <w:sz w:val="18"/>
                <w:szCs w:val="18"/>
                <w:u w:val="none"/>
                <w:lang w:val="en-US" w:eastAsia="zh-CN" w:bidi="ar"/>
              </w:rPr>
              <w:t>228</w:t>
            </w:r>
          </w:p>
        </w:tc>
        <w:tc>
          <w:tcPr>
            <w:tcW w:w="148" w:type="pct"/>
            <w:tcBorders>
              <w:top w:val="nil"/>
              <w:left w:val="nil"/>
              <w:bottom w:val="single" w:color="000000" w:sz="8" w:space="0"/>
              <w:right w:val="single" w:color="000000" w:sz="8" w:space="0"/>
            </w:tcBorders>
            <w:noWrap w:val="0"/>
            <w:vAlign w:val="center"/>
          </w:tcPr>
          <w:p w14:paraId="6147F46A">
            <w:pPr>
              <w:keepNext w:val="0"/>
              <w:keepLines w:val="0"/>
              <w:widowControl/>
              <w:suppressLineNumbers w:val="0"/>
              <w:spacing w:line="240" w:lineRule="auto"/>
              <w:ind w:firstLine="0" w:firstLineChars="0"/>
              <w:jc w:val="center"/>
              <w:textAlignment w:val="center"/>
              <w:rPr>
                <w:rFonts w:hint="eastAsia" w:ascii="宋体" w:hAnsi="宋体" w:eastAsia="宋体" w:cs="宋体"/>
                <w:b/>
                <w:bCs/>
                <w:i w:val="0"/>
                <w:iCs w:val="0"/>
                <w:color w:val="000000"/>
                <w:sz w:val="18"/>
                <w:szCs w:val="18"/>
                <w:u w:val="none"/>
              </w:rPr>
            </w:pPr>
            <w:r>
              <w:rPr>
                <w:rFonts w:hint="eastAsia" w:ascii="宋体" w:hAnsi="宋体" w:eastAsia="宋体" w:cs="宋体"/>
                <w:b/>
                <w:bCs/>
                <w:i w:val="0"/>
                <w:iCs w:val="0"/>
                <w:color w:val="000000"/>
                <w:kern w:val="0"/>
                <w:sz w:val="18"/>
                <w:szCs w:val="18"/>
                <w:u w:val="none"/>
                <w:lang w:val="en-US" w:eastAsia="zh-CN" w:bidi="ar"/>
              </w:rPr>
              <w:t>项</w:t>
            </w:r>
          </w:p>
        </w:tc>
        <w:tc>
          <w:tcPr>
            <w:tcW w:w="211" w:type="pct"/>
            <w:tcBorders>
              <w:top w:val="nil"/>
              <w:left w:val="nil"/>
              <w:bottom w:val="single" w:color="000000" w:sz="8" w:space="0"/>
              <w:right w:val="single" w:color="000000" w:sz="8" w:space="0"/>
            </w:tcBorders>
            <w:noWrap w:val="0"/>
            <w:vAlign w:val="center"/>
          </w:tcPr>
          <w:p w14:paraId="3360EBA5">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b/>
                <w:bCs/>
                <w:i w:val="0"/>
                <w:iCs w:val="0"/>
                <w:color w:val="000000"/>
                <w:sz w:val="18"/>
                <w:szCs w:val="18"/>
                <w:u w:val="none"/>
              </w:rPr>
            </w:pPr>
            <w:r>
              <w:rPr>
                <w:rFonts w:hint="default" w:ascii="Times New Roman" w:hAnsi="Times New Roman" w:eastAsia="宋体" w:cs="Times New Roman"/>
                <w:b/>
                <w:bCs/>
                <w:i w:val="0"/>
                <w:iCs w:val="0"/>
                <w:color w:val="000000"/>
                <w:kern w:val="0"/>
                <w:sz w:val="18"/>
                <w:szCs w:val="18"/>
                <w:u w:val="none"/>
                <w:lang w:val="en-US" w:eastAsia="zh-CN" w:bidi="ar"/>
              </w:rPr>
              <w:t>1</w:t>
            </w:r>
          </w:p>
        </w:tc>
        <w:tc>
          <w:tcPr>
            <w:tcW w:w="478" w:type="pct"/>
            <w:tcBorders>
              <w:top w:val="nil"/>
              <w:left w:val="nil"/>
              <w:bottom w:val="single" w:color="000000" w:sz="8" w:space="0"/>
              <w:right w:val="single" w:color="000000" w:sz="8" w:space="0"/>
            </w:tcBorders>
            <w:noWrap w:val="0"/>
            <w:vAlign w:val="center"/>
          </w:tcPr>
          <w:p w14:paraId="35662A8E">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b/>
                <w:bCs/>
                <w:i w:val="0"/>
                <w:iCs w:val="0"/>
                <w:color w:val="000000"/>
                <w:sz w:val="18"/>
                <w:szCs w:val="18"/>
                <w:u w:val="none"/>
              </w:rPr>
            </w:pPr>
            <w:r>
              <w:rPr>
                <w:rFonts w:hint="default" w:ascii="Times New Roman" w:hAnsi="Times New Roman" w:eastAsia="宋体" w:cs="Times New Roman"/>
                <w:b/>
                <w:bCs/>
                <w:i w:val="0"/>
                <w:iCs w:val="0"/>
                <w:color w:val="000000"/>
                <w:kern w:val="0"/>
                <w:sz w:val="18"/>
                <w:szCs w:val="18"/>
                <w:u w:val="none"/>
                <w:lang w:val="en-US" w:eastAsia="zh-CN" w:bidi="ar"/>
              </w:rPr>
              <w:t>1970000</w:t>
            </w:r>
          </w:p>
        </w:tc>
        <w:tc>
          <w:tcPr>
            <w:tcW w:w="329" w:type="pct"/>
            <w:tcBorders>
              <w:top w:val="nil"/>
              <w:left w:val="nil"/>
              <w:bottom w:val="single" w:color="000000" w:sz="8" w:space="0"/>
              <w:right w:val="single" w:color="000000" w:sz="8" w:space="0"/>
            </w:tcBorders>
            <w:noWrap w:val="0"/>
            <w:vAlign w:val="center"/>
          </w:tcPr>
          <w:p w14:paraId="2F8A710A">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b/>
                <w:bCs/>
                <w:i w:val="0"/>
                <w:iCs w:val="0"/>
                <w:color w:val="000000"/>
                <w:sz w:val="18"/>
                <w:szCs w:val="18"/>
                <w:u w:val="none"/>
              </w:rPr>
            </w:pPr>
            <w:r>
              <w:rPr>
                <w:rFonts w:hint="default" w:ascii="Times New Roman" w:hAnsi="Times New Roman" w:eastAsia="宋体" w:cs="Times New Roman"/>
                <w:b/>
                <w:bCs/>
                <w:i w:val="0"/>
                <w:iCs w:val="0"/>
                <w:color w:val="000000"/>
                <w:kern w:val="0"/>
                <w:sz w:val="18"/>
                <w:szCs w:val="18"/>
                <w:u w:val="none"/>
                <w:lang w:val="en-US" w:eastAsia="zh-CN" w:bidi="ar"/>
              </w:rPr>
              <w:t>2.24%</w:t>
            </w:r>
          </w:p>
        </w:tc>
        <w:tc>
          <w:tcPr>
            <w:tcW w:w="1013" w:type="pct"/>
            <w:tcBorders>
              <w:top w:val="nil"/>
              <w:left w:val="nil"/>
              <w:bottom w:val="single" w:color="000000" w:sz="8" w:space="0"/>
              <w:right w:val="single" w:color="000000" w:sz="8" w:space="0"/>
            </w:tcBorders>
            <w:noWrap w:val="0"/>
            <w:vAlign w:val="center"/>
          </w:tcPr>
          <w:p w14:paraId="568E83DB">
            <w:pPr>
              <w:spacing w:line="240" w:lineRule="auto"/>
              <w:ind w:firstLine="0" w:firstLineChars="0"/>
              <w:jc w:val="center"/>
              <w:rPr>
                <w:rFonts w:hint="default" w:ascii="Times New Roman" w:hAnsi="Times New Roman" w:eastAsia="宋体" w:cs="Times New Roman"/>
                <w:b/>
                <w:bCs/>
                <w:i w:val="0"/>
                <w:iCs w:val="0"/>
                <w:color w:val="000000"/>
                <w:sz w:val="18"/>
                <w:szCs w:val="18"/>
                <w:u w:val="none"/>
              </w:rPr>
            </w:pPr>
          </w:p>
        </w:tc>
      </w:tr>
      <w:tr w14:paraId="6213806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3" w:hRule="atLeast"/>
        </w:trPr>
        <w:tc>
          <w:tcPr>
            <w:tcW w:w="273" w:type="pct"/>
            <w:tcBorders>
              <w:top w:val="nil"/>
              <w:left w:val="single" w:color="000000" w:sz="8" w:space="0"/>
              <w:bottom w:val="single" w:color="000000" w:sz="8" w:space="0"/>
              <w:right w:val="single" w:color="000000" w:sz="8" w:space="0"/>
            </w:tcBorders>
            <w:noWrap w:val="0"/>
            <w:vAlign w:val="center"/>
          </w:tcPr>
          <w:p w14:paraId="32E3AB63">
            <w:pPr>
              <w:keepNext w:val="0"/>
              <w:keepLines w:val="0"/>
              <w:widowControl/>
              <w:suppressLineNumbers w:val="0"/>
              <w:spacing w:line="240" w:lineRule="auto"/>
              <w:ind w:firstLine="0" w:firstLineChars="0"/>
              <w:jc w:val="center"/>
              <w:textAlignment w:val="center"/>
              <w:rPr>
                <w:rFonts w:hint="eastAsia" w:ascii="宋体" w:hAnsi="宋体" w:eastAsia="宋体" w:cs="宋体"/>
                <w:b/>
                <w:bCs/>
                <w:i w:val="0"/>
                <w:iCs w:val="0"/>
                <w:color w:val="000000"/>
                <w:sz w:val="18"/>
                <w:szCs w:val="18"/>
                <w:u w:val="none"/>
              </w:rPr>
            </w:pPr>
            <w:r>
              <w:rPr>
                <w:rFonts w:hint="eastAsia" w:ascii="宋体" w:hAnsi="宋体" w:eastAsia="宋体" w:cs="宋体"/>
                <w:b/>
                <w:bCs/>
                <w:i w:val="0"/>
                <w:iCs w:val="0"/>
                <w:color w:val="000000"/>
                <w:kern w:val="0"/>
                <w:sz w:val="18"/>
                <w:szCs w:val="18"/>
                <w:u w:val="none"/>
                <w:lang w:val="en-US" w:eastAsia="zh-CN" w:bidi="ar"/>
              </w:rPr>
              <w:t>（二）</w:t>
            </w:r>
          </w:p>
        </w:tc>
        <w:tc>
          <w:tcPr>
            <w:tcW w:w="675" w:type="pct"/>
            <w:tcBorders>
              <w:top w:val="nil"/>
              <w:left w:val="nil"/>
              <w:bottom w:val="single" w:color="000000" w:sz="8" w:space="0"/>
              <w:right w:val="single" w:color="000000" w:sz="8" w:space="0"/>
            </w:tcBorders>
            <w:noWrap w:val="0"/>
            <w:vAlign w:val="center"/>
          </w:tcPr>
          <w:p w14:paraId="68575D53">
            <w:pPr>
              <w:keepNext w:val="0"/>
              <w:keepLines w:val="0"/>
              <w:widowControl/>
              <w:suppressLineNumbers w:val="0"/>
              <w:spacing w:line="240" w:lineRule="auto"/>
              <w:ind w:firstLine="0" w:firstLineChars="0"/>
              <w:jc w:val="center"/>
              <w:textAlignment w:val="center"/>
              <w:rPr>
                <w:rFonts w:hint="eastAsia" w:ascii="宋体" w:hAnsi="宋体" w:eastAsia="宋体" w:cs="宋体"/>
                <w:b/>
                <w:bCs/>
                <w:i w:val="0"/>
                <w:iCs w:val="0"/>
                <w:color w:val="000000"/>
                <w:sz w:val="18"/>
                <w:szCs w:val="18"/>
                <w:u w:val="none"/>
              </w:rPr>
            </w:pPr>
            <w:r>
              <w:rPr>
                <w:rFonts w:hint="eastAsia" w:ascii="宋体" w:hAnsi="宋体" w:eastAsia="宋体" w:cs="宋体"/>
                <w:b/>
                <w:bCs/>
                <w:i w:val="0"/>
                <w:iCs w:val="0"/>
                <w:color w:val="000000"/>
                <w:kern w:val="0"/>
                <w:sz w:val="18"/>
                <w:szCs w:val="18"/>
                <w:u w:val="none"/>
                <w:lang w:val="en-US" w:eastAsia="zh-CN" w:bidi="ar"/>
              </w:rPr>
              <w:t>工程建设其他费用</w:t>
            </w:r>
          </w:p>
        </w:tc>
        <w:tc>
          <w:tcPr>
            <w:tcW w:w="398" w:type="pct"/>
            <w:tcBorders>
              <w:top w:val="nil"/>
              <w:left w:val="nil"/>
              <w:bottom w:val="single" w:color="000000" w:sz="8" w:space="0"/>
              <w:right w:val="single" w:color="000000" w:sz="8" w:space="0"/>
            </w:tcBorders>
            <w:noWrap w:val="0"/>
            <w:vAlign w:val="center"/>
          </w:tcPr>
          <w:p w14:paraId="06E5862E">
            <w:pPr>
              <w:spacing w:line="240" w:lineRule="auto"/>
              <w:ind w:firstLine="0" w:firstLineChars="0"/>
              <w:jc w:val="center"/>
              <w:rPr>
                <w:rFonts w:hint="default" w:ascii="Times New Roman" w:hAnsi="Times New Roman" w:eastAsia="宋体" w:cs="Times New Roman"/>
                <w:b/>
                <w:bCs/>
                <w:i w:val="0"/>
                <w:iCs w:val="0"/>
                <w:color w:val="000000"/>
                <w:sz w:val="18"/>
                <w:szCs w:val="18"/>
                <w:u w:val="none"/>
              </w:rPr>
            </w:pPr>
          </w:p>
        </w:tc>
        <w:tc>
          <w:tcPr>
            <w:tcW w:w="398" w:type="pct"/>
            <w:tcBorders>
              <w:top w:val="nil"/>
              <w:left w:val="nil"/>
              <w:bottom w:val="single" w:color="000000" w:sz="8" w:space="0"/>
              <w:right w:val="single" w:color="000000" w:sz="8" w:space="0"/>
            </w:tcBorders>
            <w:noWrap w:val="0"/>
            <w:vAlign w:val="center"/>
          </w:tcPr>
          <w:p w14:paraId="5A97E9BA">
            <w:pPr>
              <w:spacing w:line="240" w:lineRule="auto"/>
              <w:ind w:firstLine="0" w:firstLineChars="0"/>
              <w:jc w:val="center"/>
              <w:rPr>
                <w:rFonts w:hint="default" w:ascii="Times New Roman" w:hAnsi="Times New Roman" w:eastAsia="宋体" w:cs="Times New Roman"/>
                <w:b/>
                <w:bCs/>
                <w:i w:val="0"/>
                <w:iCs w:val="0"/>
                <w:color w:val="000000"/>
                <w:sz w:val="18"/>
                <w:szCs w:val="18"/>
                <w:u w:val="none"/>
              </w:rPr>
            </w:pPr>
          </w:p>
        </w:tc>
        <w:tc>
          <w:tcPr>
            <w:tcW w:w="398" w:type="pct"/>
            <w:tcBorders>
              <w:top w:val="nil"/>
              <w:left w:val="nil"/>
              <w:bottom w:val="single" w:color="000000" w:sz="8" w:space="0"/>
              <w:right w:val="single" w:color="000000" w:sz="8" w:space="0"/>
            </w:tcBorders>
            <w:noWrap w:val="0"/>
            <w:vAlign w:val="center"/>
          </w:tcPr>
          <w:p w14:paraId="04B93B74">
            <w:pPr>
              <w:spacing w:line="240" w:lineRule="auto"/>
              <w:ind w:firstLine="0" w:firstLineChars="0"/>
              <w:jc w:val="center"/>
              <w:rPr>
                <w:rFonts w:hint="default" w:ascii="Times New Roman" w:hAnsi="Times New Roman" w:eastAsia="宋体" w:cs="Times New Roman"/>
                <w:b/>
                <w:bCs/>
                <w:i w:val="0"/>
                <w:iCs w:val="0"/>
                <w:color w:val="000000"/>
                <w:sz w:val="18"/>
                <w:szCs w:val="18"/>
                <w:u w:val="none"/>
              </w:rPr>
            </w:pPr>
          </w:p>
        </w:tc>
        <w:tc>
          <w:tcPr>
            <w:tcW w:w="346" w:type="pct"/>
            <w:tcBorders>
              <w:top w:val="nil"/>
              <w:left w:val="nil"/>
              <w:bottom w:val="single" w:color="000000" w:sz="8" w:space="0"/>
              <w:right w:val="single" w:color="000000" w:sz="8" w:space="0"/>
            </w:tcBorders>
            <w:noWrap w:val="0"/>
            <w:vAlign w:val="center"/>
          </w:tcPr>
          <w:p w14:paraId="12D7946B">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b/>
                <w:bCs/>
                <w:i w:val="0"/>
                <w:iCs w:val="0"/>
                <w:color w:val="000000"/>
                <w:sz w:val="18"/>
                <w:szCs w:val="18"/>
                <w:u w:val="none"/>
              </w:rPr>
            </w:pPr>
            <w:r>
              <w:rPr>
                <w:rFonts w:hint="default" w:ascii="Times New Roman" w:hAnsi="Times New Roman" w:eastAsia="宋体" w:cs="Times New Roman"/>
                <w:b/>
                <w:bCs/>
                <w:i w:val="0"/>
                <w:iCs w:val="0"/>
                <w:color w:val="000000"/>
                <w:kern w:val="0"/>
                <w:sz w:val="18"/>
                <w:szCs w:val="18"/>
                <w:u w:val="none"/>
                <w:lang w:val="en-US" w:eastAsia="zh-CN" w:bidi="ar"/>
              </w:rPr>
              <w:t>1889.62</w:t>
            </w:r>
          </w:p>
        </w:tc>
        <w:tc>
          <w:tcPr>
            <w:tcW w:w="326" w:type="pct"/>
            <w:tcBorders>
              <w:top w:val="nil"/>
              <w:left w:val="nil"/>
              <w:bottom w:val="single" w:color="000000" w:sz="8" w:space="0"/>
              <w:right w:val="single" w:color="000000" w:sz="8" w:space="0"/>
            </w:tcBorders>
            <w:noWrap w:val="0"/>
            <w:vAlign w:val="center"/>
          </w:tcPr>
          <w:p w14:paraId="77563055">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color w:val="000000"/>
                <w:kern w:val="0"/>
                <w:sz w:val="18"/>
                <w:szCs w:val="18"/>
                <w:u w:val="none"/>
                <w:lang w:val="en-US" w:eastAsia="zh-CN" w:bidi="ar"/>
              </w:rPr>
              <w:t>1889.62</w:t>
            </w:r>
          </w:p>
        </w:tc>
        <w:tc>
          <w:tcPr>
            <w:tcW w:w="148" w:type="pct"/>
            <w:tcBorders>
              <w:top w:val="nil"/>
              <w:left w:val="nil"/>
              <w:bottom w:val="single" w:color="000000" w:sz="8" w:space="0"/>
              <w:right w:val="single" w:color="000000" w:sz="8" w:space="0"/>
            </w:tcBorders>
            <w:noWrap w:val="0"/>
            <w:vAlign w:val="center"/>
          </w:tcPr>
          <w:p w14:paraId="3EA9913B">
            <w:pPr>
              <w:spacing w:line="240" w:lineRule="auto"/>
              <w:ind w:firstLine="0" w:firstLineChars="0"/>
              <w:jc w:val="center"/>
              <w:rPr>
                <w:rFonts w:hint="default" w:ascii="Times New Roman" w:hAnsi="Times New Roman" w:eastAsia="宋体" w:cs="Times New Roman"/>
                <w:b/>
                <w:bCs/>
                <w:i w:val="0"/>
                <w:iCs w:val="0"/>
                <w:color w:val="000000"/>
                <w:sz w:val="18"/>
                <w:szCs w:val="18"/>
                <w:u w:val="none"/>
              </w:rPr>
            </w:pPr>
          </w:p>
        </w:tc>
        <w:tc>
          <w:tcPr>
            <w:tcW w:w="211" w:type="pct"/>
            <w:tcBorders>
              <w:top w:val="nil"/>
              <w:left w:val="nil"/>
              <w:bottom w:val="single" w:color="000000" w:sz="8" w:space="0"/>
              <w:right w:val="single" w:color="000000" w:sz="8" w:space="0"/>
            </w:tcBorders>
            <w:noWrap w:val="0"/>
            <w:vAlign w:val="center"/>
          </w:tcPr>
          <w:p w14:paraId="3E82853E">
            <w:pPr>
              <w:spacing w:line="240" w:lineRule="auto"/>
              <w:ind w:firstLine="0" w:firstLineChars="0"/>
              <w:jc w:val="center"/>
              <w:rPr>
                <w:rFonts w:hint="default" w:ascii="Times New Roman" w:hAnsi="Times New Roman" w:eastAsia="宋体" w:cs="Times New Roman"/>
                <w:b/>
                <w:bCs/>
                <w:i w:val="0"/>
                <w:iCs w:val="0"/>
                <w:color w:val="000000"/>
                <w:sz w:val="18"/>
                <w:szCs w:val="18"/>
                <w:u w:val="none"/>
              </w:rPr>
            </w:pPr>
          </w:p>
        </w:tc>
        <w:tc>
          <w:tcPr>
            <w:tcW w:w="478" w:type="pct"/>
            <w:tcBorders>
              <w:top w:val="nil"/>
              <w:left w:val="nil"/>
              <w:bottom w:val="single" w:color="000000" w:sz="8" w:space="0"/>
              <w:right w:val="single" w:color="000000" w:sz="8" w:space="0"/>
            </w:tcBorders>
            <w:noWrap w:val="0"/>
            <w:vAlign w:val="center"/>
          </w:tcPr>
          <w:p w14:paraId="2A11B80B">
            <w:pPr>
              <w:spacing w:line="240" w:lineRule="auto"/>
              <w:ind w:firstLine="0" w:firstLineChars="0"/>
              <w:jc w:val="center"/>
              <w:rPr>
                <w:rFonts w:hint="default" w:ascii="Times New Roman" w:hAnsi="Times New Roman" w:eastAsia="宋体" w:cs="Times New Roman"/>
                <w:b/>
                <w:bCs/>
                <w:i w:val="0"/>
                <w:iCs w:val="0"/>
                <w:color w:val="000000"/>
                <w:sz w:val="18"/>
                <w:szCs w:val="18"/>
                <w:u w:val="none"/>
              </w:rPr>
            </w:pPr>
          </w:p>
        </w:tc>
        <w:tc>
          <w:tcPr>
            <w:tcW w:w="329" w:type="pct"/>
            <w:tcBorders>
              <w:top w:val="nil"/>
              <w:left w:val="nil"/>
              <w:bottom w:val="single" w:color="000000" w:sz="8" w:space="0"/>
              <w:right w:val="single" w:color="000000" w:sz="8" w:space="0"/>
            </w:tcBorders>
            <w:noWrap w:val="0"/>
            <w:vAlign w:val="center"/>
          </w:tcPr>
          <w:p w14:paraId="1EEC9B2E">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b/>
                <w:bCs/>
                <w:i w:val="0"/>
                <w:iCs w:val="0"/>
                <w:color w:val="000000"/>
                <w:sz w:val="18"/>
                <w:szCs w:val="18"/>
                <w:u w:val="none"/>
              </w:rPr>
            </w:pPr>
            <w:r>
              <w:rPr>
                <w:rFonts w:hint="default" w:ascii="Times New Roman" w:hAnsi="Times New Roman" w:eastAsia="宋体" w:cs="Times New Roman"/>
                <w:b/>
                <w:bCs/>
                <w:i w:val="0"/>
                <w:iCs w:val="0"/>
                <w:color w:val="000000"/>
                <w:kern w:val="0"/>
                <w:sz w:val="18"/>
                <w:szCs w:val="18"/>
                <w:u w:val="none"/>
                <w:lang w:val="en-US" w:eastAsia="zh-CN" w:bidi="ar"/>
              </w:rPr>
              <w:t>18.53%</w:t>
            </w:r>
          </w:p>
        </w:tc>
        <w:tc>
          <w:tcPr>
            <w:tcW w:w="1013" w:type="pct"/>
            <w:tcBorders>
              <w:top w:val="nil"/>
              <w:left w:val="nil"/>
              <w:bottom w:val="single" w:color="000000" w:sz="8" w:space="0"/>
              <w:right w:val="single" w:color="000000" w:sz="8" w:space="0"/>
            </w:tcBorders>
            <w:noWrap w:val="0"/>
            <w:vAlign w:val="center"/>
          </w:tcPr>
          <w:p w14:paraId="10D13721">
            <w:pPr>
              <w:spacing w:line="240" w:lineRule="auto"/>
              <w:ind w:firstLine="0" w:firstLineChars="0"/>
              <w:jc w:val="center"/>
              <w:rPr>
                <w:rFonts w:hint="default" w:ascii="Times New Roman" w:hAnsi="Times New Roman" w:eastAsia="宋体" w:cs="Times New Roman"/>
                <w:b/>
                <w:bCs/>
                <w:i w:val="0"/>
                <w:iCs w:val="0"/>
                <w:color w:val="000000"/>
                <w:sz w:val="18"/>
                <w:szCs w:val="18"/>
                <w:u w:val="none"/>
              </w:rPr>
            </w:pPr>
          </w:p>
        </w:tc>
      </w:tr>
      <w:tr w14:paraId="553357F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3" w:hRule="atLeast"/>
        </w:trPr>
        <w:tc>
          <w:tcPr>
            <w:tcW w:w="273" w:type="pct"/>
            <w:tcBorders>
              <w:top w:val="nil"/>
              <w:left w:val="single" w:color="000000" w:sz="8" w:space="0"/>
              <w:bottom w:val="single" w:color="000000" w:sz="8" w:space="0"/>
              <w:right w:val="single" w:color="000000" w:sz="8" w:space="0"/>
            </w:tcBorders>
            <w:noWrap w:val="0"/>
            <w:vAlign w:val="center"/>
          </w:tcPr>
          <w:p w14:paraId="427DF1C7">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color w:val="000000"/>
                <w:kern w:val="0"/>
                <w:sz w:val="18"/>
                <w:szCs w:val="18"/>
                <w:u w:val="none"/>
                <w:lang w:val="en-US" w:eastAsia="zh-CN" w:bidi="ar"/>
              </w:rPr>
              <w:t>1</w:t>
            </w:r>
          </w:p>
        </w:tc>
        <w:tc>
          <w:tcPr>
            <w:tcW w:w="675" w:type="pct"/>
            <w:tcBorders>
              <w:top w:val="nil"/>
              <w:left w:val="nil"/>
              <w:bottom w:val="single" w:color="000000" w:sz="8" w:space="0"/>
              <w:right w:val="single" w:color="000000" w:sz="8" w:space="0"/>
            </w:tcBorders>
            <w:noWrap w:val="0"/>
            <w:vAlign w:val="center"/>
          </w:tcPr>
          <w:p w14:paraId="6C6DBC74">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土地费用</w:t>
            </w:r>
          </w:p>
        </w:tc>
        <w:tc>
          <w:tcPr>
            <w:tcW w:w="398" w:type="pct"/>
            <w:tcBorders>
              <w:top w:val="nil"/>
              <w:left w:val="nil"/>
              <w:bottom w:val="single" w:color="000000" w:sz="8" w:space="0"/>
              <w:right w:val="single" w:color="000000" w:sz="8" w:space="0"/>
            </w:tcBorders>
            <w:noWrap w:val="0"/>
            <w:vAlign w:val="center"/>
          </w:tcPr>
          <w:p w14:paraId="302050DE">
            <w:pPr>
              <w:spacing w:line="240" w:lineRule="auto"/>
              <w:ind w:firstLine="0" w:firstLineChars="0"/>
              <w:jc w:val="center"/>
              <w:rPr>
                <w:rFonts w:hint="default" w:ascii="Times New Roman" w:hAnsi="Times New Roman" w:eastAsia="宋体" w:cs="Times New Roman"/>
                <w:i w:val="0"/>
                <w:iCs w:val="0"/>
                <w:color w:val="000000"/>
                <w:sz w:val="18"/>
                <w:szCs w:val="18"/>
                <w:u w:val="none"/>
              </w:rPr>
            </w:pPr>
          </w:p>
        </w:tc>
        <w:tc>
          <w:tcPr>
            <w:tcW w:w="398" w:type="pct"/>
            <w:tcBorders>
              <w:top w:val="nil"/>
              <w:left w:val="nil"/>
              <w:bottom w:val="single" w:color="000000" w:sz="8" w:space="0"/>
              <w:right w:val="single" w:color="000000" w:sz="8" w:space="0"/>
            </w:tcBorders>
            <w:noWrap w:val="0"/>
            <w:vAlign w:val="center"/>
          </w:tcPr>
          <w:p w14:paraId="3815760F">
            <w:pPr>
              <w:spacing w:line="240" w:lineRule="auto"/>
              <w:ind w:firstLine="0" w:firstLineChars="0"/>
              <w:jc w:val="center"/>
              <w:rPr>
                <w:rFonts w:hint="default" w:ascii="Times New Roman" w:hAnsi="Times New Roman" w:eastAsia="宋体" w:cs="Times New Roman"/>
                <w:i w:val="0"/>
                <w:iCs w:val="0"/>
                <w:color w:val="000000"/>
                <w:sz w:val="18"/>
                <w:szCs w:val="18"/>
                <w:u w:val="none"/>
              </w:rPr>
            </w:pPr>
          </w:p>
        </w:tc>
        <w:tc>
          <w:tcPr>
            <w:tcW w:w="398" w:type="pct"/>
            <w:tcBorders>
              <w:top w:val="nil"/>
              <w:left w:val="nil"/>
              <w:bottom w:val="single" w:color="000000" w:sz="8" w:space="0"/>
              <w:right w:val="single" w:color="000000" w:sz="8" w:space="0"/>
            </w:tcBorders>
            <w:noWrap w:val="0"/>
            <w:vAlign w:val="center"/>
          </w:tcPr>
          <w:p w14:paraId="61611619">
            <w:pPr>
              <w:spacing w:line="240" w:lineRule="auto"/>
              <w:ind w:firstLine="0" w:firstLineChars="0"/>
              <w:jc w:val="center"/>
              <w:rPr>
                <w:rFonts w:hint="default" w:ascii="Times New Roman" w:hAnsi="Times New Roman" w:eastAsia="宋体" w:cs="Times New Roman"/>
                <w:i w:val="0"/>
                <w:iCs w:val="0"/>
                <w:color w:val="000000"/>
                <w:sz w:val="18"/>
                <w:szCs w:val="18"/>
                <w:u w:val="none"/>
              </w:rPr>
            </w:pPr>
          </w:p>
        </w:tc>
        <w:tc>
          <w:tcPr>
            <w:tcW w:w="346" w:type="pct"/>
            <w:tcBorders>
              <w:top w:val="nil"/>
              <w:left w:val="nil"/>
              <w:bottom w:val="single" w:color="000000" w:sz="8" w:space="0"/>
              <w:right w:val="single" w:color="000000" w:sz="8" w:space="0"/>
            </w:tcBorders>
            <w:noWrap w:val="0"/>
            <w:vAlign w:val="center"/>
          </w:tcPr>
          <w:p w14:paraId="69583273">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color w:val="000000"/>
                <w:kern w:val="0"/>
                <w:sz w:val="18"/>
                <w:szCs w:val="18"/>
                <w:u w:val="none"/>
                <w:lang w:val="en-US" w:eastAsia="zh-CN" w:bidi="ar"/>
              </w:rPr>
              <w:t>774</w:t>
            </w:r>
          </w:p>
        </w:tc>
        <w:tc>
          <w:tcPr>
            <w:tcW w:w="326" w:type="pct"/>
            <w:tcBorders>
              <w:top w:val="nil"/>
              <w:left w:val="nil"/>
              <w:bottom w:val="single" w:color="000000" w:sz="8" w:space="0"/>
              <w:right w:val="single" w:color="000000" w:sz="8" w:space="0"/>
            </w:tcBorders>
            <w:noWrap w:val="0"/>
            <w:vAlign w:val="center"/>
          </w:tcPr>
          <w:p w14:paraId="2029FF8C">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color w:val="000000"/>
                <w:kern w:val="0"/>
                <w:sz w:val="18"/>
                <w:szCs w:val="18"/>
                <w:u w:val="none"/>
                <w:lang w:val="en-US" w:eastAsia="zh-CN" w:bidi="ar"/>
              </w:rPr>
              <w:t>774</w:t>
            </w:r>
          </w:p>
        </w:tc>
        <w:tc>
          <w:tcPr>
            <w:tcW w:w="148" w:type="pct"/>
            <w:tcBorders>
              <w:top w:val="nil"/>
              <w:left w:val="nil"/>
              <w:bottom w:val="single" w:color="000000" w:sz="8" w:space="0"/>
              <w:right w:val="single" w:color="000000" w:sz="8" w:space="0"/>
            </w:tcBorders>
            <w:noWrap w:val="0"/>
            <w:vAlign w:val="center"/>
          </w:tcPr>
          <w:p w14:paraId="29D5F630">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亩</w:t>
            </w:r>
          </w:p>
        </w:tc>
        <w:tc>
          <w:tcPr>
            <w:tcW w:w="211" w:type="pct"/>
            <w:tcBorders>
              <w:top w:val="nil"/>
              <w:left w:val="nil"/>
              <w:bottom w:val="single" w:color="000000" w:sz="8" w:space="0"/>
              <w:right w:val="single" w:color="000000" w:sz="8" w:space="0"/>
            </w:tcBorders>
            <w:noWrap w:val="0"/>
            <w:vAlign w:val="center"/>
          </w:tcPr>
          <w:p w14:paraId="63144DE9">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color w:val="000000"/>
                <w:kern w:val="0"/>
                <w:sz w:val="18"/>
                <w:szCs w:val="18"/>
                <w:u w:val="none"/>
                <w:lang w:val="en-US" w:eastAsia="zh-CN" w:bidi="ar"/>
              </w:rPr>
              <w:t>12.9</w:t>
            </w:r>
          </w:p>
        </w:tc>
        <w:tc>
          <w:tcPr>
            <w:tcW w:w="478" w:type="pct"/>
            <w:tcBorders>
              <w:top w:val="nil"/>
              <w:left w:val="nil"/>
              <w:bottom w:val="single" w:color="000000" w:sz="8" w:space="0"/>
              <w:right w:val="single" w:color="000000" w:sz="8" w:space="0"/>
            </w:tcBorders>
            <w:noWrap w:val="0"/>
            <w:vAlign w:val="center"/>
          </w:tcPr>
          <w:p w14:paraId="14C9C8A8">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color w:val="000000"/>
                <w:kern w:val="0"/>
                <w:sz w:val="18"/>
                <w:szCs w:val="18"/>
                <w:u w:val="none"/>
                <w:lang w:val="en-US" w:eastAsia="zh-CN" w:bidi="ar"/>
              </w:rPr>
              <w:t>600000</w:t>
            </w:r>
          </w:p>
        </w:tc>
        <w:tc>
          <w:tcPr>
            <w:tcW w:w="329" w:type="pct"/>
            <w:tcBorders>
              <w:top w:val="nil"/>
              <w:left w:val="nil"/>
              <w:bottom w:val="single" w:color="000000" w:sz="8" w:space="0"/>
              <w:right w:val="single" w:color="000000" w:sz="8" w:space="0"/>
            </w:tcBorders>
            <w:noWrap w:val="0"/>
            <w:vAlign w:val="center"/>
          </w:tcPr>
          <w:p w14:paraId="4FDBFF00">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b/>
                <w:bCs/>
                <w:i w:val="0"/>
                <w:iCs w:val="0"/>
                <w:color w:val="000000"/>
                <w:sz w:val="18"/>
                <w:szCs w:val="18"/>
                <w:u w:val="none"/>
              </w:rPr>
            </w:pPr>
            <w:r>
              <w:rPr>
                <w:rFonts w:hint="default" w:ascii="Times New Roman" w:hAnsi="Times New Roman" w:eastAsia="宋体" w:cs="Times New Roman"/>
                <w:b/>
                <w:bCs/>
                <w:i w:val="0"/>
                <w:iCs w:val="0"/>
                <w:color w:val="000000"/>
                <w:kern w:val="0"/>
                <w:sz w:val="18"/>
                <w:szCs w:val="18"/>
                <w:u w:val="none"/>
                <w:lang w:val="en-US" w:eastAsia="zh-CN" w:bidi="ar"/>
              </w:rPr>
              <w:t>7.59%</w:t>
            </w:r>
          </w:p>
        </w:tc>
        <w:tc>
          <w:tcPr>
            <w:tcW w:w="1013" w:type="pct"/>
            <w:tcBorders>
              <w:top w:val="nil"/>
              <w:left w:val="nil"/>
              <w:bottom w:val="single" w:color="000000" w:sz="8" w:space="0"/>
              <w:right w:val="single" w:color="000000" w:sz="8" w:space="0"/>
            </w:tcBorders>
            <w:noWrap w:val="0"/>
            <w:vAlign w:val="center"/>
          </w:tcPr>
          <w:p w14:paraId="4E218964">
            <w:pPr>
              <w:spacing w:line="240" w:lineRule="auto"/>
              <w:ind w:firstLine="0" w:firstLineChars="0"/>
              <w:jc w:val="center"/>
              <w:rPr>
                <w:rFonts w:hint="default" w:ascii="Times New Roman" w:hAnsi="Times New Roman" w:eastAsia="宋体" w:cs="Times New Roman"/>
                <w:i w:val="0"/>
                <w:iCs w:val="0"/>
                <w:color w:val="000000"/>
                <w:sz w:val="18"/>
                <w:szCs w:val="18"/>
                <w:u w:val="none"/>
              </w:rPr>
            </w:pPr>
          </w:p>
        </w:tc>
      </w:tr>
      <w:tr w14:paraId="1F26FF2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3" w:hRule="atLeast"/>
        </w:trPr>
        <w:tc>
          <w:tcPr>
            <w:tcW w:w="273" w:type="pct"/>
            <w:tcBorders>
              <w:top w:val="nil"/>
              <w:left w:val="single" w:color="000000" w:sz="8" w:space="0"/>
              <w:bottom w:val="single" w:color="000000" w:sz="8" w:space="0"/>
              <w:right w:val="single" w:color="000000" w:sz="8" w:space="0"/>
            </w:tcBorders>
            <w:noWrap w:val="0"/>
            <w:vAlign w:val="center"/>
          </w:tcPr>
          <w:p w14:paraId="5FEB7E17">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color w:val="000000"/>
                <w:kern w:val="0"/>
                <w:sz w:val="18"/>
                <w:szCs w:val="18"/>
                <w:u w:val="none"/>
                <w:lang w:val="en-US" w:eastAsia="zh-CN" w:bidi="ar"/>
              </w:rPr>
              <w:t>2</w:t>
            </w:r>
          </w:p>
        </w:tc>
        <w:tc>
          <w:tcPr>
            <w:tcW w:w="675" w:type="pct"/>
            <w:tcBorders>
              <w:top w:val="nil"/>
              <w:left w:val="nil"/>
              <w:bottom w:val="single" w:color="000000" w:sz="8" w:space="0"/>
              <w:right w:val="single" w:color="000000" w:sz="8" w:space="0"/>
            </w:tcBorders>
            <w:noWrap w:val="0"/>
            <w:vAlign w:val="center"/>
          </w:tcPr>
          <w:p w14:paraId="1D6FB894">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建设单位管理费</w:t>
            </w:r>
          </w:p>
        </w:tc>
        <w:tc>
          <w:tcPr>
            <w:tcW w:w="398" w:type="pct"/>
            <w:tcBorders>
              <w:top w:val="nil"/>
              <w:left w:val="nil"/>
              <w:bottom w:val="single" w:color="000000" w:sz="8" w:space="0"/>
              <w:right w:val="single" w:color="000000" w:sz="8" w:space="0"/>
            </w:tcBorders>
            <w:noWrap w:val="0"/>
            <w:vAlign w:val="center"/>
          </w:tcPr>
          <w:p w14:paraId="406D55F1">
            <w:pPr>
              <w:spacing w:line="240" w:lineRule="auto"/>
              <w:ind w:firstLine="0" w:firstLineChars="0"/>
              <w:jc w:val="center"/>
              <w:rPr>
                <w:rFonts w:hint="default" w:ascii="Times New Roman" w:hAnsi="Times New Roman" w:eastAsia="宋体" w:cs="Times New Roman"/>
                <w:i w:val="0"/>
                <w:iCs w:val="0"/>
                <w:color w:val="000000"/>
                <w:sz w:val="18"/>
                <w:szCs w:val="18"/>
                <w:u w:val="none"/>
              </w:rPr>
            </w:pPr>
          </w:p>
        </w:tc>
        <w:tc>
          <w:tcPr>
            <w:tcW w:w="398" w:type="pct"/>
            <w:tcBorders>
              <w:top w:val="nil"/>
              <w:left w:val="nil"/>
              <w:bottom w:val="single" w:color="000000" w:sz="8" w:space="0"/>
              <w:right w:val="single" w:color="000000" w:sz="8" w:space="0"/>
            </w:tcBorders>
            <w:noWrap w:val="0"/>
            <w:vAlign w:val="center"/>
          </w:tcPr>
          <w:p w14:paraId="10A0DF14">
            <w:pPr>
              <w:spacing w:line="240" w:lineRule="auto"/>
              <w:ind w:firstLine="0" w:firstLineChars="0"/>
              <w:jc w:val="center"/>
              <w:rPr>
                <w:rFonts w:hint="default" w:ascii="Times New Roman" w:hAnsi="Times New Roman" w:eastAsia="宋体" w:cs="Times New Roman"/>
                <w:i w:val="0"/>
                <w:iCs w:val="0"/>
                <w:color w:val="000000"/>
                <w:sz w:val="18"/>
                <w:szCs w:val="18"/>
                <w:u w:val="none"/>
              </w:rPr>
            </w:pPr>
          </w:p>
        </w:tc>
        <w:tc>
          <w:tcPr>
            <w:tcW w:w="398" w:type="pct"/>
            <w:tcBorders>
              <w:top w:val="nil"/>
              <w:left w:val="nil"/>
              <w:bottom w:val="single" w:color="000000" w:sz="8" w:space="0"/>
              <w:right w:val="single" w:color="000000" w:sz="8" w:space="0"/>
            </w:tcBorders>
            <w:noWrap w:val="0"/>
            <w:vAlign w:val="center"/>
          </w:tcPr>
          <w:p w14:paraId="49829336">
            <w:pPr>
              <w:spacing w:line="240" w:lineRule="auto"/>
              <w:ind w:firstLine="0" w:firstLineChars="0"/>
              <w:jc w:val="center"/>
              <w:rPr>
                <w:rFonts w:hint="default" w:ascii="Times New Roman" w:hAnsi="Times New Roman" w:eastAsia="宋体" w:cs="Times New Roman"/>
                <w:i w:val="0"/>
                <w:iCs w:val="0"/>
                <w:color w:val="000000"/>
                <w:sz w:val="18"/>
                <w:szCs w:val="18"/>
                <w:u w:val="none"/>
              </w:rPr>
            </w:pPr>
          </w:p>
        </w:tc>
        <w:tc>
          <w:tcPr>
            <w:tcW w:w="346" w:type="pct"/>
            <w:tcBorders>
              <w:top w:val="nil"/>
              <w:left w:val="nil"/>
              <w:bottom w:val="single" w:color="000000" w:sz="8" w:space="0"/>
              <w:right w:val="single" w:color="000000" w:sz="8" w:space="0"/>
            </w:tcBorders>
            <w:noWrap w:val="0"/>
            <w:vAlign w:val="center"/>
          </w:tcPr>
          <w:p w14:paraId="6B14D8A3">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color w:val="000000"/>
                <w:kern w:val="0"/>
                <w:sz w:val="18"/>
                <w:szCs w:val="18"/>
                <w:u w:val="none"/>
                <w:lang w:val="en-US" w:eastAsia="zh-CN" w:bidi="ar"/>
              </w:rPr>
              <w:t>142.4</w:t>
            </w:r>
          </w:p>
        </w:tc>
        <w:tc>
          <w:tcPr>
            <w:tcW w:w="326" w:type="pct"/>
            <w:tcBorders>
              <w:top w:val="nil"/>
              <w:left w:val="nil"/>
              <w:bottom w:val="single" w:color="000000" w:sz="8" w:space="0"/>
              <w:right w:val="single" w:color="000000" w:sz="8" w:space="0"/>
            </w:tcBorders>
            <w:noWrap w:val="0"/>
            <w:vAlign w:val="center"/>
          </w:tcPr>
          <w:p w14:paraId="491A4FC3">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color w:val="000000"/>
                <w:kern w:val="0"/>
                <w:sz w:val="18"/>
                <w:szCs w:val="18"/>
                <w:u w:val="none"/>
                <w:lang w:val="en-US" w:eastAsia="zh-CN" w:bidi="ar"/>
              </w:rPr>
              <w:t>142.4</w:t>
            </w:r>
          </w:p>
        </w:tc>
        <w:tc>
          <w:tcPr>
            <w:tcW w:w="837" w:type="pct"/>
            <w:gridSpan w:val="3"/>
            <w:tcBorders>
              <w:top w:val="nil"/>
              <w:left w:val="nil"/>
              <w:bottom w:val="single" w:color="000000" w:sz="8" w:space="0"/>
              <w:right w:val="single" w:color="000000" w:sz="8" w:space="0"/>
            </w:tcBorders>
            <w:noWrap w:val="0"/>
            <w:vAlign w:val="center"/>
          </w:tcPr>
          <w:p w14:paraId="6248A200">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2"/>
                <w:szCs w:val="12"/>
                <w:u w:val="none"/>
              </w:rPr>
            </w:pPr>
            <w:r>
              <w:rPr>
                <w:rFonts w:hint="eastAsia" w:ascii="宋体" w:hAnsi="宋体" w:eastAsia="宋体" w:cs="宋体"/>
                <w:i w:val="0"/>
                <w:iCs w:val="0"/>
                <w:color w:val="000000"/>
                <w:kern w:val="0"/>
                <w:sz w:val="12"/>
                <w:szCs w:val="12"/>
                <w:u w:val="none"/>
                <w:lang w:val="en-US" w:eastAsia="zh-CN" w:bidi="ar"/>
              </w:rPr>
              <w:t>参考财建</w:t>
            </w:r>
            <w:r>
              <w:rPr>
                <w:rFonts w:hint="default" w:ascii="Times New Roman" w:hAnsi="Times New Roman" w:eastAsia="宋体" w:cs="Times New Roman"/>
                <w:i w:val="0"/>
                <w:iCs w:val="0"/>
                <w:color w:val="000000"/>
                <w:kern w:val="0"/>
                <w:sz w:val="12"/>
                <w:szCs w:val="12"/>
                <w:u w:val="none"/>
                <w:lang w:val="en-US" w:eastAsia="zh-CN" w:bidi="ar"/>
              </w:rPr>
              <w:t>[2016]504</w:t>
            </w:r>
            <w:r>
              <w:rPr>
                <w:rFonts w:hint="eastAsia" w:ascii="宋体" w:hAnsi="宋体" w:eastAsia="宋体" w:cs="宋体"/>
                <w:i w:val="0"/>
                <w:iCs w:val="0"/>
                <w:color w:val="000000"/>
                <w:kern w:val="0"/>
                <w:sz w:val="12"/>
                <w:szCs w:val="12"/>
                <w:u w:val="none"/>
                <w:lang w:val="en-US" w:eastAsia="zh-CN" w:bidi="ar"/>
              </w:rPr>
              <w:t>号，分档内插，费率不同，下浮</w:t>
            </w:r>
            <w:r>
              <w:rPr>
                <w:rFonts w:hint="default" w:ascii="Times New Roman" w:hAnsi="Times New Roman" w:eastAsia="宋体" w:cs="Times New Roman"/>
                <w:i w:val="0"/>
                <w:iCs w:val="0"/>
                <w:color w:val="000000"/>
                <w:kern w:val="0"/>
                <w:sz w:val="12"/>
                <w:szCs w:val="12"/>
                <w:u w:val="none"/>
                <w:lang w:val="en-US" w:eastAsia="zh-CN" w:bidi="ar"/>
              </w:rPr>
              <w:t>20%</w:t>
            </w:r>
          </w:p>
        </w:tc>
        <w:tc>
          <w:tcPr>
            <w:tcW w:w="329" w:type="pct"/>
            <w:tcBorders>
              <w:top w:val="nil"/>
              <w:left w:val="nil"/>
              <w:bottom w:val="single" w:color="000000" w:sz="8" w:space="0"/>
              <w:right w:val="single" w:color="000000" w:sz="8" w:space="0"/>
            </w:tcBorders>
            <w:noWrap w:val="0"/>
            <w:vAlign w:val="center"/>
          </w:tcPr>
          <w:p w14:paraId="026C48A2">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b/>
                <w:bCs/>
                <w:i w:val="0"/>
                <w:iCs w:val="0"/>
                <w:color w:val="000000"/>
                <w:sz w:val="18"/>
                <w:szCs w:val="18"/>
                <w:u w:val="none"/>
              </w:rPr>
            </w:pPr>
            <w:r>
              <w:rPr>
                <w:rFonts w:hint="default" w:ascii="Times New Roman" w:hAnsi="Times New Roman" w:eastAsia="宋体" w:cs="Times New Roman"/>
                <w:b/>
                <w:bCs/>
                <w:i w:val="0"/>
                <w:iCs w:val="0"/>
                <w:color w:val="000000"/>
                <w:kern w:val="0"/>
                <w:sz w:val="18"/>
                <w:szCs w:val="18"/>
                <w:u w:val="none"/>
                <w:lang w:val="en-US" w:eastAsia="zh-CN" w:bidi="ar"/>
              </w:rPr>
              <w:t>1.40%</w:t>
            </w:r>
          </w:p>
        </w:tc>
        <w:tc>
          <w:tcPr>
            <w:tcW w:w="1013" w:type="pct"/>
            <w:tcBorders>
              <w:top w:val="nil"/>
              <w:left w:val="nil"/>
              <w:bottom w:val="single" w:color="000000" w:sz="8" w:space="0"/>
              <w:right w:val="single" w:color="000000" w:sz="8" w:space="0"/>
            </w:tcBorders>
            <w:noWrap w:val="0"/>
            <w:vAlign w:val="center"/>
          </w:tcPr>
          <w:p w14:paraId="32FC63F3">
            <w:pPr>
              <w:spacing w:line="240" w:lineRule="auto"/>
              <w:ind w:firstLine="0" w:firstLineChars="0"/>
              <w:jc w:val="center"/>
              <w:rPr>
                <w:rFonts w:hint="default" w:ascii="Times New Roman" w:hAnsi="Times New Roman" w:eastAsia="宋体" w:cs="Times New Roman"/>
                <w:i w:val="0"/>
                <w:iCs w:val="0"/>
                <w:color w:val="000000"/>
                <w:sz w:val="18"/>
                <w:szCs w:val="18"/>
                <w:u w:val="none"/>
              </w:rPr>
            </w:pPr>
          </w:p>
        </w:tc>
      </w:tr>
      <w:tr w14:paraId="1C51C5A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3" w:hRule="atLeast"/>
        </w:trPr>
        <w:tc>
          <w:tcPr>
            <w:tcW w:w="273" w:type="pct"/>
            <w:tcBorders>
              <w:top w:val="nil"/>
              <w:left w:val="single" w:color="000000" w:sz="8" w:space="0"/>
              <w:bottom w:val="single" w:color="000000" w:sz="8" w:space="0"/>
              <w:right w:val="single" w:color="000000" w:sz="8" w:space="0"/>
            </w:tcBorders>
            <w:noWrap w:val="0"/>
            <w:vAlign w:val="center"/>
          </w:tcPr>
          <w:p w14:paraId="4DCEBCA9">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color w:val="000000"/>
                <w:kern w:val="0"/>
                <w:sz w:val="18"/>
                <w:szCs w:val="18"/>
                <w:u w:val="none"/>
                <w:lang w:val="en-US" w:eastAsia="zh-CN" w:bidi="ar"/>
              </w:rPr>
              <w:t>3</w:t>
            </w:r>
          </w:p>
        </w:tc>
        <w:tc>
          <w:tcPr>
            <w:tcW w:w="675" w:type="pct"/>
            <w:tcBorders>
              <w:top w:val="nil"/>
              <w:left w:val="nil"/>
              <w:bottom w:val="single" w:color="000000" w:sz="8" w:space="0"/>
              <w:right w:val="single" w:color="000000" w:sz="8" w:space="0"/>
            </w:tcBorders>
            <w:noWrap w:val="0"/>
            <w:vAlign w:val="center"/>
          </w:tcPr>
          <w:p w14:paraId="0B133405">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工程勘察费</w:t>
            </w:r>
          </w:p>
        </w:tc>
        <w:tc>
          <w:tcPr>
            <w:tcW w:w="398" w:type="pct"/>
            <w:tcBorders>
              <w:top w:val="nil"/>
              <w:left w:val="nil"/>
              <w:bottom w:val="single" w:color="000000" w:sz="8" w:space="0"/>
              <w:right w:val="single" w:color="000000" w:sz="8" w:space="0"/>
            </w:tcBorders>
            <w:noWrap w:val="0"/>
            <w:vAlign w:val="center"/>
          </w:tcPr>
          <w:p w14:paraId="32E6FCA6">
            <w:pPr>
              <w:spacing w:line="240" w:lineRule="auto"/>
              <w:ind w:firstLine="0" w:firstLineChars="0"/>
              <w:jc w:val="center"/>
              <w:rPr>
                <w:rFonts w:hint="default" w:ascii="Times New Roman" w:hAnsi="Times New Roman" w:eastAsia="宋体" w:cs="Times New Roman"/>
                <w:i w:val="0"/>
                <w:iCs w:val="0"/>
                <w:color w:val="000000"/>
                <w:sz w:val="18"/>
                <w:szCs w:val="18"/>
                <w:u w:val="none"/>
              </w:rPr>
            </w:pPr>
          </w:p>
        </w:tc>
        <w:tc>
          <w:tcPr>
            <w:tcW w:w="398" w:type="pct"/>
            <w:tcBorders>
              <w:top w:val="nil"/>
              <w:left w:val="nil"/>
              <w:bottom w:val="single" w:color="000000" w:sz="8" w:space="0"/>
              <w:right w:val="single" w:color="000000" w:sz="8" w:space="0"/>
            </w:tcBorders>
            <w:noWrap w:val="0"/>
            <w:vAlign w:val="center"/>
          </w:tcPr>
          <w:p w14:paraId="23F8134D">
            <w:pPr>
              <w:spacing w:line="240" w:lineRule="auto"/>
              <w:ind w:firstLine="0" w:firstLineChars="0"/>
              <w:jc w:val="center"/>
              <w:rPr>
                <w:rFonts w:hint="default" w:ascii="Times New Roman" w:hAnsi="Times New Roman" w:eastAsia="宋体" w:cs="Times New Roman"/>
                <w:i w:val="0"/>
                <w:iCs w:val="0"/>
                <w:color w:val="000000"/>
                <w:sz w:val="18"/>
                <w:szCs w:val="18"/>
                <w:u w:val="none"/>
              </w:rPr>
            </w:pPr>
          </w:p>
        </w:tc>
        <w:tc>
          <w:tcPr>
            <w:tcW w:w="398" w:type="pct"/>
            <w:tcBorders>
              <w:top w:val="nil"/>
              <w:left w:val="nil"/>
              <w:bottom w:val="single" w:color="000000" w:sz="8" w:space="0"/>
              <w:right w:val="single" w:color="000000" w:sz="8" w:space="0"/>
            </w:tcBorders>
            <w:noWrap w:val="0"/>
            <w:vAlign w:val="center"/>
          </w:tcPr>
          <w:p w14:paraId="4AA55E07">
            <w:pPr>
              <w:spacing w:line="240" w:lineRule="auto"/>
              <w:ind w:firstLine="0" w:firstLineChars="0"/>
              <w:jc w:val="center"/>
              <w:rPr>
                <w:rFonts w:hint="default" w:ascii="Times New Roman" w:hAnsi="Times New Roman" w:eastAsia="宋体" w:cs="Times New Roman"/>
                <w:i w:val="0"/>
                <w:iCs w:val="0"/>
                <w:color w:val="000000"/>
                <w:sz w:val="18"/>
                <w:szCs w:val="18"/>
                <w:u w:val="none"/>
              </w:rPr>
            </w:pPr>
          </w:p>
        </w:tc>
        <w:tc>
          <w:tcPr>
            <w:tcW w:w="346" w:type="pct"/>
            <w:tcBorders>
              <w:top w:val="nil"/>
              <w:left w:val="nil"/>
              <w:bottom w:val="single" w:color="000000" w:sz="8" w:space="0"/>
              <w:right w:val="single" w:color="000000" w:sz="8" w:space="0"/>
            </w:tcBorders>
            <w:noWrap w:val="0"/>
            <w:vAlign w:val="center"/>
          </w:tcPr>
          <w:p w14:paraId="15762B4E">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color w:val="000000"/>
                <w:kern w:val="0"/>
                <w:sz w:val="18"/>
                <w:szCs w:val="18"/>
                <w:u w:val="none"/>
                <w:lang w:val="en-US" w:eastAsia="zh-CN" w:bidi="ar"/>
              </w:rPr>
              <w:t>67.41</w:t>
            </w:r>
          </w:p>
        </w:tc>
        <w:tc>
          <w:tcPr>
            <w:tcW w:w="326" w:type="pct"/>
            <w:tcBorders>
              <w:top w:val="nil"/>
              <w:left w:val="nil"/>
              <w:bottom w:val="single" w:color="000000" w:sz="8" w:space="0"/>
              <w:right w:val="single" w:color="000000" w:sz="8" w:space="0"/>
            </w:tcBorders>
            <w:noWrap w:val="0"/>
            <w:vAlign w:val="center"/>
          </w:tcPr>
          <w:p w14:paraId="587A1FDC">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color w:val="000000"/>
                <w:kern w:val="0"/>
                <w:sz w:val="18"/>
                <w:szCs w:val="18"/>
                <w:u w:val="none"/>
                <w:lang w:val="en-US" w:eastAsia="zh-CN" w:bidi="ar"/>
              </w:rPr>
              <w:t>67.41</w:t>
            </w:r>
          </w:p>
        </w:tc>
        <w:tc>
          <w:tcPr>
            <w:tcW w:w="837" w:type="pct"/>
            <w:gridSpan w:val="3"/>
            <w:tcBorders>
              <w:top w:val="nil"/>
              <w:left w:val="nil"/>
              <w:bottom w:val="single" w:color="000000" w:sz="8" w:space="0"/>
              <w:right w:val="single" w:color="000000" w:sz="8" w:space="0"/>
            </w:tcBorders>
            <w:noWrap w:val="0"/>
            <w:vAlign w:val="center"/>
          </w:tcPr>
          <w:p w14:paraId="3F92195C">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2"/>
                <w:szCs w:val="12"/>
                <w:u w:val="none"/>
              </w:rPr>
            </w:pPr>
            <w:r>
              <w:rPr>
                <w:rFonts w:hint="eastAsia" w:ascii="宋体" w:hAnsi="宋体" w:eastAsia="宋体" w:cs="宋体"/>
                <w:i w:val="0"/>
                <w:iCs w:val="0"/>
                <w:color w:val="000000"/>
                <w:kern w:val="0"/>
                <w:sz w:val="12"/>
                <w:szCs w:val="12"/>
                <w:u w:val="none"/>
                <w:lang w:val="en-US" w:eastAsia="zh-CN" w:bidi="ar"/>
              </w:rPr>
              <w:t>参考发改价格</w:t>
            </w:r>
            <w:r>
              <w:rPr>
                <w:rFonts w:hint="default" w:ascii="Times New Roman" w:hAnsi="Times New Roman" w:eastAsia="宋体" w:cs="Times New Roman"/>
                <w:i w:val="0"/>
                <w:iCs w:val="0"/>
                <w:color w:val="000000"/>
                <w:kern w:val="0"/>
                <w:sz w:val="12"/>
                <w:szCs w:val="12"/>
                <w:u w:val="none"/>
                <w:lang w:val="en-US" w:eastAsia="zh-CN" w:bidi="ar"/>
              </w:rPr>
              <w:t>[2015]299</w:t>
            </w:r>
            <w:r>
              <w:rPr>
                <w:rFonts w:hint="eastAsia" w:ascii="宋体" w:hAnsi="宋体" w:eastAsia="宋体" w:cs="宋体"/>
                <w:i w:val="0"/>
                <w:iCs w:val="0"/>
                <w:color w:val="000000"/>
                <w:kern w:val="0"/>
                <w:sz w:val="12"/>
                <w:szCs w:val="12"/>
                <w:u w:val="none"/>
                <w:lang w:val="en-US" w:eastAsia="zh-CN" w:bidi="ar"/>
              </w:rPr>
              <w:t>号文，参考计价格</w:t>
            </w:r>
            <w:r>
              <w:rPr>
                <w:rFonts w:hint="default" w:ascii="Times New Roman" w:hAnsi="Times New Roman" w:eastAsia="宋体" w:cs="Times New Roman"/>
                <w:i w:val="0"/>
                <w:iCs w:val="0"/>
                <w:color w:val="000000"/>
                <w:kern w:val="0"/>
                <w:sz w:val="12"/>
                <w:szCs w:val="12"/>
                <w:u w:val="none"/>
                <w:lang w:val="en-US" w:eastAsia="zh-CN" w:bidi="ar"/>
              </w:rPr>
              <w:t>[2002]10</w:t>
            </w:r>
            <w:r>
              <w:rPr>
                <w:rFonts w:hint="eastAsia" w:ascii="宋体" w:hAnsi="宋体" w:eastAsia="宋体" w:cs="宋体"/>
                <w:i w:val="0"/>
                <w:iCs w:val="0"/>
                <w:color w:val="000000"/>
                <w:kern w:val="0"/>
                <w:sz w:val="12"/>
                <w:szCs w:val="12"/>
                <w:u w:val="none"/>
                <w:lang w:val="en-US" w:eastAsia="zh-CN" w:bidi="ar"/>
              </w:rPr>
              <w:t>号取，下浮</w:t>
            </w:r>
            <w:r>
              <w:rPr>
                <w:rFonts w:hint="default" w:ascii="Times New Roman" w:hAnsi="Times New Roman" w:eastAsia="宋体" w:cs="Times New Roman"/>
                <w:i w:val="0"/>
                <w:iCs w:val="0"/>
                <w:color w:val="000000"/>
                <w:kern w:val="0"/>
                <w:sz w:val="12"/>
                <w:szCs w:val="12"/>
                <w:u w:val="none"/>
                <w:lang w:val="en-US" w:eastAsia="zh-CN" w:bidi="ar"/>
              </w:rPr>
              <w:t>20%</w:t>
            </w:r>
          </w:p>
        </w:tc>
        <w:tc>
          <w:tcPr>
            <w:tcW w:w="329" w:type="pct"/>
            <w:tcBorders>
              <w:top w:val="nil"/>
              <w:left w:val="nil"/>
              <w:bottom w:val="single" w:color="000000" w:sz="8" w:space="0"/>
              <w:right w:val="single" w:color="000000" w:sz="8" w:space="0"/>
            </w:tcBorders>
            <w:noWrap w:val="0"/>
            <w:vAlign w:val="center"/>
          </w:tcPr>
          <w:p w14:paraId="2C90E84A">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b/>
                <w:bCs/>
                <w:i w:val="0"/>
                <w:iCs w:val="0"/>
                <w:color w:val="000000"/>
                <w:sz w:val="18"/>
                <w:szCs w:val="18"/>
                <w:u w:val="none"/>
              </w:rPr>
            </w:pPr>
            <w:r>
              <w:rPr>
                <w:rFonts w:hint="default" w:ascii="Times New Roman" w:hAnsi="Times New Roman" w:eastAsia="宋体" w:cs="Times New Roman"/>
                <w:b/>
                <w:bCs/>
                <w:i w:val="0"/>
                <w:iCs w:val="0"/>
                <w:color w:val="000000"/>
                <w:kern w:val="0"/>
                <w:sz w:val="18"/>
                <w:szCs w:val="18"/>
                <w:u w:val="none"/>
                <w:lang w:val="en-US" w:eastAsia="zh-CN" w:bidi="ar"/>
              </w:rPr>
              <w:t>0.66%</w:t>
            </w:r>
          </w:p>
        </w:tc>
        <w:tc>
          <w:tcPr>
            <w:tcW w:w="1013" w:type="pct"/>
            <w:tcBorders>
              <w:top w:val="nil"/>
              <w:left w:val="nil"/>
              <w:bottom w:val="single" w:color="000000" w:sz="8" w:space="0"/>
              <w:right w:val="single" w:color="000000" w:sz="8" w:space="0"/>
            </w:tcBorders>
            <w:noWrap w:val="0"/>
            <w:vAlign w:val="center"/>
          </w:tcPr>
          <w:p w14:paraId="17369328">
            <w:pPr>
              <w:spacing w:line="240" w:lineRule="auto"/>
              <w:ind w:firstLine="0" w:firstLineChars="0"/>
              <w:jc w:val="center"/>
              <w:rPr>
                <w:rFonts w:hint="default" w:ascii="Times New Roman" w:hAnsi="Times New Roman" w:eastAsia="宋体" w:cs="Times New Roman"/>
                <w:i w:val="0"/>
                <w:iCs w:val="0"/>
                <w:color w:val="000000"/>
                <w:sz w:val="18"/>
                <w:szCs w:val="18"/>
                <w:u w:val="none"/>
              </w:rPr>
            </w:pPr>
          </w:p>
        </w:tc>
      </w:tr>
      <w:tr w14:paraId="51C5DCD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3" w:hRule="atLeast"/>
        </w:trPr>
        <w:tc>
          <w:tcPr>
            <w:tcW w:w="273" w:type="pct"/>
            <w:tcBorders>
              <w:top w:val="nil"/>
              <w:left w:val="single" w:color="000000" w:sz="8" w:space="0"/>
              <w:bottom w:val="single" w:color="000000" w:sz="8" w:space="0"/>
              <w:right w:val="single" w:color="000000" w:sz="8" w:space="0"/>
            </w:tcBorders>
            <w:noWrap w:val="0"/>
            <w:vAlign w:val="center"/>
          </w:tcPr>
          <w:p w14:paraId="1BC372CC">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color w:val="000000"/>
                <w:kern w:val="0"/>
                <w:sz w:val="18"/>
                <w:szCs w:val="18"/>
                <w:u w:val="none"/>
                <w:lang w:val="en-US" w:eastAsia="zh-CN" w:bidi="ar"/>
              </w:rPr>
              <w:t>4</w:t>
            </w:r>
          </w:p>
        </w:tc>
        <w:tc>
          <w:tcPr>
            <w:tcW w:w="675" w:type="pct"/>
            <w:tcBorders>
              <w:top w:val="nil"/>
              <w:left w:val="nil"/>
              <w:bottom w:val="single" w:color="000000" w:sz="8" w:space="0"/>
              <w:right w:val="single" w:color="000000" w:sz="8" w:space="0"/>
            </w:tcBorders>
            <w:noWrap w:val="0"/>
            <w:vAlign w:val="center"/>
          </w:tcPr>
          <w:p w14:paraId="7DE25CE6">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工程设计费</w:t>
            </w:r>
          </w:p>
        </w:tc>
        <w:tc>
          <w:tcPr>
            <w:tcW w:w="398" w:type="pct"/>
            <w:tcBorders>
              <w:top w:val="nil"/>
              <w:left w:val="nil"/>
              <w:bottom w:val="single" w:color="000000" w:sz="8" w:space="0"/>
              <w:right w:val="single" w:color="000000" w:sz="8" w:space="0"/>
            </w:tcBorders>
            <w:noWrap w:val="0"/>
            <w:vAlign w:val="center"/>
          </w:tcPr>
          <w:p w14:paraId="00FF604E">
            <w:pPr>
              <w:spacing w:line="240" w:lineRule="auto"/>
              <w:ind w:firstLine="0" w:firstLineChars="0"/>
              <w:jc w:val="center"/>
              <w:rPr>
                <w:rFonts w:hint="default" w:ascii="Times New Roman" w:hAnsi="Times New Roman" w:eastAsia="宋体" w:cs="Times New Roman"/>
                <w:i w:val="0"/>
                <w:iCs w:val="0"/>
                <w:color w:val="000000"/>
                <w:sz w:val="18"/>
                <w:szCs w:val="18"/>
                <w:u w:val="none"/>
              </w:rPr>
            </w:pPr>
          </w:p>
        </w:tc>
        <w:tc>
          <w:tcPr>
            <w:tcW w:w="398" w:type="pct"/>
            <w:tcBorders>
              <w:top w:val="nil"/>
              <w:left w:val="nil"/>
              <w:bottom w:val="single" w:color="000000" w:sz="8" w:space="0"/>
              <w:right w:val="single" w:color="000000" w:sz="8" w:space="0"/>
            </w:tcBorders>
            <w:noWrap w:val="0"/>
            <w:vAlign w:val="center"/>
          </w:tcPr>
          <w:p w14:paraId="1EAE14D9">
            <w:pPr>
              <w:spacing w:line="240" w:lineRule="auto"/>
              <w:ind w:firstLine="0" w:firstLineChars="0"/>
              <w:jc w:val="center"/>
              <w:rPr>
                <w:rFonts w:hint="default" w:ascii="Times New Roman" w:hAnsi="Times New Roman" w:eastAsia="宋体" w:cs="Times New Roman"/>
                <w:i w:val="0"/>
                <w:iCs w:val="0"/>
                <w:color w:val="000000"/>
                <w:sz w:val="18"/>
                <w:szCs w:val="18"/>
                <w:u w:val="none"/>
              </w:rPr>
            </w:pPr>
          </w:p>
        </w:tc>
        <w:tc>
          <w:tcPr>
            <w:tcW w:w="398" w:type="pct"/>
            <w:tcBorders>
              <w:top w:val="nil"/>
              <w:left w:val="nil"/>
              <w:bottom w:val="single" w:color="000000" w:sz="8" w:space="0"/>
              <w:right w:val="single" w:color="000000" w:sz="8" w:space="0"/>
            </w:tcBorders>
            <w:noWrap w:val="0"/>
            <w:vAlign w:val="center"/>
          </w:tcPr>
          <w:p w14:paraId="799DBC9C">
            <w:pPr>
              <w:spacing w:line="240" w:lineRule="auto"/>
              <w:ind w:firstLine="0" w:firstLineChars="0"/>
              <w:jc w:val="center"/>
              <w:rPr>
                <w:rFonts w:hint="default" w:ascii="Times New Roman" w:hAnsi="Times New Roman" w:eastAsia="宋体" w:cs="Times New Roman"/>
                <w:i w:val="0"/>
                <w:iCs w:val="0"/>
                <w:color w:val="000000"/>
                <w:sz w:val="18"/>
                <w:szCs w:val="18"/>
                <w:u w:val="none"/>
              </w:rPr>
            </w:pPr>
          </w:p>
        </w:tc>
        <w:tc>
          <w:tcPr>
            <w:tcW w:w="346" w:type="pct"/>
            <w:tcBorders>
              <w:top w:val="nil"/>
              <w:left w:val="nil"/>
              <w:bottom w:val="single" w:color="000000" w:sz="8" w:space="0"/>
              <w:right w:val="single" w:color="000000" w:sz="8" w:space="0"/>
            </w:tcBorders>
            <w:noWrap w:val="0"/>
            <w:vAlign w:val="center"/>
          </w:tcPr>
          <w:p w14:paraId="744B0D0D">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color w:val="000000"/>
                <w:kern w:val="0"/>
                <w:sz w:val="18"/>
                <w:szCs w:val="18"/>
                <w:u w:val="none"/>
                <w:lang w:val="en-US" w:eastAsia="zh-CN" w:bidi="ar"/>
              </w:rPr>
              <w:t>240.15</w:t>
            </w:r>
          </w:p>
        </w:tc>
        <w:tc>
          <w:tcPr>
            <w:tcW w:w="326" w:type="pct"/>
            <w:tcBorders>
              <w:top w:val="nil"/>
              <w:left w:val="nil"/>
              <w:bottom w:val="single" w:color="000000" w:sz="8" w:space="0"/>
              <w:right w:val="single" w:color="000000" w:sz="8" w:space="0"/>
            </w:tcBorders>
            <w:noWrap w:val="0"/>
            <w:vAlign w:val="center"/>
          </w:tcPr>
          <w:p w14:paraId="271FDABF">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color w:val="000000"/>
                <w:kern w:val="0"/>
                <w:sz w:val="18"/>
                <w:szCs w:val="18"/>
                <w:u w:val="none"/>
                <w:lang w:val="en-US" w:eastAsia="zh-CN" w:bidi="ar"/>
              </w:rPr>
              <w:t>240.15</w:t>
            </w:r>
          </w:p>
        </w:tc>
        <w:tc>
          <w:tcPr>
            <w:tcW w:w="837" w:type="pct"/>
            <w:gridSpan w:val="3"/>
            <w:tcBorders>
              <w:top w:val="nil"/>
              <w:left w:val="nil"/>
              <w:bottom w:val="single" w:color="000000" w:sz="8" w:space="0"/>
              <w:right w:val="single" w:color="000000" w:sz="8" w:space="0"/>
            </w:tcBorders>
            <w:noWrap w:val="0"/>
            <w:vAlign w:val="center"/>
          </w:tcPr>
          <w:p w14:paraId="51E1A40E">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2"/>
                <w:szCs w:val="12"/>
                <w:u w:val="none"/>
              </w:rPr>
            </w:pPr>
            <w:r>
              <w:rPr>
                <w:rFonts w:hint="eastAsia" w:ascii="宋体" w:hAnsi="宋体" w:eastAsia="宋体" w:cs="宋体"/>
                <w:i w:val="0"/>
                <w:iCs w:val="0"/>
                <w:color w:val="000000"/>
                <w:kern w:val="0"/>
                <w:sz w:val="12"/>
                <w:szCs w:val="12"/>
                <w:u w:val="none"/>
                <w:lang w:val="en-US" w:eastAsia="zh-CN" w:bidi="ar"/>
              </w:rPr>
              <w:t>参考发改价格</w:t>
            </w:r>
            <w:r>
              <w:rPr>
                <w:rFonts w:hint="default" w:ascii="Times New Roman" w:hAnsi="Times New Roman" w:eastAsia="宋体" w:cs="Times New Roman"/>
                <w:i w:val="0"/>
                <w:iCs w:val="0"/>
                <w:color w:val="000000"/>
                <w:kern w:val="0"/>
                <w:sz w:val="12"/>
                <w:szCs w:val="12"/>
                <w:u w:val="none"/>
                <w:lang w:val="en-US" w:eastAsia="zh-CN" w:bidi="ar"/>
              </w:rPr>
              <w:t>[2015]299</w:t>
            </w:r>
            <w:r>
              <w:rPr>
                <w:rFonts w:hint="eastAsia" w:ascii="宋体" w:hAnsi="宋体" w:eastAsia="宋体" w:cs="宋体"/>
                <w:i w:val="0"/>
                <w:iCs w:val="0"/>
                <w:color w:val="000000"/>
                <w:kern w:val="0"/>
                <w:sz w:val="12"/>
                <w:szCs w:val="12"/>
                <w:u w:val="none"/>
                <w:lang w:val="en-US" w:eastAsia="zh-CN" w:bidi="ar"/>
              </w:rPr>
              <w:t>号文，参考计价格</w:t>
            </w:r>
            <w:r>
              <w:rPr>
                <w:rFonts w:hint="default" w:ascii="Times New Roman" w:hAnsi="Times New Roman" w:eastAsia="宋体" w:cs="Times New Roman"/>
                <w:i w:val="0"/>
                <w:iCs w:val="0"/>
                <w:color w:val="000000"/>
                <w:kern w:val="0"/>
                <w:sz w:val="12"/>
                <w:szCs w:val="12"/>
                <w:u w:val="none"/>
                <w:lang w:val="en-US" w:eastAsia="zh-CN" w:bidi="ar"/>
              </w:rPr>
              <w:t>[2002]10</w:t>
            </w:r>
            <w:r>
              <w:rPr>
                <w:rFonts w:hint="eastAsia" w:ascii="宋体" w:hAnsi="宋体" w:eastAsia="宋体" w:cs="宋体"/>
                <w:i w:val="0"/>
                <w:iCs w:val="0"/>
                <w:color w:val="000000"/>
                <w:kern w:val="0"/>
                <w:sz w:val="12"/>
                <w:szCs w:val="12"/>
                <w:u w:val="none"/>
                <w:lang w:val="en-US" w:eastAsia="zh-CN" w:bidi="ar"/>
              </w:rPr>
              <w:t>号取，下浮</w:t>
            </w:r>
            <w:r>
              <w:rPr>
                <w:rFonts w:hint="default" w:ascii="Times New Roman" w:hAnsi="Times New Roman" w:eastAsia="宋体" w:cs="Times New Roman"/>
                <w:i w:val="0"/>
                <w:iCs w:val="0"/>
                <w:color w:val="000000"/>
                <w:kern w:val="0"/>
                <w:sz w:val="12"/>
                <w:szCs w:val="12"/>
                <w:u w:val="none"/>
                <w:lang w:val="en-US" w:eastAsia="zh-CN" w:bidi="ar"/>
              </w:rPr>
              <w:t>20%</w:t>
            </w:r>
          </w:p>
        </w:tc>
        <w:tc>
          <w:tcPr>
            <w:tcW w:w="329" w:type="pct"/>
            <w:tcBorders>
              <w:top w:val="nil"/>
              <w:left w:val="nil"/>
              <w:bottom w:val="single" w:color="000000" w:sz="8" w:space="0"/>
              <w:right w:val="single" w:color="000000" w:sz="8" w:space="0"/>
            </w:tcBorders>
            <w:noWrap w:val="0"/>
            <w:vAlign w:val="center"/>
          </w:tcPr>
          <w:p w14:paraId="3B584CE3">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b/>
                <w:bCs/>
                <w:i w:val="0"/>
                <w:iCs w:val="0"/>
                <w:color w:val="000000"/>
                <w:sz w:val="18"/>
                <w:szCs w:val="18"/>
                <w:u w:val="none"/>
              </w:rPr>
            </w:pPr>
            <w:r>
              <w:rPr>
                <w:rFonts w:hint="default" w:ascii="Times New Roman" w:hAnsi="Times New Roman" w:eastAsia="宋体" w:cs="Times New Roman"/>
                <w:b/>
                <w:bCs/>
                <w:i w:val="0"/>
                <w:iCs w:val="0"/>
                <w:color w:val="000000"/>
                <w:kern w:val="0"/>
                <w:sz w:val="18"/>
                <w:szCs w:val="18"/>
                <w:u w:val="none"/>
                <w:lang w:val="en-US" w:eastAsia="zh-CN" w:bidi="ar"/>
              </w:rPr>
              <w:t>2.35%</w:t>
            </w:r>
          </w:p>
        </w:tc>
        <w:tc>
          <w:tcPr>
            <w:tcW w:w="1013" w:type="pct"/>
            <w:tcBorders>
              <w:top w:val="nil"/>
              <w:left w:val="nil"/>
              <w:bottom w:val="single" w:color="000000" w:sz="8" w:space="0"/>
              <w:right w:val="single" w:color="000000" w:sz="8" w:space="0"/>
            </w:tcBorders>
            <w:noWrap w:val="0"/>
            <w:vAlign w:val="center"/>
          </w:tcPr>
          <w:p w14:paraId="0627444B">
            <w:pPr>
              <w:spacing w:line="240" w:lineRule="auto"/>
              <w:ind w:firstLine="0" w:firstLineChars="0"/>
              <w:jc w:val="center"/>
              <w:rPr>
                <w:rFonts w:hint="default" w:ascii="Times New Roman" w:hAnsi="Times New Roman" w:eastAsia="宋体" w:cs="Times New Roman"/>
                <w:i w:val="0"/>
                <w:iCs w:val="0"/>
                <w:color w:val="000000"/>
                <w:sz w:val="18"/>
                <w:szCs w:val="18"/>
                <w:u w:val="none"/>
              </w:rPr>
            </w:pPr>
          </w:p>
        </w:tc>
      </w:tr>
      <w:tr w14:paraId="12F1816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3" w:hRule="atLeast"/>
        </w:trPr>
        <w:tc>
          <w:tcPr>
            <w:tcW w:w="273" w:type="pct"/>
            <w:tcBorders>
              <w:top w:val="nil"/>
              <w:left w:val="single" w:color="000000" w:sz="8" w:space="0"/>
              <w:bottom w:val="single" w:color="000000" w:sz="8" w:space="0"/>
              <w:right w:val="single" w:color="000000" w:sz="8" w:space="0"/>
            </w:tcBorders>
            <w:noWrap w:val="0"/>
            <w:vAlign w:val="center"/>
          </w:tcPr>
          <w:p w14:paraId="0473A87F">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color w:val="000000"/>
                <w:kern w:val="0"/>
                <w:sz w:val="18"/>
                <w:szCs w:val="18"/>
                <w:u w:val="none"/>
                <w:lang w:val="en-US" w:eastAsia="zh-CN" w:bidi="ar"/>
              </w:rPr>
              <w:t>5</w:t>
            </w:r>
          </w:p>
        </w:tc>
        <w:tc>
          <w:tcPr>
            <w:tcW w:w="675" w:type="pct"/>
            <w:tcBorders>
              <w:top w:val="nil"/>
              <w:left w:val="nil"/>
              <w:bottom w:val="single" w:color="000000" w:sz="8" w:space="0"/>
              <w:right w:val="single" w:color="000000" w:sz="8" w:space="0"/>
            </w:tcBorders>
            <w:noWrap w:val="0"/>
            <w:vAlign w:val="center"/>
          </w:tcPr>
          <w:p w14:paraId="470F5B3A">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工程造价咨询服务费</w:t>
            </w:r>
          </w:p>
        </w:tc>
        <w:tc>
          <w:tcPr>
            <w:tcW w:w="398" w:type="pct"/>
            <w:tcBorders>
              <w:top w:val="nil"/>
              <w:left w:val="nil"/>
              <w:bottom w:val="single" w:color="000000" w:sz="8" w:space="0"/>
              <w:right w:val="single" w:color="000000" w:sz="8" w:space="0"/>
            </w:tcBorders>
            <w:noWrap w:val="0"/>
            <w:vAlign w:val="center"/>
          </w:tcPr>
          <w:p w14:paraId="44CAC008">
            <w:pPr>
              <w:spacing w:line="240" w:lineRule="auto"/>
              <w:ind w:firstLine="0" w:firstLineChars="0"/>
              <w:jc w:val="center"/>
              <w:rPr>
                <w:rFonts w:hint="default" w:ascii="Times New Roman" w:hAnsi="Times New Roman" w:eastAsia="宋体" w:cs="Times New Roman"/>
                <w:i w:val="0"/>
                <w:iCs w:val="0"/>
                <w:color w:val="000000"/>
                <w:sz w:val="18"/>
                <w:szCs w:val="18"/>
                <w:u w:val="none"/>
              </w:rPr>
            </w:pPr>
          </w:p>
        </w:tc>
        <w:tc>
          <w:tcPr>
            <w:tcW w:w="398" w:type="pct"/>
            <w:tcBorders>
              <w:top w:val="nil"/>
              <w:left w:val="nil"/>
              <w:bottom w:val="single" w:color="000000" w:sz="8" w:space="0"/>
              <w:right w:val="single" w:color="000000" w:sz="8" w:space="0"/>
            </w:tcBorders>
            <w:noWrap w:val="0"/>
            <w:vAlign w:val="center"/>
          </w:tcPr>
          <w:p w14:paraId="54CBFF2B">
            <w:pPr>
              <w:spacing w:line="240" w:lineRule="auto"/>
              <w:ind w:firstLine="0" w:firstLineChars="0"/>
              <w:jc w:val="center"/>
              <w:rPr>
                <w:rFonts w:hint="default" w:ascii="Times New Roman" w:hAnsi="Times New Roman" w:eastAsia="宋体" w:cs="Times New Roman"/>
                <w:i w:val="0"/>
                <w:iCs w:val="0"/>
                <w:color w:val="000000"/>
                <w:sz w:val="18"/>
                <w:szCs w:val="18"/>
                <w:u w:val="none"/>
              </w:rPr>
            </w:pPr>
          </w:p>
        </w:tc>
        <w:tc>
          <w:tcPr>
            <w:tcW w:w="398" w:type="pct"/>
            <w:tcBorders>
              <w:top w:val="nil"/>
              <w:left w:val="nil"/>
              <w:bottom w:val="single" w:color="000000" w:sz="8" w:space="0"/>
              <w:right w:val="single" w:color="000000" w:sz="8" w:space="0"/>
            </w:tcBorders>
            <w:noWrap w:val="0"/>
            <w:vAlign w:val="center"/>
          </w:tcPr>
          <w:p w14:paraId="3CFC0BEB">
            <w:pPr>
              <w:spacing w:line="240" w:lineRule="auto"/>
              <w:ind w:firstLine="0" w:firstLineChars="0"/>
              <w:jc w:val="center"/>
              <w:rPr>
                <w:rFonts w:hint="default" w:ascii="Times New Roman" w:hAnsi="Times New Roman" w:eastAsia="宋体" w:cs="Times New Roman"/>
                <w:i w:val="0"/>
                <w:iCs w:val="0"/>
                <w:color w:val="000000"/>
                <w:sz w:val="18"/>
                <w:szCs w:val="18"/>
                <w:u w:val="none"/>
              </w:rPr>
            </w:pPr>
          </w:p>
        </w:tc>
        <w:tc>
          <w:tcPr>
            <w:tcW w:w="346" w:type="pct"/>
            <w:tcBorders>
              <w:top w:val="nil"/>
              <w:left w:val="nil"/>
              <w:bottom w:val="single" w:color="000000" w:sz="8" w:space="0"/>
              <w:right w:val="single" w:color="000000" w:sz="8" w:space="0"/>
            </w:tcBorders>
            <w:noWrap w:val="0"/>
            <w:vAlign w:val="center"/>
          </w:tcPr>
          <w:p w14:paraId="025B3E13">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color w:val="000000"/>
                <w:kern w:val="0"/>
                <w:sz w:val="18"/>
                <w:szCs w:val="18"/>
                <w:u w:val="none"/>
                <w:lang w:val="en-US" w:eastAsia="zh-CN" w:bidi="ar"/>
              </w:rPr>
              <w:t>150.88</w:t>
            </w:r>
          </w:p>
        </w:tc>
        <w:tc>
          <w:tcPr>
            <w:tcW w:w="326" w:type="pct"/>
            <w:tcBorders>
              <w:top w:val="nil"/>
              <w:left w:val="nil"/>
              <w:bottom w:val="single" w:color="000000" w:sz="8" w:space="0"/>
              <w:right w:val="single" w:color="000000" w:sz="8" w:space="0"/>
            </w:tcBorders>
            <w:noWrap w:val="0"/>
            <w:vAlign w:val="center"/>
          </w:tcPr>
          <w:p w14:paraId="1BFD3D68">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color w:val="000000"/>
                <w:kern w:val="0"/>
                <w:sz w:val="18"/>
                <w:szCs w:val="18"/>
                <w:u w:val="none"/>
                <w:lang w:val="en-US" w:eastAsia="zh-CN" w:bidi="ar"/>
              </w:rPr>
              <w:t>150.88</w:t>
            </w:r>
          </w:p>
        </w:tc>
        <w:tc>
          <w:tcPr>
            <w:tcW w:w="837" w:type="pct"/>
            <w:gridSpan w:val="3"/>
            <w:tcBorders>
              <w:top w:val="nil"/>
              <w:left w:val="nil"/>
              <w:bottom w:val="single" w:color="000000" w:sz="8" w:space="0"/>
              <w:right w:val="single" w:color="000000" w:sz="8" w:space="0"/>
            </w:tcBorders>
            <w:noWrap w:val="0"/>
            <w:vAlign w:val="center"/>
          </w:tcPr>
          <w:p w14:paraId="321D3878">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2"/>
                <w:szCs w:val="12"/>
                <w:u w:val="none"/>
              </w:rPr>
            </w:pPr>
            <w:r>
              <w:rPr>
                <w:rFonts w:hint="eastAsia" w:ascii="宋体" w:hAnsi="宋体" w:eastAsia="宋体" w:cs="宋体"/>
                <w:i w:val="0"/>
                <w:iCs w:val="0"/>
                <w:color w:val="000000"/>
                <w:kern w:val="0"/>
                <w:sz w:val="12"/>
                <w:szCs w:val="12"/>
                <w:u w:val="none"/>
                <w:lang w:val="en-US" w:eastAsia="zh-CN" w:bidi="ar"/>
              </w:rPr>
              <w:t>参考川建价师协</w:t>
            </w:r>
            <w:r>
              <w:rPr>
                <w:rFonts w:hint="default" w:ascii="Times New Roman" w:hAnsi="Times New Roman" w:eastAsia="宋体" w:cs="Times New Roman"/>
                <w:i w:val="0"/>
                <w:iCs w:val="0"/>
                <w:color w:val="000000"/>
                <w:kern w:val="0"/>
                <w:sz w:val="12"/>
                <w:szCs w:val="12"/>
                <w:u w:val="none"/>
                <w:lang w:val="en-US" w:eastAsia="zh-CN" w:bidi="ar"/>
              </w:rPr>
              <w:t>[2022]56</w:t>
            </w:r>
            <w:r>
              <w:rPr>
                <w:rFonts w:hint="eastAsia" w:ascii="宋体" w:hAnsi="宋体" w:eastAsia="宋体" w:cs="宋体"/>
                <w:i w:val="0"/>
                <w:iCs w:val="0"/>
                <w:color w:val="000000"/>
                <w:kern w:val="0"/>
                <w:sz w:val="12"/>
                <w:szCs w:val="12"/>
                <w:u w:val="none"/>
                <w:lang w:val="en-US" w:eastAsia="zh-CN" w:bidi="ar"/>
              </w:rPr>
              <w:t>号取，下浮</w:t>
            </w:r>
            <w:r>
              <w:rPr>
                <w:rFonts w:hint="default" w:ascii="Times New Roman" w:hAnsi="Times New Roman" w:eastAsia="宋体" w:cs="Times New Roman"/>
                <w:i w:val="0"/>
                <w:iCs w:val="0"/>
                <w:color w:val="000000"/>
                <w:kern w:val="0"/>
                <w:sz w:val="12"/>
                <w:szCs w:val="12"/>
                <w:u w:val="none"/>
                <w:lang w:val="en-US" w:eastAsia="zh-CN" w:bidi="ar"/>
              </w:rPr>
              <w:t>20%</w:t>
            </w:r>
          </w:p>
        </w:tc>
        <w:tc>
          <w:tcPr>
            <w:tcW w:w="329" w:type="pct"/>
            <w:tcBorders>
              <w:top w:val="nil"/>
              <w:left w:val="nil"/>
              <w:bottom w:val="single" w:color="000000" w:sz="8" w:space="0"/>
              <w:right w:val="single" w:color="000000" w:sz="8" w:space="0"/>
            </w:tcBorders>
            <w:noWrap w:val="0"/>
            <w:vAlign w:val="center"/>
          </w:tcPr>
          <w:p w14:paraId="43DA10B1">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b/>
                <w:bCs/>
                <w:i w:val="0"/>
                <w:iCs w:val="0"/>
                <w:color w:val="000000"/>
                <w:sz w:val="18"/>
                <w:szCs w:val="18"/>
                <w:u w:val="none"/>
              </w:rPr>
            </w:pPr>
            <w:r>
              <w:rPr>
                <w:rFonts w:hint="default" w:ascii="Times New Roman" w:hAnsi="Times New Roman" w:eastAsia="宋体" w:cs="Times New Roman"/>
                <w:b/>
                <w:bCs/>
                <w:i w:val="0"/>
                <w:iCs w:val="0"/>
                <w:color w:val="000000"/>
                <w:kern w:val="0"/>
                <w:sz w:val="18"/>
                <w:szCs w:val="18"/>
                <w:u w:val="none"/>
                <w:lang w:val="en-US" w:eastAsia="zh-CN" w:bidi="ar"/>
              </w:rPr>
              <w:t>1.48%</w:t>
            </w:r>
          </w:p>
        </w:tc>
        <w:tc>
          <w:tcPr>
            <w:tcW w:w="1013" w:type="pct"/>
            <w:tcBorders>
              <w:top w:val="nil"/>
              <w:left w:val="nil"/>
              <w:bottom w:val="single" w:color="000000" w:sz="8" w:space="0"/>
              <w:right w:val="single" w:color="000000" w:sz="8" w:space="0"/>
            </w:tcBorders>
            <w:noWrap w:val="0"/>
            <w:vAlign w:val="center"/>
          </w:tcPr>
          <w:p w14:paraId="33045CEF">
            <w:pPr>
              <w:spacing w:line="240" w:lineRule="auto"/>
              <w:ind w:firstLine="0" w:firstLineChars="0"/>
              <w:jc w:val="center"/>
              <w:rPr>
                <w:rFonts w:hint="default" w:ascii="Times New Roman" w:hAnsi="Times New Roman" w:eastAsia="宋体" w:cs="Times New Roman"/>
                <w:i w:val="0"/>
                <w:iCs w:val="0"/>
                <w:color w:val="000000"/>
                <w:sz w:val="18"/>
                <w:szCs w:val="18"/>
                <w:u w:val="none"/>
              </w:rPr>
            </w:pPr>
          </w:p>
        </w:tc>
      </w:tr>
      <w:tr w14:paraId="675EC93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3" w:hRule="atLeast"/>
        </w:trPr>
        <w:tc>
          <w:tcPr>
            <w:tcW w:w="273" w:type="pct"/>
            <w:tcBorders>
              <w:top w:val="nil"/>
              <w:left w:val="single" w:color="000000" w:sz="8" w:space="0"/>
              <w:bottom w:val="single" w:color="000000" w:sz="8" w:space="0"/>
              <w:right w:val="single" w:color="000000" w:sz="8" w:space="0"/>
            </w:tcBorders>
            <w:noWrap w:val="0"/>
            <w:vAlign w:val="center"/>
          </w:tcPr>
          <w:p w14:paraId="0EBD25BC">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color w:val="000000"/>
                <w:kern w:val="0"/>
                <w:sz w:val="18"/>
                <w:szCs w:val="18"/>
                <w:u w:val="none"/>
                <w:lang w:val="en-US" w:eastAsia="zh-CN" w:bidi="ar"/>
              </w:rPr>
              <w:t>6</w:t>
            </w:r>
          </w:p>
        </w:tc>
        <w:tc>
          <w:tcPr>
            <w:tcW w:w="675" w:type="pct"/>
            <w:tcBorders>
              <w:top w:val="nil"/>
              <w:left w:val="nil"/>
              <w:bottom w:val="single" w:color="000000" w:sz="8" w:space="0"/>
              <w:right w:val="single" w:color="000000" w:sz="8" w:space="0"/>
            </w:tcBorders>
            <w:noWrap w:val="0"/>
            <w:vAlign w:val="center"/>
          </w:tcPr>
          <w:p w14:paraId="1EF6DDCC">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工程监理费</w:t>
            </w:r>
          </w:p>
        </w:tc>
        <w:tc>
          <w:tcPr>
            <w:tcW w:w="398" w:type="pct"/>
            <w:tcBorders>
              <w:top w:val="nil"/>
              <w:left w:val="nil"/>
              <w:bottom w:val="single" w:color="000000" w:sz="8" w:space="0"/>
              <w:right w:val="single" w:color="000000" w:sz="8" w:space="0"/>
            </w:tcBorders>
            <w:noWrap w:val="0"/>
            <w:vAlign w:val="center"/>
          </w:tcPr>
          <w:p w14:paraId="026AC422">
            <w:pPr>
              <w:spacing w:line="240" w:lineRule="auto"/>
              <w:ind w:firstLine="0" w:firstLineChars="0"/>
              <w:jc w:val="center"/>
              <w:rPr>
                <w:rFonts w:hint="default" w:ascii="Times New Roman" w:hAnsi="Times New Roman" w:eastAsia="宋体" w:cs="Times New Roman"/>
                <w:i w:val="0"/>
                <w:iCs w:val="0"/>
                <w:color w:val="000000"/>
                <w:sz w:val="18"/>
                <w:szCs w:val="18"/>
                <w:u w:val="none"/>
              </w:rPr>
            </w:pPr>
          </w:p>
        </w:tc>
        <w:tc>
          <w:tcPr>
            <w:tcW w:w="398" w:type="pct"/>
            <w:tcBorders>
              <w:top w:val="nil"/>
              <w:left w:val="nil"/>
              <w:bottom w:val="single" w:color="000000" w:sz="8" w:space="0"/>
              <w:right w:val="single" w:color="000000" w:sz="8" w:space="0"/>
            </w:tcBorders>
            <w:noWrap w:val="0"/>
            <w:vAlign w:val="center"/>
          </w:tcPr>
          <w:p w14:paraId="5191CEEE">
            <w:pPr>
              <w:spacing w:line="240" w:lineRule="auto"/>
              <w:ind w:firstLine="0" w:firstLineChars="0"/>
              <w:jc w:val="center"/>
              <w:rPr>
                <w:rFonts w:hint="default" w:ascii="Times New Roman" w:hAnsi="Times New Roman" w:eastAsia="宋体" w:cs="Times New Roman"/>
                <w:i w:val="0"/>
                <w:iCs w:val="0"/>
                <w:color w:val="000000"/>
                <w:sz w:val="18"/>
                <w:szCs w:val="18"/>
                <w:u w:val="none"/>
              </w:rPr>
            </w:pPr>
          </w:p>
        </w:tc>
        <w:tc>
          <w:tcPr>
            <w:tcW w:w="398" w:type="pct"/>
            <w:tcBorders>
              <w:top w:val="nil"/>
              <w:left w:val="nil"/>
              <w:bottom w:val="single" w:color="000000" w:sz="8" w:space="0"/>
              <w:right w:val="single" w:color="000000" w:sz="8" w:space="0"/>
            </w:tcBorders>
            <w:noWrap w:val="0"/>
            <w:vAlign w:val="center"/>
          </w:tcPr>
          <w:p w14:paraId="5C13A884">
            <w:pPr>
              <w:spacing w:line="240" w:lineRule="auto"/>
              <w:ind w:firstLine="0" w:firstLineChars="0"/>
              <w:jc w:val="center"/>
              <w:rPr>
                <w:rFonts w:hint="default" w:ascii="Times New Roman" w:hAnsi="Times New Roman" w:eastAsia="宋体" w:cs="Times New Roman"/>
                <w:i w:val="0"/>
                <w:iCs w:val="0"/>
                <w:color w:val="000000"/>
                <w:sz w:val="18"/>
                <w:szCs w:val="18"/>
                <w:u w:val="none"/>
              </w:rPr>
            </w:pPr>
          </w:p>
        </w:tc>
        <w:tc>
          <w:tcPr>
            <w:tcW w:w="346" w:type="pct"/>
            <w:tcBorders>
              <w:top w:val="nil"/>
              <w:left w:val="nil"/>
              <w:bottom w:val="single" w:color="000000" w:sz="8" w:space="0"/>
              <w:right w:val="single" w:color="000000" w:sz="8" w:space="0"/>
            </w:tcBorders>
            <w:noWrap w:val="0"/>
            <w:vAlign w:val="center"/>
          </w:tcPr>
          <w:p w14:paraId="28421573">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color w:val="000000"/>
                <w:kern w:val="0"/>
                <w:sz w:val="18"/>
                <w:szCs w:val="18"/>
                <w:u w:val="none"/>
                <w:lang w:val="en-US" w:eastAsia="zh-CN" w:bidi="ar"/>
              </w:rPr>
              <w:t>174.28</w:t>
            </w:r>
          </w:p>
        </w:tc>
        <w:tc>
          <w:tcPr>
            <w:tcW w:w="326" w:type="pct"/>
            <w:tcBorders>
              <w:top w:val="nil"/>
              <w:left w:val="nil"/>
              <w:bottom w:val="single" w:color="000000" w:sz="8" w:space="0"/>
              <w:right w:val="single" w:color="000000" w:sz="8" w:space="0"/>
            </w:tcBorders>
            <w:noWrap w:val="0"/>
            <w:vAlign w:val="center"/>
          </w:tcPr>
          <w:p w14:paraId="42D46E67">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color w:val="000000"/>
                <w:kern w:val="0"/>
                <w:sz w:val="18"/>
                <w:szCs w:val="18"/>
                <w:u w:val="none"/>
                <w:lang w:val="en-US" w:eastAsia="zh-CN" w:bidi="ar"/>
              </w:rPr>
              <w:t>174.28</w:t>
            </w:r>
          </w:p>
        </w:tc>
        <w:tc>
          <w:tcPr>
            <w:tcW w:w="837" w:type="pct"/>
            <w:gridSpan w:val="3"/>
            <w:tcBorders>
              <w:top w:val="nil"/>
              <w:left w:val="nil"/>
              <w:bottom w:val="single" w:color="000000" w:sz="8" w:space="0"/>
              <w:right w:val="single" w:color="000000" w:sz="8" w:space="0"/>
            </w:tcBorders>
            <w:noWrap w:val="0"/>
            <w:vAlign w:val="center"/>
          </w:tcPr>
          <w:p w14:paraId="7AE9F5AB">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2"/>
                <w:szCs w:val="12"/>
                <w:u w:val="none"/>
              </w:rPr>
            </w:pPr>
            <w:r>
              <w:rPr>
                <w:rFonts w:hint="eastAsia" w:ascii="宋体" w:hAnsi="宋体" w:eastAsia="宋体" w:cs="宋体"/>
                <w:i w:val="0"/>
                <w:iCs w:val="0"/>
                <w:color w:val="000000"/>
                <w:kern w:val="0"/>
                <w:sz w:val="12"/>
                <w:szCs w:val="12"/>
                <w:u w:val="none"/>
                <w:lang w:val="en-US" w:eastAsia="zh-CN" w:bidi="ar"/>
              </w:rPr>
              <w:t>发改价格</w:t>
            </w:r>
            <w:r>
              <w:rPr>
                <w:rFonts w:hint="default" w:ascii="Times New Roman" w:hAnsi="Times New Roman" w:eastAsia="宋体" w:cs="Times New Roman"/>
                <w:i w:val="0"/>
                <w:iCs w:val="0"/>
                <w:color w:val="000000"/>
                <w:kern w:val="0"/>
                <w:sz w:val="12"/>
                <w:szCs w:val="12"/>
                <w:u w:val="none"/>
                <w:lang w:val="en-US" w:eastAsia="zh-CN" w:bidi="ar"/>
              </w:rPr>
              <w:t>[2015]299</w:t>
            </w:r>
            <w:r>
              <w:rPr>
                <w:rFonts w:hint="eastAsia" w:ascii="宋体" w:hAnsi="宋体" w:eastAsia="宋体" w:cs="宋体"/>
                <w:i w:val="0"/>
                <w:iCs w:val="0"/>
                <w:color w:val="000000"/>
                <w:kern w:val="0"/>
                <w:sz w:val="12"/>
                <w:szCs w:val="12"/>
                <w:u w:val="none"/>
                <w:lang w:val="en-US" w:eastAsia="zh-CN" w:bidi="ar"/>
              </w:rPr>
              <w:t>号文，参考发改价格</w:t>
            </w:r>
            <w:r>
              <w:rPr>
                <w:rFonts w:hint="default" w:ascii="Times New Roman" w:hAnsi="Times New Roman" w:eastAsia="宋体" w:cs="Times New Roman"/>
                <w:i w:val="0"/>
                <w:iCs w:val="0"/>
                <w:color w:val="000000"/>
                <w:kern w:val="0"/>
                <w:sz w:val="12"/>
                <w:szCs w:val="12"/>
                <w:u w:val="none"/>
                <w:lang w:val="en-US" w:eastAsia="zh-CN" w:bidi="ar"/>
              </w:rPr>
              <w:t>[2007]670</w:t>
            </w:r>
            <w:r>
              <w:rPr>
                <w:rFonts w:hint="eastAsia" w:ascii="宋体" w:hAnsi="宋体" w:eastAsia="宋体" w:cs="宋体"/>
                <w:i w:val="0"/>
                <w:iCs w:val="0"/>
                <w:color w:val="000000"/>
                <w:kern w:val="0"/>
                <w:sz w:val="12"/>
                <w:szCs w:val="12"/>
                <w:u w:val="none"/>
                <w:lang w:val="en-US" w:eastAsia="zh-CN" w:bidi="ar"/>
              </w:rPr>
              <w:t>号取，下浮</w:t>
            </w:r>
            <w:r>
              <w:rPr>
                <w:rFonts w:hint="default" w:ascii="Times New Roman" w:hAnsi="Times New Roman" w:eastAsia="宋体" w:cs="Times New Roman"/>
                <w:i w:val="0"/>
                <w:iCs w:val="0"/>
                <w:color w:val="000000"/>
                <w:kern w:val="0"/>
                <w:sz w:val="12"/>
                <w:szCs w:val="12"/>
                <w:u w:val="none"/>
                <w:lang w:val="en-US" w:eastAsia="zh-CN" w:bidi="ar"/>
              </w:rPr>
              <w:t>20%</w:t>
            </w:r>
          </w:p>
        </w:tc>
        <w:tc>
          <w:tcPr>
            <w:tcW w:w="329" w:type="pct"/>
            <w:tcBorders>
              <w:top w:val="nil"/>
              <w:left w:val="nil"/>
              <w:bottom w:val="single" w:color="000000" w:sz="8" w:space="0"/>
              <w:right w:val="single" w:color="000000" w:sz="8" w:space="0"/>
            </w:tcBorders>
            <w:noWrap w:val="0"/>
            <w:vAlign w:val="center"/>
          </w:tcPr>
          <w:p w14:paraId="2C915460">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b/>
                <w:bCs/>
                <w:i w:val="0"/>
                <w:iCs w:val="0"/>
                <w:color w:val="000000"/>
                <w:sz w:val="18"/>
                <w:szCs w:val="18"/>
                <w:u w:val="none"/>
              </w:rPr>
            </w:pPr>
            <w:r>
              <w:rPr>
                <w:rFonts w:hint="default" w:ascii="Times New Roman" w:hAnsi="Times New Roman" w:eastAsia="宋体" w:cs="Times New Roman"/>
                <w:b/>
                <w:bCs/>
                <w:i w:val="0"/>
                <w:iCs w:val="0"/>
                <w:color w:val="000000"/>
                <w:kern w:val="0"/>
                <w:sz w:val="18"/>
                <w:szCs w:val="18"/>
                <w:u w:val="none"/>
                <w:lang w:val="en-US" w:eastAsia="zh-CN" w:bidi="ar"/>
              </w:rPr>
              <w:t>1.71%</w:t>
            </w:r>
          </w:p>
        </w:tc>
        <w:tc>
          <w:tcPr>
            <w:tcW w:w="1013" w:type="pct"/>
            <w:tcBorders>
              <w:top w:val="nil"/>
              <w:left w:val="nil"/>
              <w:bottom w:val="single" w:color="000000" w:sz="8" w:space="0"/>
              <w:right w:val="single" w:color="000000" w:sz="8" w:space="0"/>
            </w:tcBorders>
            <w:noWrap w:val="0"/>
            <w:vAlign w:val="center"/>
          </w:tcPr>
          <w:p w14:paraId="178F24CF">
            <w:pPr>
              <w:spacing w:line="240" w:lineRule="auto"/>
              <w:ind w:firstLine="0" w:firstLineChars="0"/>
              <w:jc w:val="center"/>
              <w:rPr>
                <w:rFonts w:hint="default" w:ascii="Times New Roman" w:hAnsi="Times New Roman" w:eastAsia="宋体" w:cs="Times New Roman"/>
                <w:i w:val="0"/>
                <w:iCs w:val="0"/>
                <w:color w:val="000000"/>
                <w:sz w:val="18"/>
                <w:szCs w:val="18"/>
                <w:u w:val="none"/>
              </w:rPr>
            </w:pPr>
          </w:p>
        </w:tc>
      </w:tr>
      <w:tr w14:paraId="03438C7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3" w:hRule="atLeast"/>
        </w:trPr>
        <w:tc>
          <w:tcPr>
            <w:tcW w:w="273" w:type="pct"/>
            <w:tcBorders>
              <w:top w:val="nil"/>
              <w:left w:val="single" w:color="000000" w:sz="8" w:space="0"/>
              <w:bottom w:val="single" w:color="000000" w:sz="8" w:space="0"/>
              <w:right w:val="single" w:color="000000" w:sz="8" w:space="0"/>
            </w:tcBorders>
            <w:noWrap w:val="0"/>
            <w:vAlign w:val="center"/>
          </w:tcPr>
          <w:p w14:paraId="766BBCDB">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color w:val="000000"/>
                <w:kern w:val="0"/>
                <w:sz w:val="18"/>
                <w:szCs w:val="18"/>
                <w:u w:val="none"/>
                <w:lang w:val="en-US" w:eastAsia="zh-CN" w:bidi="ar"/>
              </w:rPr>
              <w:t>7</w:t>
            </w:r>
          </w:p>
        </w:tc>
        <w:tc>
          <w:tcPr>
            <w:tcW w:w="675" w:type="pct"/>
            <w:tcBorders>
              <w:top w:val="nil"/>
              <w:left w:val="nil"/>
              <w:bottom w:val="single" w:color="000000" w:sz="8" w:space="0"/>
              <w:right w:val="single" w:color="000000" w:sz="8" w:space="0"/>
            </w:tcBorders>
            <w:noWrap w:val="0"/>
            <w:vAlign w:val="center"/>
          </w:tcPr>
          <w:p w14:paraId="40B61EF6">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招标代理服务费</w:t>
            </w:r>
          </w:p>
        </w:tc>
        <w:tc>
          <w:tcPr>
            <w:tcW w:w="398" w:type="pct"/>
            <w:tcBorders>
              <w:top w:val="nil"/>
              <w:left w:val="nil"/>
              <w:bottom w:val="single" w:color="000000" w:sz="8" w:space="0"/>
              <w:right w:val="single" w:color="000000" w:sz="8" w:space="0"/>
            </w:tcBorders>
            <w:noWrap w:val="0"/>
            <w:vAlign w:val="center"/>
          </w:tcPr>
          <w:p w14:paraId="77AA889D">
            <w:pPr>
              <w:spacing w:line="240" w:lineRule="auto"/>
              <w:ind w:firstLine="0" w:firstLineChars="0"/>
              <w:jc w:val="center"/>
              <w:rPr>
                <w:rFonts w:hint="default" w:ascii="Times New Roman" w:hAnsi="Times New Roman" w:eastAsia="宋体" w:cs="Times New Roman"/>
                <w:i w:val="0"/>
                <w:iCs w:val="0"/>
                <w:color w:val="000000"/>
                <w:sz w:val="18"/>
                <w:szCs w:val="18"/>
                <w:u w:val="none"/>
              </w:rPr>
            </w:pPr>
          </w:p>
        </w:tc>
        <w:tc>
          <w:tcPr>
            <w:tcW w:w="398" w:type="pct"/>
            <w:tcBorders>
              <w:top w:val="nil"/>
              <w:left w:val="nil"/>
              <w:bottom w:val="single" w:color="000000" w:sz="8" w:space="0"/>
              <w:right w:val="single" w:color="000000" w:sz="8" w:space="0"/>
            </w:tcBorders>
            <w:noWrap w:val="0"/>
            <w:vAlign w:val="center"/>
          </w:tcPr>
          <w:p w14:paraId="62AA1E3D">
            <w:pPr>
              <w:spacing w:line="240" w:lineRule="auto"/>
              <w:ind w:firstLine="0" w:firstLineChars="0"/>
              <w:jc w:val="center"/>
              <w:rPr>
                <w:rFonts w:hint="default" w:ascii="Times New Roman" w:hAnsi="Times New Roman" w:eastAsia="宋体" w:cs="Times New Roman"/>
                <w:i w:val="0"/>
                <w:iCs w:val="0"/>
                <w:color w:val="000000"/>
                <w:sz w:val="18"/>
                <w:szCs w:val="18"/>
                <w:u w:val="none"/>
              </w:rPr>
            </w:pPr>
          </w:p>
        </w:tc>
        <w:tc>
          <w:tcPr>
            <w:tcW w:w="398" w:type="pct"/>
            <w:tcBorders>
              <w:top w:val="nil"/>
              <w:left w:val="nil"/>
              <w:bottom w:val="single" w:color="000000" w:sz="8" w:space="0"/>
              <w:right w:val="single" w:color="000000" w:sz="8" w:space="0"/>
            </w:tcBorders>
            <w:noWrap w:val="0"/>
            <w:vAlign w:val="center"/>
          </w:tcPr>
          <w:p w14:paraId="14A75FEB">
            <w:pPr>
              <w:spacing w:line="240" w:lineRule="auto"/>
              <w:ind w:firstLine="0" w:firstLineChars="0"/>
              <w:jc w:val="center"/>
              <w:rPr>
                <w:rFonts w:hint="default" w:ascii="Times New Roman" w:hAnsi="Times New Roman" w:eastAsia="宋体" w:cs="Times New Roman"/>
                <w:i w:val="0"/>
                <w:iCs w:val="0"/>
                <w:color w:val="000000"/>
                <w:sz w:val="18"/>
                <w:szCs w:val="18"/>
                <w:u w:val="none"/>
              </w:rPr>
            </w:pPr>
          </w:p>
        </w:tc>
        <w:tc>
          <w:tcPr>
            <w:tcW w:w="346" w:type="pct"/>
            <w:tcBorders>
              <w:top w:val="nil"/>
              <w:left w:val="nil"/>
              <w:bottom w:val="single" w:color="000000" w:sz="8" w:space="0"/>
              <w:right w:val="single" w:color="000000" w:sz="8" w:space="0"/>
            </w:tcBorders>
            <w:noWrap w:val="0"/>
            <w:vAlign w:val="center"/>
          </w:tcPr>
          <w:p w14:paraId="4CF19DBA">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color w:val="000000"/>
                <w:kern w:val="0"/>
                <w:sz w:val="18"/>
                <w:szCs w:val="18"/>
                <w:u w:val="none"/>
                <w:lang w:val="en-US" w:eastAsia="zh-CN" w:bidi="ar"/>
              </w:rPr>
              <w:t>41.22</w:t>
            </w:r>
          </w:p>
        </w:tc>
        <w:tc>
          <w:tcPr>
            <w:tcW w:w="326" w:type="pct"/>
            <w:tcBorders>
              <w:top w:val="nil"/>
              <w:left w:val="nil"/>
              <w:bottom w:val="single" w:color="000000" w:sz="8" w:space="0"/>
              <w:right w:val="single" w:color="000000" w:sz="8" w:space="0"/>
            </w:tcBorders>
            <w:noWrap w:val="0"/>
            <w:vAlign w:val="center"/>
          </w:tcPr>
          <w:p w14:paraId="45B4986B">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color w:val="000000"/>
                <w:kern w:val="0"/>
                <w:sz w:val="18"/>
                <w:szCs w:val="18"/>
                <w:u w:val="none"/>
                <w:lang w:val="en-US" w:eastAsia="zh-CN" w:bidi="ar"/>
              </w:rPr>
              <w:t>41.22</w:t>
            </w:r>
          </w:p>
        </w:tc>
        <w:tc>
          <w:tcPr>
            <w:tcW w:w="837" w:type="pct"/>
            <w:gridSpan w:val="3"/>
            <w:tcBorders>
              <w:top w:val="nil"/>
              <w:left w:val="nil"/>
              <w:bottom w:val="single" w:color="000000" w:sz="8" w:space="0"/>
              <w:right w:val="single" w:color="000000" w:sz="8" w:space="0"/>
            </w:tcBorders>
            <w:noWrap w:val="0"/>
            <w:vAlign w:val="center"/>
          </w:tcPr>
          <w:p w14:paraId="3D5B90FE">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2"/>
                <w:szCs w:val="12"/>
                <w:u w:val="none"/>
              </w:rPr>
            </w:pPr>
            <w:r>
              <w:rPr>
                <w:rFonts w:hint="eastAsia" w:ascii="宋体" w:hAnsi="宋体" w:eastAsia="宋体" w:cs="宋体"/>
                <w:i w:val="0"/>
                <w:iCs w:val="0"/>
                <w:color w:val="000000"/>
                <w:kern w:val="0"/>
                <w:sz w:val="12"/>
                <w:szCs w:val="12"/>
                <w:u w:val="none"/>
                <w:lang w:val="en-US" w:eastAsia="zh-CN" w:bidi="ar"/>
              </w:rPr>
              <w:t>发改价格</w:t>
            </w:r>
            <w:r>
              <w:rPr>
                <w:rFonts w:hint="default" w:ascii="Times New Roman" w:hAnsi="Times New Roman" w:eastAsia="宋体" w:cs="Times New Roman"/>
                <w:i w:val="0"/>
                <w:iCs w:val="0"/>
                <w:color w:val="000000"/>
                <w:kern w:val="0"/>
                <w:sz w:val="12"/>
                <w:szCs w:val="12"/>
                <w:u w:val="none"/>
                <w:lang w:val="en-US" w:eastAsia="zh-CN" w:bidi="ar"/>
              </w:rPr>
              <w:t>[2015]299</w:t>
            </w:r>
            <w:r>
              <w:rPr>
                <w:rFonts w:hint="eastAsia" w:ascii="宋体" w:hAnsi="宋体" w:eastAsia="宋体" w:cs="宋体"/>
                <w:i w:val="0"/>
                <w:iCs w:val="0"/>
                <w:color w:val="000000"/>
                <w:kern w:val="0"/>
                <w:sz w:val="12"/>
                <w:szCs w:val="12"/>
                <w:u w:val="none"/>
                <w:lang w:val="en-US" w:eastAsia="zh-CN" w:bidi="ar"/>
              </w:rPr>
              <w:t>号文，参考计价格</w:t>
            </w:r>
            <w:r>
              <w:rPr>
                <w:rFonts w:hint="default" w:ascii="Times New Roman" w:hAnsi="Times New Roman" w:eastAsia="宋体" w:cs="Times New Roman"/>
                <w:i w:val="0"/>
                <w:iCs w:val="0"/>
                <w:color w:val="000000"/>
                <w:kern w:val="0"/>
                <w:sz w:val="12"/>
                <w:szCs w:val="12"/>
                <w:u w:val="none"/>
                <w:lang w:val="en-US" w:eastAsia="zh-CN" w:bidi="ar"/>
              </w:rPr>
              <w:t>[2002]1980</w:t>
            </w:r>
            <w:r>
              <w:rPr>
                <w:rFonts w:hint="eastAsia" w:ascii="宋体" w:hAnsi="宋体" w:eastAsia="宋体" w:cs="宋体"/>
                <w:i w:val="0"/>
                <w:iCs w:val="0"/>
                <w:color w:val="000000"/>
                <w:kern w:val="0"/>
                <w:sz w:val="12"/>
                <w:szCs w:val="12"/>
                <w:u w:val="none"/>
                <w:lang w:val="en-US" w:eastAsia="zh-CN" w:bidi="ar"/>
              </w:rPr>
              <w:t>号取</w:t>
            </w:r>
          </w:p>
        </w:tc>
        <w:tc>
          <w:tcPr>
            <w:tcW w:w="329" w:type="pct"/>
            <w:tcBorders>
              <w:top w:val="nil"/>
              <w:left w:val="nil"/>
              <w:bottom w:val="single" w:color="000000" w:sz="8" w:space="0"/>
              <w:right w:val="single" w:color="000000" w:sz="8" w:space="0"/>
            </w:tcBorders>
            <w:noWrap w:val="0"/>
            <w:vAlign w:val="center"/>
          </w:tcPr>
          <w:p w14:paraId="6D5B5635">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b/>
                <w:bCs/>
                <w:i w:val="0"/>
                <w:iCs w:val="0"/>
                <w:color w:val="000000"/>
                <w:sz w:val="18"/>
                <w:szCs w:val="18"/>
                <w:u w:val="none"/>
              </w:rPr>
            </w:pPr>
            <w:r>
              <w:rPr>
                <w:rFonts w:hint="default" w:ascii="Times New Roman" w:hAnsi="Times New Roman" w:eastAsia="宋体" w:cs="Times New Roman"/>
                <w:b/>
                <w:bCs/>
                <w:i w:val="0"/>
                <w:iCs w:val="0"/>
                <w:color w:val="000000"/>
                <w:kern w:val="0"/>
                <w:sz w:val="18"/>
                <w:szCs w:val="18"/>
                <w:u w:val="none"/>
                <w:lang w:val="en-US" w:eastAsia="zh-CN" w:bidi="ar"/>
              </w:rPr>
              <w:t>0.40%</w:t>
            </w:r>
          </w:p>
        </w:tc>
        <w:tc>
          <w:tcPr>
            <w:tcW w:w="1013" w:type="pct"/>
            <w:tcBorders>
              <w:top w:val="nil"/>
              <w:left w:val="nil"/>
              <w:bottom w:val="single" w:color="000000" w:sz="8" w:space="0"/>
              <w:right w:val="single" w:color="000000" w:sz="8" w:space="0"/>
            </w:tcBorders>
            <w:noWrap w:val="0"/>
            <w:vAlign w:val="center"/>
          </w:tcPr>
          <w:p w14:paraId="19FD6388">
            <w:pPr>
              <w:spacing w:line="240" w:lineRule="auto"/>
              <w:ind w:firstLine="0" w:firstLineChars="0"/>
              <w:jc w:val="center"/>
              <w:rPr>
                <w:rFonts w:hint="default" w:ascii="Times New Roman" w:hAnsi="Times New Roman" w:eastAsia="宋体" w:cs="Times New Roman"/>
                <w:i w:val="0"/>
                <w:iCs w:val="0"/>
                <w:color w:val="000000"/>
                <w:sz w:val="18"/>
                <w:szCs w:val="18"/>
                <w:u w:val="none"/>
              </w:rPr>
            </w:pPr>
          </w:p>
        </w:tc>
      </w:tr>
      <w:tr w14:paraId="157F12B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3" w:hRule="atLeast"/>
        </w:trPr>
        <w:tc>
          <w:tcPr>
            <w:tcW w:w="273" w:type="pct"/>
            <w:tcBorders>
              <w:top w:val="nil"/>
              <w:left w:val="single" w:color="000000" w:sz="8" w:space="0"/>
              <w:bottom w:val="single" w:color="000000" w:sz="8" w:space="0"/>
              <w:right w:val="single" w:color="000000" w:sz="8" w:space="0"/>
            </w:tcBorders>
            <w:noWrap w:val="0"/>
            <w:vAlign w:val="center"/>
          </w:tcPr>
          <w:p w14:paraId="7BD0C81B">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color w:val="000000"/>
                <w:kern w:val="0"/>
                <w:sz w:val="18"/>
                <w:szCs w:val="18"/>
                <w:u w:val="none"/>
                <w:lang w:val="en-US" w:eastAsia="zh-CN" w:bidi="ar"/>
              </w:rPr>
              <w:t>8</w:t>
            </w:r>
          </w:p>
        </w:tc>
        <w:tc>
          <w:tcPr>
            <w:tcW w:w="675" w:type="pct"/>
            <w:tcBorders>
              <w:top w:val="nil"/>
              <w:left w:val="nil"/>
              <w:bottom w:val="single" w:color="000000" w:sz="8" w:space="0"/>
              <w:right w:val="single" w:color="000000" w:sz="8" w:space="0"/>
            </w:tcBorders>
            <w:noWrap w:val="0"/>
            <w:vAlign w:val="center"/>
          </w:tcPr>
          <w:p w14:paraId="40EEA4E8">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施工图纸审查费</w:t>
            </w:r>
          </w:p>
        </w:tc>
        <w:tc>
          <w:tcPr>
            <w:tcW w:w="398" w:type="pct"/>
            <w:tcBorders>
              <w:top w:val="nil"/>
              <w:left w:val="nil"/>
              <w:bottom w:val="single" w:color="000000" w:sz="8" w:space="0"/>
              <w:right w:val="single" w:color="000000" w:sz="8" w:space="0"/>
            </w:tcBorders>
            <w:noWrap w:val="0"/>
            <w:vAlign w:val="center"/>
          </w:tcPr>
          <w:p w14:paraId="1C57D026">
            <w:pPr>
              <w:spacing w:line="240" w:lineRule="auto"/>
              <w:ind w:firstLine="0" w:firstLineChars="0"/>
              <w:jc w:val="center"/>
              <w:rPr>
                <w:rFonts w:hint="default" w:ascii="Times New Roman" w:hAnsi="Times New Roman" w:eastAsia="宋体" w:cs="Times New Roman"/>
                <w:i w:val="0"/>
                <w:iCs w:val="0"/>
                <w:color w:val="000000"/>
                <w:sz w:val="18"/>
                <w:szCs w:val="18"/>
                <w:u w:val="none"/>
              </w:rPr>
            </w:pPr>
          </w:p>
        </w:tc>
        <w:tc>
          <w:tcPr>
            <w:tcW w:w="398" w:type="pct"/>
            <w:tcBorders>
              <w:top w:val="nil"/>
              <w:left w:val="nil"/>
              <w:bottom w:val="single" w:color="000000" w:sz="8" w:space="0"/>
              <w:right w:val="single" w:color="000000" w:sz="8" w:space="0"/>
            </w:tcBorders>
            <w:noWrap w:val="0"/>
            <w:vAlign w:val="center"/>
          </w:tcPr>
          <w:p w14:paraId="0C991579">
            <w:pPr>
              <w:spacing w:line="240" w:lineRule="auto"/>
              <w:ind w:firstLine="0" w:firstLineChars="0"/>
              <w:jc w:val="center"/>
              <w:rPr>
                <w:rFonts w:hint="default" w:ascii="Times New Roman" w:hAnsi="Times New Roman" w:eastAsia="宋体" w:cs="Times New Roman"/>
                <w:i w:val="0"/>
                <w:iCs w:val="0"/>
                <w:color w:val="000000"/>
                <w:sz w:val="18"/>
                <w:szCs w:val="18"/>
                <w:u w:val="none"/>
              </w:rPr>
            </w:pPr>
          </w:p>
        </w:tc>
        <w:tc>
          <w:tcPr>
            <w:tcW w:w="398" w:type="pct"/>
            <w:tcBorders>
              <w:top w:val="nil"/>
              <w:left w:val="nil"/>
              <w:bottom w:val="single" w:color="000000" w:sz="8" w:space="0"/>
              <w:right w:val="single" w:color="000000" w:sz="8" w:space="0"/>
            </w:tcBorders>
            <w:noWrap w:val="0"/>
            <w:vAlign w:val="center"/>
          </w:tcPr>
          <w:p w14:paraId="3B2FFF61">
            <w:pPr>
              <w:spacing w:line="240" w:lineRule="auto"/>
              <w:ind w:firstLine="0" w:firstLineChars="0"/>
              <w:jc w:val="center"/>
              <w:rPr>
                <w:rFonts w:hint="default" w:ascii="Times New Roman" w:hAnsi="Times New Roman" w:eastAsia="宋体" w:cs="Times New Roman"/>
                <w:i w:val="0"/>
                <w:iCs w:val="0"/>
                <w:color w:val="000000"/>
                <w:sz w:val="18"/>
                <w:szCs w:val="18"/>
                <w:u w:val="none"/>
              </w:rPr>
            </w:pPr>
          </w:p>
        </w:tc>
        <w:tc>
          <w:tcPr>
            <w:tcW w:w="346" w:type="pct"/>
            <w:tcBorders>
              <w:top w:val="nil"/>
              <w:left w:val="nil"/>
              <w:bottom w:val="single" w:color="000000" w:sz="8" w:space="0"/>
              <w:right w:val="single" w:color="000000" w:sz="8" w:space="0"/>
            </w:tcBorders>
            <w:noWrap w:val="0"/>
            <w:vAlign w:val="center"/>
          </w:tcPr>
          <w:p w14:paraId="6EEF1724">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color w:val="000000"/>
                <w:kern w:val="0"/>
                <w:sz w:val="18"/>
                <w:szCs w:val="18"/>
                <w:u w:val="none"/>
                <w:lang w:val="en-US" w:eastAsia="zh-CN" w:bidi="ar"/>
              </w:rPr>
              <w:t>3.77</w:t>
            </w:r>
          </w:p>
        </w:tc>
        <w:tc>
          <w:tcPr>
            <w:tcW w:w="326" w:type="pct"/>
            <w:tcBorders>
              <w:top w:val="nil"/>
              <w:left w:val="nil"/>
              <w:bottom w:val="single" w:color="000000" w:sz="8" w:space="0"/>
              <w:right w:val="single" w:color="000000" w:sz="8" w:space="0"/>
            </w:tcBorders>
            <w:noWrap w:val="0"/>
            <w:vAlign w:val="center"/>
          </w:tcPr>
          <w:p w14:paraId="1EC617CF">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color w:val="000000"/>
                <w:kern w:val="0"/>
                <w:sz w:val="18"/>
                <w:szCs w:val="18"/>
                <w:u w:val="none"/>
                <w:lang w:val="en-US" w:eastAsia="zh-CN" w:bidi="ar"/>
              </w:rPr>
              <w:t>3.77</w:t>
            </w:r>
          </w:p>
        </w:tc>
        <w:tc>
          <w:tcPr>
            <w:tcW w:w="837" w:type="pct"/>
            <w:gridSpan w:val="3"/>
            <w:tcBorders>
              <w:top w:val="nil"/>
              <w:left w:val="nil"/>
              <w:bottom w:val="single" w:color="000000" w:sz="8" w:space="0"/>
              <w:right w:val="single" w:color="000000" w:sz="8" w:space="0"/>
            </w:tcBorders>
            <w:noWrap w:val="0"/>
            <w:vAlign w:val="center"/>
          </w:tcPr>
          <w:p w14:paraId="1A5CF2AD">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2"/>
                <w:szCs w:val="12"/>
                <w:u w:val="none"/>
              </w:rPr>
            </w:pPr>
            <w:r>
              <w:rPr>
                <w:rFonts w:hint="eastAsia" w:ascii="宋体" w:hAnsi="宋体" w:eastAsia="宋体" w:cs="宋体"/>
                <w:i w:val="0"/>
                <w:iCs w:val="0"/>
                <w:color w:val="000000"/>
                <w:kern w:val="0"/>
                <w:sz w:val="12"/>
                <w:szCs w:val="12"/>
                <w:u w:val="none"/>
                <w:lang w:val="en-US" w:eastAsia="zh-CN" w:bidi="ar"/>
              </w:rPr>
              <w:t>参考发改价格</w:t>
            </w:r>
            <w:r>
              <w:rPr>
                <w:rFonts w:hint="default" w:ascii="Times New Roman" w:hAnsi="Times New Roman" w:eastAsia="宋体" w:cs="Times New Roman"/>
                <w:i w:val="0"/>
                <w:iCs w:val="0"/>
                <w:color w:val="000000"/>
                <w:kern w:val="0"/>
                <w:sz w:val="12"/>
                <w:szCs w:val="12"/>
                <w:u w:val="none"/>
                <w:lang w:val="en-US" w:eastAsia="zh-CN" w:bidi="ar"/>
              </w:rPr>
              <w:t>[2011]534</w:t>
            </w:r>
            <w:r>
              <w:rPr>
                <w:rFonts w:hint="eastAsia" w:ascii="宋体" w:hAnsi="宋体" w:eastAsia="宋体" w:cs="宋体"/>
                <w:i w:val="0"/>
                <w:iCs w:val="0"/>
                <w:color w:val="000000"/>
                <w:kern w:val="0"/>
                <w:sz w:val="12"/>
                <w:szCs w:val="12"/>
                <w:u w:val="none"/>
                <w:lang w:val="en-US" w:eastAsia="zh-CN" w:bidi="ar"/>
              </w:rPr>
              <w:t>号取</w:t>
            </w:r>
          </w:p>
        </w:tc>
        <w:tc>
          <w:tcPr>
            <w:tcW w:w="329" w:type="pct"/>
            <w:tcBorders>
              <w:top w:val="nil"/>
              <w:left w:val="nil"/>
              <w:bottom w:val="single" w:color="000000" w:sz="8" w:space="0"/>
              <w:right w:val="single" w:color="000000" w:sz="8" w:space="0"/>
            </w:tcBorders>
            <w:noWrap w:val="0"/>
            <w:vAlign w:val="center"/>
          </w:tcPr>
          <w:p w14:paraId="7B158898">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b/>
                <w:bCs/>
                <w:i w:val="0"/>
                <w:iCs w:val="0"/>
                <w:color w:val="000000"/>
                <w:sz w:val="18"/>
                <w:szCs w:val="18"/>
                <w:u w:val="none"/>
              </w:rPr>
            </w:pPr>
            <w:r>
              <w:rPr>
                <w:rFonts w:hint="default" w:ascii="Times New Roman" w:hAnsi="Times New Roman" w:eastAsia="宋体" w:cs="Times New Roman"/>
                <w:b/>
                <w:bCs/>
                <w:i w:val="0"/>
                <w:iCs w:val="0"/>
                <w:color w:val="000000"/>
                <w:kern w:val="0"/>
                <w:sz w:val="18"/>
                <w:szCs w:val="18"/>
                <w:u w:val="none"/>
                <w:lang w:val="en-US" w:eastAsia="zh-CN" w:bidi="ar"/>
              </w:rPr>
              <w:t>0.04%</w:t>
            </w:r>
          </w:p>
        </w:tc>
        <w:tc>
          <w:tcPr>
            <w:tcW w:w="1013" w:type="pct"/>
            <w:tcBorders>
              <w:top w:val="nil"/>
              <w:left w:val="nil"/>
              <w:bottom w:val="single" w:color="000000" w:sz="8" w:space="0"/>
              <w:right w:val="single" w:color="000000" w:sz="8" w:space="0"/>
            </w:tcBorders>
            <w:noWrap w:val="0"/>
            <w:vAlign w:val="center"/>
          </w:tcPr>
          <w:p w14:paraId="7F49645E">
            <w:pPr>
              <w:spacing w:line="240" w:lineRule="auto"/>
              <w:ind w:firstLine="0" w:firstLineChars="0"/>
              <w:jc w:val="center"/>
              <w:rPr>
                <w:rFonts w:hint="default" w:ascii="Times New Roman" w:hAnsi="Times New Roman" w:eastAsia="宋体" w:cs="Times New Roman"/>
                <w:i w:val="0"/>
                <w:iCs w:val="0"/>
                <w:color w:val="000000"/>
                <w:sz w:val="18"/>
                <w:szCs w:val="18"/>
                <w:u w:val="none"/>
              </w:rPr>
            </w:pPr>
          </w:p>
        </w:tc>
      </w:tr>
      <w:tr w14:paraId="039EBE0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3" w:hRule="atLeast"/>
        </w:trPr>
        <w:tc>
          <w:tcPr>
            <w:tcW w:w="273" w:type="pct"/>
            <w:tcBorders>
              <w:top w:val="nil"/>
              <w:left w:val="single" w:color="000000" w:sz="8" w:space="0"/>
              <w:bottom w:val="single" w:color="000000" w:sz="8" w:space="0"/>
              <w:right w:val="single" w:color="000000" w:sz="8" w:space="0"/>
            </w:tcBorders>
            <w:noWrap w:val="0"/>
            <w:vAlign w:val="center"/>
          </w:tcPr>
          <w:p w14:paraId="07BB7899">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color w:val="000000"/>
                <w:kern w:val="0"/>
                <w:sz w:val="18"/>
                <w:szCs w:val="18"/>
                <w:u w:val="none"/>
                <w:lang w:val="en-US" w:eastAsia="zh-CN" w:bidi="ar"/>
              </w:rPr>
              <w:t>9</w:t>
            </w:r>
          </w:p>
        </w:tc>
        <w:tc>
          <w:tcPr>
            <w:tcW w:w="675" w:type="pct"/>
            <w:tcBorders>
              <w:top w:val="nil"/>
              <w:left w:val="nil"/>
              <w:bottom w:val="single" w:color="000000" w:sz="8" w:space="0"/>
              <w:right w:val="single" w:color="000000" w:sz="8" w:space="0"/>
            </w:tcBorders>
            <w:noWrap w:val="0"/>
            <w:vAlign w:val="center"/>
          </w:tcPr>
          <w:p w14:paraId="25378653">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工程保险费</w:t>
            </w:r>
          </w:p>
        </w:tc>
        <w:tc>
          <w:tcPr>
            <w:tcW w:w="398" w:type="pct"/>
            <w:tcBorders>
              <w:top w:val="nil"/>
              <w:left w:val="nil"/>
              <w:bottom w:val="single" w:color="000000" w:sz="8" w:space="0"/>
              <w:right w:val="single" w:color="000000" w:sz="8" w:space="0"/>
            </w:tcBorders>
            <w:noWrap w:val="0"/>
            <w:vAlign w:val="center"/>
          </w:tcPr>
          <w:p w14:paraId="44C51BFD">
            <w:pPr>
              <w:spacing w:line="240" w:lineRule="auto"/>
              <w:ind w:firstLine="0" w:firstLineChars="0"/>
              <w:jc w:val="center"/>
              <w:rPr>
                <w:rFonts w:hint="default" w:ascii="Times New Roman" w:hAnsi="Times New Roman" w:eastAsia="宋体" w:cs="Times New Roman"/>
                <w:i w:val="0"/>
                <w:iCs w:val="0"/>
                <w:color w:val="000000"/>
                <w:sz w:val="18"/>
                <w:szCs w:val="18"/>
                <w:u w:val="none"/>
              </w:rPr>
            </w:pPr>
          </w:p>
        </w:tc>
        <w:tc>
          <w:tcPr>
            <w:tcW w:w="398" w:type="pct"/>
            <w:tcBorders>
              <w:top w:val="nil"/>
              <w:left w:val="nil"/>
              <w:bottom w:val="single" w:color="000000" w:sz="8" w:space="0"/>
              <w:right w:val="single" w:color="000000" w:sz="8" w:space="0"/>
            </w:tcBorders>
            <w:noWrap w:val="0"/>
            <w:vAlign w:val="center"/>
          </w:tcPr>
          <w:p w14:paraId="4D6A848C">
            <w:pPr>
              <w:spacing w:line="240" w:lineRule="auto"/>
              <w:ind w:firstLine="0" w:firstLineChars="0"/>
              <w:jc w:val="center"/>
              <w:rPr>
                <w:rFonts w:hint="default" w:ascii="Times New Roman" w:hAnsi="Times New Roman" w:eastAsia="宋体" w:cs="Times New Roman"/>
                <w:i w:val="0"/>
                <w:iCs w:val="0"/>
                <w:color w:val="000000"/>
                <w:sz w:val="18"/>
                <w:szCs w:val="18"/>
                <w:u w:val="none"/>
              </w:rPr>
            </w:pPr>
          </w:p>
        </w:tc>
        <w:tc>
          <w:tcPr>
            <w:tcW w:w="398" w:type="pct"/>
            <w:tcBorders>
              <w:top w:val="nil"/>
              <w:left w:val="nil"/>
              <w:bottom w:val="single" w:color="000000" w:sz="8" w:space="0"/>
              <w:right w:val="single" w:color="000000" w:sz="8" w:space="0"/>
            </w:tcBorders>
            <w:noWrap w:val="0"/>
            <w:vAlign w:val="center"/>
          </w:tcPr>
          <w:p w14:paraId="76694595">
            <w:pPr>
              <w:spacing w:line="240" w:lineRule="auto"/>
              <w:ind w:firstLine="0" w:firstLineChars="0"/>
              <w:jc w:val="center"/>
              <w:rPr>
                <w:rFonts w:hint="default" w:ascii="Times New Roman" w:hAnsi="Times New Roman" w:eastAsia="宋体" w:cs="Times New Roman"/>
                <w:i w:val="0"/>
                <w:iCs w:val="0"/>
                <w:color w:val="000000"/>
                <w:sz w:val="18"/>
                <w:szCs w:val="18"/>
                <w:u w:val="none"/>
              </w:rPr>
            </w:pPr>
          </w:p>
        </w:tc>
        <w:tc>
          <w:tcPr>
            <w:tcW w:w="346" w:type="pct"/>
            <w:tcBorders>
              <w:top w:val="nil"/>
              <w:left w:val="nil"/>
              <w:bottom w:val="single" w:color="000000" w:sz="8" w:space="0"/>
              <w:right w:val="single" w:color="000000" w:sz="8" w:space="0"/>
            </w:tcBorders>
            <w:noWrap w:val="0"/>
            <w:vAlign w:val="center"/>
          </w:tcPr>
          <w:p w14:paraId="043754C6">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color w:val="000000"/>
                <w:kern w:val="0"/>
                <w:sz w:val="18"/>
                <w:szCs w:val="18"/>
                <w:u w:val="none"/>
                <w:lang w:val="en-US" w:eastAsia="zh-CN" w:bidi="ar"/>
              </w:rPr>
              <w:t>5.18</w:t>
            </w:r>
          </w:p>
        </w:tc>
        <w:tc>
          <w:tcPr>
            <w:tcW w:w="326" w:type="pct"/>
            <w:tcBorders>
              <w:top w:val="nil"/>
              <w:left w:val="nil"/>
              <w:bottom w:val="single" w:color="000000" w:sz="8" w:space="0"/>
              <w:right w:val="single" w:color="000000" w:sz="8" w:space="0"/>
            </w:tcBorders>
            <w:noWrap w:val="0"/>
            <w:vAlign w:val="center"/>
          </w:tcPr>
          <w:p w14:paraId="3AF1893D">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color w:val="000000"/>
                <w:kern w:val="0"/>
                <w:sz w:val="18"/>
                <w:szCs w:val="18"/>
                <w:u w:val="none"/>
                <w:lang w:val="en-US" w:eastAsia="zh-CN" w:bidi="ar"/>
              </w:rPr>
              <w:t>5.18</w:t>
            </w:r>
          </w:p>
        </w:tc>
        <w:tc>
          <w:tcPr>
            <w:tcW w:w="837" w:type="pct"/>
            <w:gridSpan w:val="3"/>
            <w:tcBorders>
              <w:top w:val="nil"/>
              <w:left w:val="nil"/>
              <w:bottom w:val="single" w:color="000000" w:sz="8" w:space="0"/>
              <w:right w:val="single" w:color="000000" w:sz="8" w:space="0"/>
            </w:tcBorders>
            <w:noWrap w:val="0"/>
            <w:vAlign w:val="center"/>
          </w:tcPr>
          <w:p w14:paraId="713F7D5A">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2"/>
                <w:szCs w:val="12"/>
                <w:u w:val="none"/>
              </w:rPr>
            </w:pPr>
            <w:r>
              <w:rPr>
                <w:rFonts w:hint="eastAsia" w:ascii="宋体" w:hAnsi="宋体" w:eastAsia="宋体" w:cs="宋体"/>
                <w:i w:val="0"/>
                <w:iCs w:val="0"/>
                <w:color w:val="000000"/>
                <w:kern w:val="0"/>
                <w:sz w:val="12"/>
                <w:szCs w:val="12"/>
                <w:u w:val="none"/>
                <w:lang w:val="en-US" w:eastAsia="zh-CN" w:bidi="ar"/>
              </w:rPr>
              <w:t>按建安工程费的</w:t>
            </w:r>
            <w:r>
              <w:rPr>
                <w:rFonts w:hint="default" w:ascii="Times New Roman" w:hAnsi="Times New Roman" w:eastAsia="宋体" w:cs="Times New Roman"/>
                <w:i w:val="0"/>
                <w:iCs w:val="0"/>
                <w:color w:val="000000"/>
                <w:kern w:val="0"/>
                <w:sz w:val="12"/>
                <w:szCs w:val="12"/>
                <w:u w:val="none"/>
                <w:lang w:val="en-US" w:eastAsia="zh-CN" w:bidi="ar"/>
              </w:rPr>
              <w:t>0.25%</w:t>
            </w:r>
            <w:r>
              <w:rPr>
                <w:rFonts w:hint="eastAsia" w:ascii="宋体" w:hAnsi="宋体" w:eastAsia="宋体" w:cs="宋体"/>
                <w:i w:val="0"/>
                <w:iCs w:val="0"/>
                <w:color w:val="000000"/>
                <w:kern w:val="0"/>
                <w:sz w:val="12"/>
                <w:szCs w:val="12"/>
                <w:u w:val="none"/>
                <w:lang w:val="en-US" w:eastAsia="zh-CN" w:bidi="ar"/>
              </w:rPr>
              <w:t>计取</w:t>
            </w:r>
          </w:p>
        </w:tc>
        <w:tc>
          <w:tcPr>
            <w:tcW w:w="329" w:type="pct"/>
            <w:tcBorders>
              <w:top w:val="nil"/>
              <w:left w:val="nil"/>
              <w:bottom w:val="single" w:color="000000" w:sz="8" w:space="0"/>
              <w:right w:val="single" w:color="000000" w:sz="8" w:space="0"/>
            </w:tcBorders>
            <w:noWrap w:val="0"/>
            <w:vAlign w:val="center"/>
          </w:tcPr>
          <w:p w14:paraId="1BB25852">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b/>
                <w:bCs/>
                <w:i w:val="0"/>
                <w:iCs w:val="0"/>
                <w:color w:val="000000"/>
                <w:sz w:val="18"/>
                <w:szCs w:val="18"/>
                <w:u w:val="none"/>
              </w:rPr>
            </w:pPr>
            <w:r>
              <w:rPr>
                <w:rFonts w:hint="default" w:ascii="Times New Roman" w:hAnsi="Times New Roman" w:eastAsia="宋体" w:cs="Times New Roman"/>
                <w:b/>
                <w:bCs/>
                <w:i w:val="0"/>
                <w:iCs w:val="0"/>
                <w:color w:val="000000"/>
                <w:kern w:val="0"/>
                <w:sz w:val="18"/>
                <w:szCs w:val="18"/>
                <w:u w:val="none"/>
                <w:lang w:val="en-US" w:eastAsia="zh-CN" w:bidi="ar"/>
              </w:rPr>
              <w:t>0.05%</w:t>
            </w:r>
          </w:p>
        </w:tc>
        <w:tc>
          <w:tcPr>
            <w:tcW w:w="1013" w:type="pct"/>
            <w:tcBorders>
              <w:top w:val="nil"/>
              <w:left w:val="nil"/>
              <w:bottom w:val="single" w:color="000000" w:sz="8" w:space="0"/>
              <w:right w:val="single" w:color="000000" w:sz="8" w:space="0"/>
            </w:tcBorders>
            <w:noWrap w:val="0"/>
            <w:vAlign w:val="center"/>
          </w:tcPr>
          <w:p w14:paraId="5757AEE3">
            <w:pPr>
              <w:spacing w:line="240" w:lineRule="auto"/>
              <w:ind w:firstLine="0" w:firstLineChars="0"/>
              <w:jc w:val="center"/>
              <w:rPr>
                <w:rFonts w:hint="default" w:ascii="Times New Roman" w:hAnsi="Times New Roman" w:eastAsia="宋体" w:cs="Times New Roman"/>
                <w:i w:val="0"/>
                <w:iCs w:val="0"/>
                <w:color w:val="000000"/>
                <w:sz w:val="18"/>
                <w:szCs w:val="18"/>
                <w:u w:val="none"/>
              </w:rPr>
            </w:pPr>
          </w:p>
        </w:tc>
      </w:tr>
      <w:tr w14:paraId="28C1CCC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3" w:hRule="atLeast"/>
        </w:trPr>
        <w:tc>
          <w:tcPr>
            <w:tcW w:w="273" w:type="pct"/>
            <w:tcBorders>
              <w:top w:val="nil"/>
              <w:left w:val="single" w:color="000000" w:sz="8" w:space="0"/>
              <w:bottom w:val="single" w:color="000000" w:sz="8" w:space="0"/>
              <w:right w:val="single" w:color="000000" w:sz="8" w:space="0"/>
            </w:tcBorders>
            <w:noWrap w:val="0"/>
            <w:vAlign w:val="center"/>
          </w:tcPr>
          <w:p w14:paraId="74A3BBDD">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color w:val="000000"/>
                <w:kern w:val="0"/>
                <w:sz w:val="18"/>
                <w:szCs w:val="18"/>
                <w:u w:val="none"/>
                <w:lang w:val="en-US" w:eastAsia="zh-CN" w:bidi="ar"/>
              </w:rPr>
              <w:t>10</w:t>
            </w:r>
          </w:p>
        </w:tc>
        <w:tc>
          <w:tcPr>
            <w:tcW w:w="675" w:type="pct"/>
            <w:tcBorders>
              <w:top w:val="nil"/>
              <w:left w:val="nil"/>
              <w:bottom w:val="single" w:color="000000" w:sz="8" w:space="0"/>
              <w:right w:val="single" w:color="000000" w:sz="8" w:space="0"/>
            </w:tcBorders>
            <w:noWrap w:val="0"/>
            <w:vAlign w:val="center"/>
          </w:tcPr>
          <w:p w14:paraId="16F2C5AC">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前期工作咨询费</w:t>
            </w:r>
          </w:p>
        </w:tc>
        <w:tc>
          <w:tcPr>
            <w:tcW w:w="398" w:type="pct"/>
            <w:tcBorders>
              <w:top w:val="nil"/>
              <w:left w:val="nil"/>
              <w:bottom w:val="single" w:color="000000" w:sz="8" w:space="0"/>
              <w:right w:val="single" w:color="000000" w:sz="8" w:space="0"/>
            </w:tcBorders>
            <w:noWrap w:val="0"/>
            <w:vAlign w:val="center"/>
          </w:tcPr>
          <w:p w14:paraId="4D78E106">
            <w:pPr>
              <w:spacing w:line="240" w:lineRule="auto"/>
              <w:ind w:firstLine="0" w:firstLineChars="0"/>
              <w:jc w:val="center"/>
              <w:rPr>
                <w:rFonts w:hint="default" w:ascii="Times New Roman" w:hAnsi="Times New Roman" w:eastAsia="宋体" w:cs="Times New Roman"/>
                <w:i w:val="0"/>
                <w:iCs w:val="0"/>
                <w:color w:val="000000"/>
                <w:sz w:val="18"/>
                <w:szCs w:val="18"/>
                <w:u w:val="none"/>
              </w:rPr>
            </w:pPr>
          </w:p>
        </w:tc>
        <w:tc>
          <w:tcPr>
            <w:tcW w:w="398" w:type="pct"/>
            <w:tcBorders>
              <w:top w:val="nil"/>
              <w:left w:val="nil"/>
              <w:bottom w:val="single" w:color="000000" w:sz="8" w:space="0"/>
              <w:right w:val="single" w:color="000000" w:sz="8" w:space="0"/>
            </w:tcBorders>
            <w:noWrap w:val="0"/>
            <w:vAlign w:val="center"/>
          </w:tcPr>
          <w:p w14:paraId="49FE89E1">
            <w:pPr>
              <w:spacing w:line="240" w:lineRule="auto"/>
              <w:ind w:firstLine="0" w:firstLineChars="0"/>
              <w:jc w:val="center"/>
              <w:rPr>
                <w:rFonts w:hint="default" w:ascii="Times New Roman" w:hAnsi="Times New Roman" w:eastAsia="宋体" w:cs="Times New Roman"/>
                <w:i w:val="0"/>
                <w:iCs w:val="0"/>
                <w:color w:val="000000"/>
                <w:sz w:val="18"/>
                <w:szCs w:val="18"/>
                <w:u w:val="none"/>
              </w:rPr>
            </w:pPr>
          </w:p>
        </w:tc>
        <w:tc>
          <w:tcPr>
            <w:tcW w:w="398" w:type="pct"/>
            <w:tcBorders>
              <w:top w:val="nil"/>
              <w:left w:val="nil"/>
              <w:bottom w:val="single" w:color="000000" w:sz="8" w:space="0"/>
              <w:right w:val="single" w:color="000000" w:sz="8" w:space="0"/>
            </w:tcBorders>
            <w:noWrap w:val="0"/>
            <w:vAlign w:val="center"/>
          </w:tcPr>
          <w:p w14:paraId="059BF5C5">
            <w:pPr>
              <w:spacing w:line="240" w:lineRule="auto"/>
              <w:ind w:firstLine="0" w:firstLineChars="0"/>
              <w:jc w:val="center"/>
              <w:rPr>
                <w:rFonts w:hint="default" w:ascii="Times New Roman" w:hAnsi="Times New Roman" w:eastAsia="宋体" w:cs="Times New Roman"/>
                <w:i w:val="0"/>
                <w:iCs w:val="0"/>
                <w:color w:val="000000"/>
                <w:sz w:val="18"/>
                <w:szCs w:val="18"/>
                <w:u w:val="none"/>
              </w:rPr>
            </w:pPr>
          </w:p>
        </w:tc>
        <w:tc>
          <w:tcPr>
            <w:tcW w:w="346" w:type="pct"/>
            <w:tcBorders>
              <w:top w:val="nil"/>
              <w:left w:val="nil"/>
              <w:bottom w:val="single" w:color="000000" w:sz="8" w:space="0"/>
              <w:right w:val="single" w:color="000000" w:sz="8" w:space="0"/>
            </w:tcBorders>
            <w:noWrap w:val="0"/>
            <w:vAlign w:val="center"/>
          </w:tcPr>
          <w:p w14:paraId="1B6A5627">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color w:val="000000"/>
                <w:kern w:val="0"/>
                <w:sz w:val="18"/>
                <w:szCs w:val="18"/>
                <w:u w:val="none"/>
                <w:lang w:val="en-US" w:eastAsia="zh-CN" w:bidi="ar"/>
              </w:rPr>
              <w:t>29.64</w:t>
            </w:r>
          </w:p>
        </w:tc>
        <w:tc>
          <w:tcPr>
            <w:tcW w:w="326" w:type="pct"/>
            <w:tcBorders>
              <w:top w:val="nil"/>
              <w:left w:val="nil"/>
              <w:bottom w:val="single" w:color="000000" w:sz="8" w:space="0"/>
              <w:right w:val="single" w:color="000000" w:sz="8" w:space="0"/>
            </w:tcBorders>
            <w:noWrap w:val="0"/>
            <w:vAlign w:val="center"/>
          </w:tcPr>
          <w:p w14:paraId="556BAF26">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color w:val="000000"/>
                <w:kern w:val="0"/>
                <w:sz w:val="18"/>
                <w:szCs w:val="18"/>
                <w:u w:val="none"/>
                <w:lang w:val="en-US" w:eastAsia="zh-CN" w:bidi="ar"/>
              </w:rPr>
              <w:t>29.64</w:t>
            </w:r>
          </w:p>
        </w:tc>
        <w:tc>
          <w:tcPr>
            <w:tcW w:w="837" w:type="pct"/>
            <w:gridSpan w:val="3"/>
            <w:tcBorders>
              <w:top w:val="nil"/>
              <w:left w:val="nil"/>
              <w:bottom w:val="single" w:color="000000" w:sz="8" w:space="0"/>
              <w:right w:val="nil"/>
            </w:tcBorders>
            <w:noWrap w:val="0"/>
            <w:vAlign w:val="center"/>
          </w:tcPr>
          <w:p w14:paraId="3DF01199">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2"/>
                <w:szCs w:val="12"/>
                <w:u w:val="none"/>
              </w:rPr>
            </w:pPr>
            <w:r>
              <w:rPr>
                <w:rFonts w:hint="eastAsia" w:ascii="宋体" w:hAnsi="宋体" w:eastAsia="宋体" w:cs="宋体"/>
                <w:i w:val="0"/>
                <w:iCs w:val="0"/>
                <w:color w:val="000000"/>
                <w:kern w:val="0"/>
                <w:sz w:val="12"/>
                <w:szCs w:val="12"/>
                <w:u w:val="none"/>
                <w:lang w:val="en-US" w:eastAsia="zh-CN" w:bidi="ar"/>
              </w:rPr>
              <w:t>参考计价格〔1999〕</w:t>
            </w:r>
            <w:r>
              <w:rPr>
                <w:rFonts w:hint="default" w:ascii="Times New Roman" w:hAnsi="Times New Roman" w:eastAsia="宋体" w:cs="Times New Roman"/>
                <w:i w:val="0"/>
                <w:iCs w:val="0"/>
                <w:color w:val="000000"/>
                <w:kern w:val="0"/>
                <w:sz w:val="12"/>
                <w:szCs w:val="12"/>
                <w:u w:val="none"/>
                <w:lang w:val="en-US" w:eastAsia="zh-CN" w:bidi="ar"/>
              </w:rPr>
              <w:t>1283</w:t>
            </w:r>
            <w:r>
              <w:rPr>
                <w:rFonts w:hint="eastAsia" w:ascii="宋体" w:hAnsi="宋体" w:eastAsia="宋体" w:cs="宋体"/>
                <w:i w:val="0"/>
                <w:iCs w:val="0"/>
                <w:color w:val="000000"/>
                <w:kern w:val="0"/>
                <w:sz w:val="12"/>
                <w:szCs w:val="12"/>
                <w:u w:val="none"/>
                <w:lang w:val="en-US" w:eastAsia="zh-CN" w:bidi="ar"/>
              </w:rPr>
              <w:t>号，下浮</w:t>
            </w:r>
            <w:r>
              <w:rPr>
                <w:rFonts w:hint="default" w:ascii="Times New Roman" w:hAnsi="Times New Roman" w:eastAsia="宋体" w:cs="Times New Roman"/>
                <w:i w:val="0"/>
                <w:iCs w:val="0"/>
                <w:color w:val="000000"/>
                <w:kern w:val="0"/>
                <w:sz w:val="12"/>
                <w:szCs w:val="12"/>
                <w:u w:val="none"/>
                <w:lang w:val="en-US" w:eastAsia="zh-CN" w:bidi="ar"/>
              </w:rPr>
              <w:t>20%</w:t>
            </w:r>
          </w:p>
        </w:tc>
        <w:tc>
          <w:tcPr>
            <w:tcW w:w="329" w:type="pct"/>
            <w:tcBorders>
              <w:top w:val="nil"/>
              <w:left w:val="nil"/>
              <w:bottom w:val="single" w:color="000000" w:sz="8" w:space="0"/>
              <w:right w:val="single" w:color="000000" w:sz="8" w:space="0"/>
            </w:tcBorders>
            <w:noWrap w:val="0"/>
            <w:vAlign w:val="center"/>
          </w:tcPr>
          <w:p w14:paraId="24A5675F">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b/>
                <w:bCs/>
                <w:i w:val="0"/>
                <w:iCs w:val="0"/>
                <w:color w:val="000000"/>
                <w:sz w:val="18"/>
                <w:szCs w:val="18"/>
                <w:u w:val="none"/>
              </w:rPr>
            </w:pPr>
            <w:r>
              <w:rPr>
                <w:rFonts w:hint="default" w:ascii="Times New Roman" w:hAnsi="Times New Roman" w:eastAsia="宋体" w:cs="Times New Roman"/>
                <w:b/>
                <w:bCs/>
                <w:i w:val="0"/>
                <w:iCs w:val="0"/>
                <w:color w:val="000000"/>
                <w:kern w:val="0"/>
                <w:sz w:val="18"/>
                <w:szCs w:val="18"/>
                <w:u w:val="none"/>
                <w:lang w:val="en-US" w:eastAsia="zh-CN" w:bidi="ar"/>
              </w:rPr>
              <w:t>0.29%</w:t>
            </w:r>
          </w:p>
        </w:tc>
        <w:tc>
          <w:tcPr>
            <w:tcW w:w="1013" w:type="pct"/>
            <w:tcBorders>
              <w:top w:val="nil"/>
              <w:left w:val="nil"/>
              <w:bottom w:val="single" w:color="000000" w:sz="8" w:space="0"/>
              <w:right w:val="single" w:color="000000" w:sz="8" w:space="0"/>
            </w:tcBorders>
            <w:noWrap w:val="0"/>
            <w:vAlign w:val="center"/>
          </w:tcPr>
          <w:p w14:paraId="5FE8432A">
            <w:pPr>
              <w:spacing w:line="240" w:lineRule="auto"/>
              <w:ind w:firstLine="0" w:firstLineChars="0"/>
              <w:jc w:val="center"/>
              <w:rPr>
                <w:rFonts w:hint="default" w:ascii="Times New Roman" w:hAnsi="Times New Roman" w:eastAsia="宋体" w:cs="Times New Roman"/>
                <w:i w:val="0"/>
                <w:iCs w:val="0"/>
                <w:color w:val="000000"/>
                <w:sz w:val="18"/>
                <w:szCs w:val="18"/>
                <w:u w:val="none"/>
              </w:rPr>
            </w:pPr>
          </w:p>
        </w:tc>
      </w:tr>
      <w:tr w14:paraId="4BAAEF3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3" w:hRule="atLeast"/>
        </w:trPr>
        <w:tc>
          <w:tcPr>
            <w:tcW w:w="273" w:type="pct"/>
            <w:tcBorders>
              <w:top w:val="nil"/>
              <w:left w:val="single" w:color="000000" w:sz="8" w:space="0"/>
              <w:bottom w:val="single" w:color="000000" w:sz="8" w:space="0"/>
              <w:right w:val="single" w:color="000000" w:sz="8" w:space="0"/>
            </w:tcBorders>
            <w:noWrap w:val="0"/>
            <w:vAlign w:val="center"/>
          </w:tcPr>
          <w:p w14:paraId="3FE842E3">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color w:val="000000"/>
                <w:kern w:val="0"/>
                <w:sz w:val="18"/>
                <w:szCs w:val="18"/>
                <w:u w:val="none"/>
                <w:lang w:val="en-US" w:eastAsia="zh-CN" w:bidi="ar"/>
              </w:rPr>
              <w:t>11</w:t>
            </w:r>
          </w:p>
        </w:tc>
        <w:tc>
          <w:tcPr>
            <w:tcW w:w="675" w:type="pct"/>
            <w:tcBorders>
              <w:top w:val="nil"/>
              <w:left w:val="nil"/>
              <w:bottom w:val="single" w:color="000000" w:sz="8" w:space="0"/>
              <w:right w:val="single" w:color="000000" w:sz="8" w:space="0"/>
            </w:tcBorders>
            <w:noWrap w:val="0"/>
            <w:vAlign w:val="center"/>
          </w:tcPr>
          <w:p w14:paraId="743A726A">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工程检测费</w:t>
            </w:r>
          </w:p>
        </w:tc>
        <w:tc>
          <w:tcPr>
            <w:tcW w:w="398" w:type="pct"/>
            <w:tcBorders>
              <w:top w:val="nil"/>
              <w:left w:val="nil"/>
              <w:bottom w:val="single" w:color="000000" w:sz="8" w:space="0"/>
              <w:right w:val="single" w:color="000000" w:sz="8" w:space="0"/>
            </w:tcBorders>
            <w:noWrap w:val="0"/>
            <w:vAlign w:val="center"/>
          </w:tcPr>
          <w:p w14:paraId="3F36C350">
            <w:pPr>
              <w:spacing w:line="240" w:lineRule="auto"/>
              <w:ind w:firstLine="0" w:firstLineChars="0"/>
              <w:jc w:val="center"/>
              <w:rPr>
                <w:rFonts w:hint="default" w:ascii="Times New Roman" w:hAnsi="Times New Roman" w:eastAsia="宋体" w:cs="Times New Roman"/>
                <w:i w:val="0"/>
                <w:iCs w:val="0"/>
                <w:color w:val="000000"/>
                <w:sz w:val="18"/>
                <w:szCs w:val="18"/>
                <w:u w:val="none"/>
              </w:rPr>
            </w:pPr>
          </w:p>
        </w:tc>
        <w:tc>
          <w:tcPr>
            <w:tcW w:w="398" w:type="pct"/>
            <w:tcBorders>
              <w:top w:val="nil"/>
              <w:left w:val="nil"/>
              <w:bottom w:val="single" w:color="000000" w:sz="8" w:space="0"/>
              <w:right w:val="single" w:color="000000" w:sz="8" w:space="0"/>
            </w:tcBorders>
            <w:noWrap w:val="0"/>
            <w:vAlign w:val="center"/>
          </w:tcPr>
          <w:p w14:paraId="75ABD690">
            <w:pPr>
              <w:spacing w:line="240" w:lineRule="auto"/>
              <w:ind w:firstLine="0" w:firstLineChars="0"/>
              <w:jc w:val="center"/>
              <w:rPr>
                <w:rFonts w:hint="default" w:ascii="Times New Roman" w:hAnsi="Times New Roman" w:eastAsia="宋体" w:cs="Times New Roman"/>
                <w:i w:val="0"/>
                <w:iCs w:val="0"/>
                <w:color w:val="000000"/>
                <w:sz w:val="18"/>
                <w:szCs w:val="18"/>
                <w:u w:val="none"/>
              </w:rPr>
            </w:pPr>
          </w:p>
        </w:tc>
        <w:tc>
          <w:tcPr>
            <w:tcW w:w="398" w:type="pct"/>
            <w:tcBorders>
              <w:top w:val="nil"/>
              <w:left w:val="nil"/>
              <w:bottom w:val="single" w:color="000000" w:sz="8" w:space="0"/>
              <w:right w:val="single" w:color="000000" w:sz="8" w:space="0"/>
            </w:tcBorders>
            <w:noWrap w:val="0"/>
            <w:vAlign w:val="center"/>
          </w:tcPr>
          <w:p w14:paraId="208732C9">
            <w:pPr>
              <w:spacing w:line="240" w:lineRule="auto"/>
              <w:ind w:firstLine="0" w:firstLineChars="0"/>
              <w:jc w:val="center"/>
              <w:rPr>
                <w:rFonts w:hint="default" w:ascii="Times New Roman" w:hAnsi="Times New Roman" w:eastAsia="宋体" w:cs="Times New Roman"/>
                <w:i w:val="0"/>
                <w:iCs w:val="0"/>
                <w:color w:val="000000"/>
                <w:sz w:val="18"/>
                <w:szCs w:val="18"/>
                <w:u w:val="none"/>
              </w:rPr>
            </w:pPr>
          </w:p>
        </w:tc>
        <w:tc>
          <w:tcPr>
            <w:tcW w:w="346" w:type="pct"/>
            <w:tcBorders>
              <w:top w:val="nil"/>
              <w:left w:val="nil"/>
              <w:bottom w:val="single" w:color="000000" w:sz="8" w:space="0"/>
              <w:right w:val="single" w:color="000000" w:sz="8" w:space="0"/>
            </w:tcBorders>
            <w:noWrap w:val="0"/>
            <w:vAlign w:val="center"/>
          </w:tcPr>
          <w:p w14:paraId="2CC86359">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color w:val="000000"/>
                <w:kern w:val="0"/>
                <w:sz w:val="18"/>
                <w:szCs w:val="18"/>
                <w:u w:val="none"/>
                <w:lang w:val="en-US" w:eastAsia="zh-CN" w:bidi="ar"/>
              </w:rPr>
              <w:t>53.62</w:t>
            </w:r>
          </w:p>
        </w:tc>
        <w:tc>
          <w:tcPr>
            <w:tcW w:w="326" w:type="pct"/>
            <w:tcBorders>
              <w:top w:val="nil"/>
              <w:left w:val="nil"/>
              <w:bottom w:val="single" w:color="000000" w:sz="8" w:space="0"/>
              <w:right w:val="single" w:color="000000" w:sz="8" w:space="0"/>
            </w:tcBorders>
            <w:noWrap w:val="0"/>
            <w:vAlign w:val="center"/>
          </w:tcPr>
          <w:p w14:paraId="20795B86">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color w:val="000000"/>
                <w:kern w:val="0"/>
                <w:sz w:val="18"/>
                <w:szCs w:val="18"/>
                <w:u w:val="none"/>
                <w:lang w:val="en-US" w:eastAsia="zh-CN" w:bidi="ar"/>
              </w:rPr>
              <w:t>53.62</w:t>
            </w:r>
          </w:p>
        </w:tc>
        <w:tc>
          <w:tcPr>
            <w:tcW w:w="837" w:type="pct"/>
            <w:gridSpan w:val="3"/>
            <w:tcBorders>
              <w:top w:val="nil"/>
              <w:left w:val="nil"/>
              <w:bottom w:val="single" w:color="000000" w:sz="8" w:space="0"/>
              <w:right w:val="nil"/>
            </w:tcBorders>
            <w:noWrap w:val="0"/>
            <w:vAlign w:val="center"/>
          </w:tcPr>
          <w:p w14:paraId="3F1F4A75">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2"/>
                <w:szCs w:val="12"/>
                <w:u w:val="none"/>
              </w:rPr>
            </w:pPr>
            <w:r>
              <w:rPr>
                <w:rFonts w:hint="eastAsia" w:ascii="宋体" w:hAnsi="宋体" w:eastAsia="宋体" w:cs="宋体"/>
                <w:i w:val="0"/>
                <w:iCs w:val="0"/>
                <w:color w:val="000000"/>
                <w:kern w:val="0"/>
                <w:sz w:val="12"/>
                <w:szCs w:val="12"/>
                <w:u w:val="none"/>
                <w:lang w:val="en-US" w:eastAsia="zh-CN" w:bidi="ar"/>
              </w:rPr>
              <w:t>按工程费用的</w:t>
            </w:r>
            <w:r>
              <w:rPr>
                <w:rFonts w:hint="default" w:ascii="Times New Roman" w:hAnsi="Times New Roman" w:eastAsia="宋体" w:cs="Times New Roman"/>
                <w:i w:val="0"/>
                <w:iCs w:val="0"/>
                <w:color w:val="000000"/>
                <w:kern w:val="0"/>
                <w:sz w:val="12"/>
                <w:szCs w:val="12"/>
                <w:u w:val="none"/>
                <w:lang w:val="en-US" w:eastAsia="zh-CN" w:bidi="ar"/>
              </w:rPr>
              <w:t>0.7%</w:t>
            </w:r>
            <w:r>
              <w:rPr>
                <w:rFonts w:hint="eastAsia" w:ascii="宋体" w:hAnsi="宋体" w:eastAsia="宋体" w:cs="宋体"/>
                <w:i w:val="0"/>
                <w:iCs w:val="0"/>
                <w:color w:val="000000"/>
                <w:kern w:val="0"/>
                <w:sz w:val="12"/>
                <w:szCs w:val="12"/>
                <w:u w:val="none"/>
                <w:lang w:val="en-US" w:eastAsia="zh-CN" w:bidi="ar"/>
              </w:rPr>
              <w:t>计取</w:t>
            </w:r>
          </w:p>
        </w:tc>
        <w:tc>
          <w:tcPr>
            <w:tcW w:w="329" w:type="pct"/>
            <w:tcBorders>
              <w:top w:val="nil"/>
              <w:left w:val="nil"/>
              <w:bottom w:val="single" w:color="000000" w:sz="8" w:space="0"/>
              <w:right w:val="single" w:color="000000" w:sz="8" w:space="0"/>
            </w:tcBorders>
            <w:noWrap w:val="0"/>
            <w:vAlign w:val="center"/>
          </w:tcPr>
          <w:p w14:paraId="7F1FA768">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b/>
                <w:bCs/>
                <w:i w:val="0"/>
                <w:iCs w:val="0"/>
                <w:color w:val="000000"/>
                <w:sz w:val="18"/>
                <w:szCs w:val="18"/>
                <w:u w:val="none"/>
              </w:rPr>
            </w:pPr>
            <w:r>
              <w:rPr>
                <w:rFonts w:hint="default" w:ascii="Times New Roman" w:hAnsi="Times New Roman" w:eastAsia="宋体" w:cs="Times New Roman"/>
                <w:b/>
                <w:bCs/>
                <w:i w:val="0"/>
                <w:iCs w:val="0"/>
                <w:color w:val="000000"/>
                <w:kern w:val="0"/>
                <w:sz w:val="18"/>
                <w:szCs w:val="18"/>
                <w:u w:val="none"/>
                <w:lang w:val="en-US" w:eastAsia="zh-CN" w:bidi="ar"/>
              </w:rPr>
              <w:t>0.53%</w:t>
            </w:r>
          </w:p>
        </w:tc>
        <w:tc>
          <w:tcPr>
            <w:tcW w:w="1013" w:type="pct"/>
            <w:tcBorders>
              <w:top w:val="nil"/>
              <w:left w:val="nil"/>
              <w:bottom w:val="single" w:color="000000" w:sz="8" w:space="0"/>
              <w:right w:val="single" w:color="000000" w:sz="8" w:space="0"/>
            </w:tcBorders>
            <w:noWrap w:val="0"/>
            <w:vAlign w:val="center"/>
          </w:tcPr>
          <w:p w14:paraId="06375CAB">
            <w:pPr>
              <w:spacing w:line="240" w:lineRule="auto"/>
              <w:ind w:firstLine="0" w:firstLineChars="0"/>
              <w:jc w:val="center"/>
              <w:rPr>
                <w:rFonts w:hint="default" w:ascii="Times New Roman" w:hAnsi="Times New Roman" w:eastAsia="宋体" w:cs="Times New Roman"/>
                <w:i w:val="0"/>
                <w:iCs w:val="0"/>
                <w:color w:val="000000"/>
                <w:sz w:val="18"/>
                <w:szCs w:val="18"/>
                <w:u w:val="none"/>
              </w:rPr>
            </w:pPr>
          </w:p>
        </w:tc>
      </w:tr>
      <w:tr w14:paraId="61A39BC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3" w:hRule="atLeast"/>
        </w:trPr>
        <w:tc>
          <w:tcPr>
            <w:tcW w:w="273" w:type="pct"/>
            <w:tcBorders>
              <w:top w:val="nil"/>
              <w:left w:val="single" w:color="000000" w:sz="8" w:space="0"/>
              <w:bottom w:val="single" w:color="000000" w:sz="8" w:space="0"/>
              <w:right w:val="single" w:color="000000" w:sz="8" w:space="0"/>
            </w:tcBorders>
            <w:noWrap w:val="0"/>
            <w:vAlign w:val="center"/>
          </w:tcPr>
          <w:p w14:paraId="5781ABE7">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color w:val="000000"/>
                <w:kern w:val="0"/>
                <w:sz w:val="18"/>
                <w:szCs w:val="18"/>
                <w:u w:val="none"/>
                <w:lang w:val="en-US" w:eastAsia="zh-CN" w:bidi="ar"/>
              </w:rPr>
              <w:t>12</w:t>
            </w:r>
          </w:p>
        </w:tc>
        <w:tc>
          <w:tcPr>
            <w:tcW w:w="675" w:type="pct"/>
            <w:tcBorders>
              <w:top w:val="nil"/>
              <w:left w:val="nil"/>
              <w:bottom w:val="single" w:color="000000" w:sz="8" w:space="0"/>
              <w:right w:val="single" w:color="000000" w:sz="8" w:space="0"/>
            </w:tcBorders>
            <w:noWrap w:val="0"/>
            <w:vAlign w:val="center"/>
          </w:tcPr>
          <w:p w14:paraId="7A926412">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场地准备及临时设施费</w:t>
            </w:r>
          </w:p>
        </w:tc>
        <w:tc>
          <w:tcPr>
            <w:tcW w:w="398" w:type="pct"/>
            <w:tcBorders>
              <w:top w:val="nil"/>
              <w:left w:val="nil"/>
              <w:bottom w:val="single" w:color="000000" w:sz="8" w:space="0"/>
              <w:right w:val="single" w:color="000000" w:sz="8" w:space="0"/>
            </w:tcBorders>
            <w:noWrap w:val="0"/>
            <w:vAlign w:val="center"/>
          </w:tcPr>
          <w:p w14:paraId="259DB9CD">
            <w:pPr>
              <w:spacing w:line="240" w:lineRule="auto"/>
              <w:ind w:firstLine="0" w:firstLineChars="0"/>
              <w:jc w:val="center"/>
              <w:rPr>
                <w:rFonts w:hint="default" w:ascii="Times New Roman" w:hAnsi="Times New Roman" w:eastAsia="宋体" w:cs="Times New Roman"/>
                <w:i w:val="0"/>
                <w:iCs w:val="0"/>
                <w:color w:val="000000"/>
                <w:sz w:val="18"/>
                <w:szCs w:val="18"/>
                <w:u w:val="none"/>
              </w:rPr>
            </w:pPr>
          </w:p>
        </w:tc>
        <w:tc>
          <w:tcPr>
            <w:tcW w:w="398" w:type="pct"/>
            <w:tcBorders>
              <w:top w:val="nil"/>
              <w:left w:val="nil"/>
              <w:bottom w:val="single" w:color="000000" w:sz="8" w:space="0"/>
              <w:right w:val="single" w:color="000000" w:sz="8" w:space="0"/>
            </w:tcBorders>
            <w:noWrap w:val="0"/>
            <w:vAlign w:val="center"/>
          </w:tcPr>
          <w:p w14:paraId="4C4F6211">
            <w:pPr>
              <w:spacing w:line="240" w:lineRule="auto"/>
              <w:ind w:firstLine="0" w:firstLineChars="0"/>
              <w:jc w:val="center"/>
              <w:rPr>
                <w:rFonts w:hint="default" w:ascii="Times New Roman" w:hAnsi="Times New Roman" w:eastAsia="宋体" w:cs="Times New Roman"/>
                <w:i w:val="0"/>
                <w:iCs w:val="0"/>
                <w:color w:val="000000"/>
                <w:sz w:val="18"/>
                <w:szCs w:val="18"/>
                <w:u w:val="none"/>
              </w:rPr>
            </w:pPr>
          </w:p>
        </w:tc>
        <w:tc>
          <w:tcPr>
            <w:tcW w:w="398" w:type="pct"/>
            <w:tcBorders>
              <w:top w:val="nil"/>
              <w:left w:val="nil"/>
              <w:bottom w:val="single" w:color="000000" w:sz="8" w:space="0"/>
              <w:right w:val="single" w:color="000000" w:sz="8" w:space="0"/>
            </w:tcBorders>
            <w:noWrap w:val="0"/>
            <w:vAlign w:val="center"/>
          </w:tcPr>
          <w:p w14:paraId="5C999F92">
            <w:pPr>
              <w:spacing w:line="240" w:lineRule="auto"/>
              <w:ind w:firstLine="0" w:firstLineChars="0"/>
              <w:jc w:val="center"/>
              <w:rPr>
                <w:rFonts w:hint="default" w:ascii="Times New Roman" w:hAnsi="Times New Roman" w:eastAsia="宋体" w:cs="Times New Roman"/>
                <w:i w:val="0"/>
                <w:iCs w:val="0"/>
                <w:color w:val="000000"/>
                <w:sz w:val="18"/>
                <w:szCs w:val="18"/>
                <w:u w:val="none"/>
              </w:rPr>
            </w:pPr>
          </w:p>
        </w:tc>
        <w:tc>
          <w:tcPr>
            <w:tcW w:w="346" w:type="pct"/>
            <w:tcBorders>
              <w:top w:val="nil"/>
              <w:left w:val="nil"/>
              <w:bottom w:val="single" w:color="000000" w:sz="8" w:space="0"/>
              <w:right w:val="single" w:color="000000" w:sz="8" w:space="0"/>
            </w:tcBorders>
            <w:noWrap w:val="0"/>
            <w:vAlign w:val="center"/>
          </w:tcPr>
          <w:p w14:paraId="4BE37AB1">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color w:val="000000"/>
                <w:kern w:val="0"/>
                <w:sz w:val="18"/>
                <w:szCs w:val="18"/>
                <w:u w:val="none"/>
                <w:lang w:val="en-US" w:eastAsia="zh-CN" w:bidi="ar"/>
              </w:rPr>
              <w:t>91.92</w:t>
            </w:r>
          </w:p>
        </w:tc>
        <w:tc>
          <w:tcPr>
            <w:tcW w:w="326" w:type="pct"/>
            <w:tcBorders>
              <w:top w:val="nil"/>
              <w:left w:val="nil"/>
              <w:bottom w:val="single" w:color="000000" w:sz="8" w:space="0"/>
              <w:right w:val="single" w:color="000000" w:sz="8" w:space="0"/>
            </w:tcBorders>
            <w:noWrap w:val="0"/>
            <w:vAlign w:val="center"/>
          </w:tcPr>
          <w:p w14:paraId="0B0D9AAF">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color w:val="000000"/>
                <w:kern w:val="0"/>
                <w:sz w:val="18"/>
                <w:szCs w:val="18"/>
                <w:u w:val="none"/>
                <w:lang w:val="en-US" w:eastAsia="zh-CN" w:bidi="ar"/>
              </w:rPr>
              <w:t>91.92</w:t>
            </w:r>
          </w:p>
        </w:tc>
        <w:tc>
          <w:tcPr>
            <w:tcW w:w="837" w:type="pct"/>
            <w:gridSpan w:val="3"/>
            <w:tcBorders>
              <w:top w:val="nil"/>
              <w:left w:val="nil"/>
              <w:bottom w:val="single" w:color="000000" w:sz="8" w:space="0"/>
              <w:right w:val="nil"/>
            </w:tcBorders>
            <w:noWrap w:val="0"/>
            <w:vAlign w:val="center"/>
          </w:tcPr>
          <w:p w14:paraId="18001C47">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2"/>
                <w:szCs w:val="12"/>
                <w:u w:val="none"/>
              </w:rPr>
            </w:pPr>
            <w:r>
              <w:rPr>
                <w:rFonts w:hint="eastAsia" w:ascii="宋体" w:hAnsi="宋体" w:eastAsia="宋体" w:cs="宋体"/>
                <w:i w:val="0"/>
                <w:iCs w:val="0"/>
                <w:color w:val="000000"/>
                <w:kern w:val="0"/>
                <w:sz w:val="12"/>
                <w:szCs w:val="12"/>
                <w:u w:val="none"/>
                <w:lang w:val="en-US" w:eastAsia="zh-CN" w:bidi="ar"/>
              </w:rPr>
              <w:t>按工程费用的</w:t>
            </w:r>
            <w:r>
              <w:rPr>
                <w:rFonts w:hint="default" w:ascii="Times New Roman" w:hAnsi="Times New Roman" w:eastAsia="宋体" w:cs="Times New Roman"/>
                <w:i w:val="0"/>
                <w:iCs w:val="0"/>
                <w:color w:val="000000"/>
                <w:kern w:val="0"/>
                <w:sz w:val="12"/>
                <w:szCs w:val="12"/>
                <w:u w:val="none"/>
                <w:lang w:val="en-US" w:eastAsia="zh-CN" w:bidi="ar"/>
              </w:rPr>
              <w:t>0.5~2.0%</w:t>
            </w:r>
            <w:r>
              <w:rPr>
                <w:rFonts w:hint="eastAsia" w:ascii="宋体" w:hAnsi="宋体" w:eastAsia="宋体" w:cs="宋体"/>
                <w:i w:val="0"/>
                <w:iCs w:val="0"/>
                <w:color w:val="000000"/>
                <w:kern w:val="0"/>
                <w:sz w:val="12"/>
                <w:szCs w:val="12"/>
                <w:u w:val="none"/>
                <w:lang w:val="en-US" w:eastAsia="zh-CN" w:bidi="ar"/>
              </w:rPr>
              <w:t>计取</w:t>
            </w:r>
          </w:p>
        </w:tc>
        <w:tc>
          <w:tcPr>
            <w:tcW w:w="329" w:type="pct"/>
            <w:tcBorders>
              <w:top w:val="nil"/>
              <w:left w:val="nil"/>
              <w:bottom w:val="single" w:color="000000" w:sz="8" w:space="0"/>
              <w:right w:val="single" w:color="000000" w:sz="8" w:space="0"/>
            </w:tcBorders>
            <w:noWrap w:val="0"/>
            <w:vAlign w:val="center"/>
          </w:tcPr>
          <w:p w14:paraId="5E88A637">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b/>
                <w:bCs/>
                <w:i w:val="0"/>
                <w:iCs w:val="0"/>
                <w:color w:val="000000"/>
                <w:sz w:val="18"/>
                <w:szCs w:val="18"/>
                <w:u w:val="none"/>
              </w:rPr>
            </w:pPr>
            <w:r>
              <w:rPr>
                <w:rFonts w:hint="default" w:ascii="Times New Roman" w:hAnsi="Times New Roman" w:eastAsia="宋体" w:cs="Times New Roman"/>
                <w:b/>
                <w:bCs/>
                <w:i w:val="0"/>
                <w:iCs w:val="0"/>
                <w:color w:val="000000"/>
                <w:kern w:val="0"/>
                <w:sz w:val="18"/>
                <w:szCs w:val="18"/>
                <w:u w:val="none"/>
                <w:lang w:val="en-US" w:eastAsia="zh-CN" w:bidi="ar"/>
              </w:rPr>
              <w:t>0.90%</w:t>
            </w:r>
          </w:p>
        </w:tc>
        <w:tc>
          <w:tcPr>
            <w:tcW w:w="1013" w:type="pct"/>
            <w:tcBorders>
              <w:top w:val="nil"/>
              <w:left w:val="nil"/>
              <w:bottom w:val="single" w:color="000000" w:sz="8" w:space="0"/>
              <w:right w:val="single" w:color="000000" w:sz="8" w:space="0"/>
            </w:tcBorders>
            <w:noWrap w:val="0"/>
            <w:vAlign w:val="center"/>
          </w:tcPr>
          <w:p w14:paraId="30F39C94">
            <w:pPr>
              <w:spacing w:line="240" w:lineRule="auto"/>
              <w:ind w:firstLine="0" w:firstLineChars="0"/>
              <w:jc w:val="center"/>
              <w:rPr>
                <w:rFonts w:hint="default" w:ascii="Times New Roman" w:hAnsi="Times New Roman" w:eastAsia="宋体" w:cs="Times New Roman"/>
                <w:i w:val="0"/>
                <w:iCs w:val="0"/>
                <w:color w:val="000000"/>
                <w:sz w:val="18"/>
                <w:szCs w:val="18"/>
                <w:u w:val="none"/>
              </w:rPr>
            </w:pPr>
          </w:p>
        </w:tc>
      </w:tr>
      <w:tr w14:paraId="614B6A1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3" w:hRule="atLeast"/>
        </w:trPr>
        <w:tc>
          <w:tcPr>
            <w:tcW w:w="273" w:type="pct"/>
            <w:tcBorders>
              <w:top w:val="nil"/>
              <w:left w:val="single" w:color="000000" w:sz="8" w:space="0"/>
              <w:bottom w:val="single" w:color="000000" w:sz="8" w:space="0"/>
              <w:right w:val="single" w:color="000000" w:sz="8" w:space="0"/>
            </w:tcBorders>
            <w:noWrap w:val="0"/>
            <w:vAlign w:val="center"/>
          </w:tcPr>
          <w:p w14:paraId="040119C6">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color w:val="000000"/>
                <w:kern w:val="0"/>
                <w:sz w:val="18"/>
                <w:szCs w:val="18"/>
                <w:u w:val="none"/>
                <w:lang w:val="en-US" w:eastAsia="zh-CN" w:bidi="ar"/>
              </w:rPr>
              <w:t>13</w:t>
            </w:r>
          </w:p>
        </w:tc>
        <w:tc>
          <w:tcPr>
            <w:tcW w:w="675" w:type="pct"/>
            <w:tcBorders>
              <w:top w:val="nil"/>
              <w:left w:val="nil"/>
              <w:bottom w:val="single" w:color="000000" w:sz="8" w:space="0"/>
              <w:right w:val="single" w:color="000000" w:sz="8" w:space="0"/>
            </w:tcBorders>
            <w:noWrap w:val="0"/>
            <w:vAlign w:val="center"/>
          </w:tcPr>
          <w:p w14:paraId="6A97A525">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安全评价费</w:t>
            </w:r>
          </w:p>
        </w:tc>
        <w:tc>
          <w:tcPr>
            <w:tcW w:w="398" w:type="pct"/>
            <w:tcBorders>
              <w:top w:val="nil"/>
              <w:left w:val="nil"/>
              <w:bottom w:val="single" w:color="000000" w:sz="8" w:space="0"/>
              <w:right w:val="single" w:color="000000" w:sz="8" w:space="0"/>
            </w:tcBorders>
            <w:noWrap w:val="0"/>
            <w:vAlign w:val="center"/>
          </w:tcPr>
          <w:p w14:paraId="2B118EAA">
            <w:pPr>
              <w:spacing w:line="240" w:lineRule="auto"/>
              <w:ind w:firstLine="0" w:firstLineChars="0"/>
              <w:jc w:val="center"/>
              <w:rPr>
                <w:rFonts w:hint="default" w:ascii="Times New Roman" w:hAnsi="Times New Roman" w:eastAsia="宋体" w:cs="Times New Roman"/>
                <w:i w:val="0"/>
                <w:iCs w:val="0"/>
                <w:color w:val="000000"/>
                <w:sz w:val="18"/>
                <w:szCs w:val="18"/>
                <w:u w:val="none"/>
              </w:rPr>
            </w:pPr>
          </w:p>
        </w:tc>
        <w:tc>
          <w:tcPr>
            <w:tcW w:w="398" w:type="pct"/>
            <w:tcBorders>
              <w:top w:val="nil"/>
              <w:left w:val="nil"/>
              <w:bottom w:val="single" w:color="000000" w:sz="8" w:space="0"/>
              <w:right w:val="single" w:color="000000" w:sz="8" w:space="0"/>
            </w:tcBorders>
            <w:noWrap w:val="0"/>
            <w:vAlign w:val="center"/>
          </w:tcPr>
          <w:p w14:paraId="69461AB7">
            <w:pPr>
              <w:spacing w:line="240" w:lineRule="auto"/>
              <w:ind w:firstLine="0" w:firstLineChars="0"/>
              <w:jc w:val="center"/>
              <w:rPr>
                <w:rFonts w:hint="default" w:ascii="Times New Roman" w:hAnsi="Times New Roman" w:eastAsia="宋体" w:cs="Times New Roman"/>
                <w:i w:val="0"/>
                <w:iCs w:val="0"/>
                <w:color w:val="000000"/>
                <w:sz w:val="18"/>
                <w:szCs w:val="18"/>
                <w:u w:val="none"/>
              </w:rPr>
            </w:pPr>
          </w:p>
        </w:tc>
        <w:tc>
          <w:tcPr>
            <w:tcW w:w="398" w:type="pct"/>
            <w:tcBorders>
              <w:top w:val="nil"/>
              <w:left w:val="nil"/>
              <w:bottom w:val="single" w:color="000000" w:sz="8" w:space="0"/>
              <w:right w:val="single" w:color="000000" w:sz="8" w:space="0"/>
            </w:tcBorders>
            <w:noWrap w:val="0"/>
            <w:vAlign w:val="center"/>
          </w:tcPr>
          <w:p w14:paraId="7F86F3A5">
            <w:pPr>
              <w:spacing w:line="240" w:lineRule="auto"/>
              <w:ind w:firstLine="0" w:firstLineChars="0"/>
              <w:jc w:val="center"/>
              <w:rPr>
                <w:rFonts w:hint="default" w:ascii="Times New Roman" w:hAnsi="Times New Roman" w:eastAsia="宋体" w:cs="Times New Roman"/>
                <w:i w:val="0"/>
                <w:iCs w:val="0"/>
                <w:color w:val="000000"/>
                <w:sz w:val="18"/>
                <w:szCs w:val="18"/>
                <w:u w:val="none"/>
              </w:rPr>
            </w:pPr>
          </w:p>
        </w:tc>
        <w:tc>
          <w:tcPr>
            <w:tcW w:w="346" w:type="pct"/>
            <w:tcBorders>
              <w:top w:val="nil"/>
              <w:left w:val="nil"/>
              <w:bottom w:val="single" w:color="000000" w:sz="8" w:space="0"/>
              <w:right w:val="single" w:color="000000" w:sz="8" w:space="0"/>
            </w:tcBorders>
            <w:noWrap w:val="0"/>
            <w:vAlign w:val="center"/>
          </w:tcPr>
          <w:p w14:paraId="1F5745CB">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color w:val="000000"/>
                <w:kern w:val="0"/>
                <w:sz w:val="18"/>
                <w:szCs w:val="18"/>
                <w:u w:val="none"/>
                <w:lang w:val="en-US" w:eastAsia="zh-CN" w:bidi="ar"/>
              </w:rPr>
              <w:t>26.93</w:t>
            </w:r>
          </w:p>
        </w:tc>
        <w:tc>
          <w:tcPr>
            <w:tcW w:w="326" w:type="pct"/>
            <w:tcBorders>
              <w:top w:val="nil"/>
              <w:left w:val="nil"/>
              <w:bottom w:val="single" w:color="000000" w:sz="8" w:space="0"/>
              <w:right w:val="single" w:color="000000" w:sz="8" w:space="0"/>
            </w:tcBorders>
            <w:noWrap w:val="0"/>
            <w:vAlign w:val="center"/>
          </w:tcPr>
          <w:p w14:paraId="3A045DD7">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color w:val="000000"/>
                <w:kern w:val="0"/>
                <w:sz w:val="18"/>
                <w:szCs w:val="18"/>
                <w:u w:val="none"/>
                <w:lang w:val="en-US" w:eastAsia="zh-CN" w:bidi="ar"/>
              </w:rPr>
              <w:t>26.93</w:t>
            </w:r>
          </w:p>
        </w:tc>
        <w:tc>
          <w:tcPr>
            <w:tcW w:w="837" w:type="pct"/>
            <w:gridSpan w:val="3"/>
            <w:tcBorders>
              <w:top w:val="nil"/>
              <w:left w:val="nil"/>
              <w:bottom w:val="single" w:color="000000" w:sz="8" w:space="0"/>
              <w:right w:val="nil"/>
            </w:tcBorders>
            <w:noWrap w:val="0"/>
            <w:vAlign w:val="center"/>
          </w:tcPr>
          <w:p w14:paraId="0C29DFA6">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2"/>
                <w:szCs w:val="12"/>
                <w:u w:val="none"/>
              </w:rPr>
            </w:pPr>
            <w:r>
              <w:rPr>
                <w:rFonts w:hint="eastAsia" w:ascii="宋体" w:hAnsi="宋体" w:eastAsia="宋体" w:cs="宋体"/>
                <w:i w:val="0"/>
                <w:iCs w:val="0"/>
                <w:color w:val="000000"/>
                <w:kern w:val="0"/>
                <w:sz w:val="12"/>
                <w:szCs w:val="12"/>
                <w:u w:val="none"/>
                <w:lang w:val="en-US" w:eastAsia="zh-CN" w:bidi="ar"/>
              </w:rPr>
              <w:t>参考川价费〔2003〕</w:t>
            </w:r>
            <w:r>
              <w:rPr>
                <w:rFonts w:hint="default" w:ascii="Times New Roman" w:hAnsi="Times New Roman" w:eastAsia="宋体" w:cs="Times New Roman"/>
                <w:i w:val="0"/>
                <w:iCs w:val="0"/>
                <w:color w:val="000000"/>
                <w:kern w:val="0"/>
                <w:sz w:val="12"/>
                <w:szCs w:val="12"/>
                <w:u w:val="none"/>
                <w:lang w:val="en-US" w:eastAsia="zh-CN" w:bidi="ar"/>
              </w:rPr>
              <w:t>156</w:t>
            </w:r>
            <w:r>
              <w:rPr>
                <w:rFonts w:hint="eastAsia" w:ascii="宋体" w:hAnsi="宋体" w:eastAsia="宋体" w:cs="宋体"/>
                <w:i w:val="0"/>
                <w:iCs w:val="0"/>
                <w:color w:val="000000"/>
                <w:kern w:val="0"/>
                <w:sz w:val="12"/>
                <w:szCs w:val="12"/>
                <w:u w:val="none"/>
                <w:lang w:val="en-US" w:eastAsia="zh-CN" w:bidi="ar"/>
              </w:rPr>
              <w:t>号计取</w:t>
            </w:r>
          </w:p>
        </w:tc>
        <w:tc>
          <w:tcPr>
            <w:tcW w:w="329" w:type="pct"/>
            <w:tcBorders>
              <w:top w:val="nil"/>
              <w:left w:val="nil"/>
              <w:bottom w:val="single" w:color="000000" w:sz="8" w:space="0"/>
              <w:right w:val="single" w:color="000000" w:sz="8" w:space="0"/>
            </w:tcBorders>
            <w:noWrap w:val="0"/>
            <w:vAlign w:val="center"/>
          </w:tcPr>
          <w:p w14:paraId="5DD33708">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b/>
                <w:bCs/>
                <w:i w:val="0"/>
                <w:iCs w:val="0"/>
                <w:color w:val="000000"/>
                <w:sz w:val="18"/>
                <w:szCs w:val="18"/>
                <w:u w:val="none"/>
              </w:rPr>
            </w:pPr>
            <w:r>
              <w:rPr>
                <w:rFonts w:hint="default" w:ascii="Times New Roman" w:hAnsi="Times New Roman" w:eastAsia="宋体" w:cs="Times New Roman"/>
                <w:b/>
                <w:bCs/>
                <w:i w:val="0"/>
                <w:iCs w:val="0"/>
                <w:color w:val="000000"/>
                <w:kern w:val="0"/>
                <w:sz w:val="18"/>
                <w:szCs w:val="18"/>
                <w:u w:val="none"/>
                <w:lang w:val="en-US" w:eastAsia="zh-CN" w:bidi="ar"/>
              </w:rPr>
              <w:t>0.26%</w:t>
            </w:r>
          </w:p>
        </w:tc>
        <w:tc>
          <w:tcPr>
            <w:tcW w:w="1013" w:type="pct"/>
            <w:tcBorders>
              <w:top w:val="nil"/>
              <w:left w:val="nil"/>
              <w:bottom w:val="single" w:color="000000" w:sz="8" w:space="0"/>
              <w:right w:val="single" w:color="000000" w:sz="8" w:space="0"/>
            </w:tcBorders>
            <w:noWrap w:val="0"/>
            <w:vAlign w:val="center"/>
          </w:tcPr>
          <w:p w14:paraId="37273541">
            <w:pPr>
              <w:spacing w:line="240" w:lineRule="auto"/>
              <w:ind w:firstLine="0" w:firstLineChars="0"/>
              <w:jc w:val="center"/>
              <w:rPr>
                <w:rFonts w:hint="default" w:ascii="Times New Roman" w:hAnsi="Times New Roman" w:eastAsia="宋体" w:cs="Times New Roman"/>
                <w:i w:val="0"/>
                <w:iCs w:val="0"/>
                <w:color w:val="000000"/>
                <w:sz w:val="18"/>
                <w:szCs w:val="18"/>
                <w:u w:val="none"/>
              </w:rPr>
            </w:pPr>
          </w:p>
        </w:tc>
      </w:tr>
      <w:tr w14:paraId="247F5AC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3" w:hRule="atLeast"/>
        </w:trPr>
        <w:tc>
          <w:tcPr>
            <w:tcW w:w="273" w:type="pct"/>
            <w:tcBorders>
              <w:top w:val="nil"/>
              <w:left w:val="single" w:color="000000" w:sz="8" w:space="0"/>
              <w:bottom w:val="single" w:color="000000" w:sz="8" w:space="0"/>
              <w:right w:val="single" w:color="000000" w:sz="8" w:space="0"/>
            </w:tcBorders>
            <w:noWrap w:val="0"/>
            <w:vAlign w:val="center"/>
          </w:tcPr>
          <w:p w14:paraId="71472CD8">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color w:val="000000"/>
                <w:kern w:val="0"/>
                <w:sz w:val="18"/>
                <w:szCs w:val="18"/>
                <w:u w:val="none"/>
                <w:lang w:val="en-US" w:eastAsia="zh-CN" w:bidi="ar"/>
              </w:rPr>
              <w:t>14</w:t>
            </w:r>
          </w:p>
        </w:tc>
        <w:tc>
          <w:tcPr>
            <w:tcW w:w="675" w:type="pct"/>
            <w:tcBorders>
              <w:top w:val="nil"/>
              <w:left w:val="nil"/>
              <w:bottom w:val="single" w:color="000000" w:sz="8" w:space="0"/>
              <w:right w:val="single" w:color="000000" w:sz="8" w:space="0"/>
            </w:tcBorders>
            <w:noWrap w:val="0"/>
            <w:vAlign w:val="center"/>
          </w:tcPr>
          <w:p w14:paraId="7CEAA2F6">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联合试运转费</w:t>
            </w:r>
          </w:p>
        </w:tc>
        <w:tc>
          <w:tcPr>
            <w:tcW w:w="398" w:type="pct"/>
            <w:tcBorders>
              <w:top w:val="nil"/>
              <w:left w:val="nil"/>
              <w:bottom w:val="single" w:color="000000" w:sz="8" w:space="0"/>
              <w:right w:val="single" w:color="000000" w:sz="8" w:space="0"/>
            </w:tcBorders>
            <w:noWrap w:val="0"/>
            <w:vAlign w:val="center"/>
          </w:tcPr>
          <w:p w14:paraId="46B7E241">
            <w:pPr>
              <w:spacing w:line="240" w:lineRule="auto"/>
              <w:ind w:firstLine="0" w:firstLineChars="0"/>
              <w:jc w:val="center"/>
              <w:rPr>
                <w:rFonts w:hint="default" w:ascii="Times New Roman" w:hAnsi="Times New Roman" w:eastAsia="宋体" w:cs="Times New Roman"/>
                <w:i w:val="0"/>
                <w:iCs w:val="0"/>
                <w:color w:val="000000"/>
                <w:sz w:val="18"/>
                <w:szCs w:val="18"/>
                <w:u w:val="none"/>
              </w:rPr>
            </w:pPr>
          </w:p>
        </w:tc>
        <w:tc>
          <w:tcPr>
            <w:tcW w:w="398" w:type="pct"/>
            <w:tcBorders>
              <w:top w:val="nil"/>
              <w:left w:val="nil"/>
              <w:bottom w:val="single" w:color="000000" w:sz="8" w:space="0"/>
              <w:right w:val="single" w:color="000000" w:sz="8" w:space="0"/>
            </w:tcBorders>
            <w:noWrap w:val="0"/>
            <w:vAlign w:val="center"/>
          </w:tcPr>
          <w:p w14:paraId="0E718368">
            <w:pPr>
              <w:spacing w:line="240" w:lineRule="auto"/>
              <w:ind w:firstLine="0" w:firstLineChars="0"/>
              <w:jc w:val="center"/>
              <w:rPr>
                <w:rFonts w:hint="default" w:ascii="Times New Roman" w:hAnsi="Times New Roman" w:eastAsia="宋体" w:cs="Times New Roman"/>
                <w:i w:val="0"/>
                <w:iCs w:val="0"/>
                <w:color w:val="000000"/>
                <w:sz w:val="18"/>
                <w:szCs w:val="18"/>
                <w:u w:val="none"/>
              </w:rPr>
            </w:pPr>
          </w:p>
        </w:tc>
        <w:tc>
          <w:tcPr>
            <w:tcW w:w="398" w:type="pct"/>
            <w:tcBorders>
              <w:top w:val="nil"/>
              <w:left w:val="nil"/>
              <w:bottom w:val="single" w:color="000000" w:sz="8" w:space="0"/>
              <w:right w:val="single" w:color="000000" w:sz="8" w:space="0"/>
            </w:tcBorders>
            <w:noWrap w:val="0"/>
            <w:vAlign w:val="center"/>
          </w:tcPr>
          <w:p w14:paraId="40C2FBC6">
            <w:pPr>
              <w:spacing w:line="240" w:lineRule="auto"/>
              <w:ind w:firstLine="0" w:firstLineChars="0"/>
              <w:jc w:val="center"/>
              <w:rPr>
                <w:rFonts w:hint="default" w:ascii="Times New Roman" w:hAnsi="Times New Roman" w:eastAsia="宋体" w:cs="Times New Roman"/>
                <w:i w:val="0"/>
                <w:iCs w:val="0"/>
                <w:color w:val="000000"/>
                <w:sz w:val="18"/>
                <w:szCs w:val="18"/>
                <w:u w:val="none"/>
              </w:rPr>
            </w:pPr>
          </w:p>
        </w:tc>
        <w:tc>
          <w:tcPr>
            <w:tcW w:w="346" w:type="pct"/>
            <w:tcBorders>
              <w:top w:val="nil"/>
              <w:left w:val="nil"/>
              <w:bottom w:val="single" w:color="000000" w:sz="8" w:space="0"/>
              <w:right w:val="single" w:color="000000" w:sz="8" w:space="0"/>
            </w:tcBorders>
            <w:noWrap w:val="0"/>
            <w:vAlign w:val="center"/>
          </w:tcPr>
          <w:p w14:paraId="4636B3B5">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color w:val="000000"/>
                <w:kern w:val="0"/>
                <w:sz w:val="18"/>
                <w:szCs w:val="18"/>
                <w:u w:val="none"/>
                <w:lang w:val="en-US" w:eastAsia="zh-CN" w:bidi="ar"/>
              </w:rPr>
              <w:t>42.79</w:t>
            </w:r>
          </w:p>
        </w:tc>
        <w:tc>
          <w:tcPr>
            <w:tcW w:w="326" w:type="pct"/>
            <w:tcBorders>
              <w:top w:val="nil"/>
              <w:left w:val="nil"/>
              <w:bottom w:val="single" w:color="000000" w:sz="8" w:space="0"/>
              <w:right w:val="single" w:color="000000" w:sz="8" w:space="0"/>
            </w:tcBorders>
            <w:noWrap w:val="0"/>
            <w:vAlign w:val="center"/>
          </w:tcPr>
          <w:p w14:paraId="6F9AD041">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color w:val="000000"/>
                <w:kern w:val="0"/>
                <w:sz w:val="18"/>
                <w:szCs w:val="18"/>
                <w:u w:val="none"/>
                <w:lang w:val="en-US" w:eastAsia="zh-CN" w:bidi="ar"/>
              </w:rPr>
              <w:t>42.79</w:t>
            </w:r>
          </w:p>
        </w:tc>
        <w:tc>
          <w:tcPr>
            <w:tcW w:w="837" w:type="pct"/>
            <w:gridSpan w:val="3"/>
            <w:tcBorders>
              <w:top w:val="nil"/>
              <w:left w:val="nil"/>
              <w:bottom w:val="single" w:color="000000" w:sz="8" w:space="0"/>
              <w:right w:val="nil"/>
            </w:tcBorders>
            <w:noWrap w:val="0"/>
            <w:vAlign w:val="center"/>
          </w:tcPr>
          <w:p w14:paraId="003908A3">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2"/>
                <w:szCs w:val="12"/>
                <w:u w:val="none"/>
              </w:rPr>
            </w:pPr>
            <w:r>
              <w:rPr>
                <w:rFonts w:hint="eastAsia" w:ascii="宋体" w:hAnsi="宋体" w:eastAsia="宋体" w:cs="宋体"/>
                <w:i w:val="0"/>
                <w:iCs w:val="0"/>
                <w:color w:val="000000"/>
                <w:kern w:val="0"/>
                <w:sz w:val="12"/>
                <w:szCs w:val="12"/>
                <w:u w:val="none"/>
                <w:lang w:val="en-US" w:eastAsia="zh-CN" w:bidi="ar"/>
              </w:rPr>
              <w:t>按市场价计取</w:t>
            </w:r>
          </w:p>
        </w:tc>
        <w:tc>
          <w:tcPr>
            <w:tcW w:w="329" w:type="pct"/>
            <w:tcBorders>
              <w:top w:val="nil"/>
              <w:left w:val="nil"/>
              <w:bottom w:val="single" w:color="000000" w:sz="8" w:space="0"/>
              <w:right w:val="single" w:color="000000" w:sz="8" w:space="0"/>
            </w:tcBorders>
            <w:noWrap w:val="0"/>
            <w:vAlign w:val="center"/>
          </w:tcPr>
          <w:p w14:paraId="5C4721BD">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b/>
                <w:bCs/>
                <w:i w:val="0"/>
                <w:iCs w:val="0"/>
                <w:color w:val="000000"/>
                <w:sz w:val="18"/>
                <w:szCs w:val="18"/>
                <w:u w:val="none"/>
              </w:rPr>
            </w:pPr>
            <w:r>
              <w:rPr>
                <w:rFonts w:hint="default" w:ascii="Times New Roman" w:hAnsi="Times New Roman" w:eastAsia="宋体" w:cs="Times New Roman"/>
                <w:b/>
                <w:bCs/>
                <w:i w:val="0"/>
                <w:iCs w:val="0"/>
                <w:color w:val="000000"/>
                <w:kern w:val="0"/>
                <w:sz w:val="18"/>
                <w:szCs w:val="18"/>
                <w:u w:val="none"/>
                <w:lang w:val="en-US" w:eastAsia="zh-CN" w:bidi="ar"/>
              </w:rPr>
              <w:t>0.42%</w:t>
            </w:r>
          </w:p>
        </w:tc>
        <w:tc>
          <w:tcPr>
            <w:tcW w:w="1013" w:type="pct"/>
            <w:tcBorders>
              <w:top w:val="nil"/>
              <w:left w:val="nil"/>
              <w:bottom w:val="single" w:color="000000" w:sz="8" w:space="0"/>
              <w:right w:val="single" w:color="000000" w:sz="8" w:space="0"/>
            </w:tcBorders>
            <w:noWrap w:val="0"/>
            <w:vAlign w:val="center"/>
          </w:tcPr>
          <w:p w14:paraId="4356F922">
            <w:pPr>
              <w:spacing w:line="240" w:lineRule="auto"/>
              <w:ind w:firstLine="0" w:firstLineChars="0"/>
              <w:jc w:val="center"/>
              <w:rPr>
                <w:rFonts w:hint="default" w:ascii="Times New Roman" w:hAnsi="Times New Roman" w:eastAsia="宋体" w:cs="Times New Roman"/>
                <w:i w:val="0"/>
                <w:iCs w:val="0"/>
                <w:color w:val="000000"/>
                <w:sz w:val="18"/>
                <w:szCs w:val="18"/>
                <w:u w:val="none"/>
              </w:rPr>
            </w:pPr>
          </w:p>
        </w:tc>
      </w:tr>
      <w:tr w14:paraId="14789C9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8" w:hRule="atLeast"/>
        </w:trPr>
        <w:tc>
          <w:tcPr>
            <w:tcW w:w="273" w:type="pct"/>
            <w:tcBorders>
              <w:top w:val="nil"/>
              <w:left w:val="single" w:color="000000" w:sz="8" w:space="0"/>
              <w:bottom w:val="single" w:color="000000" w:sz="8" w:space="0"/>
              <w:right w:val="single" w:color="000000" w:sz="8" w:space="0"/>
            </w:tcBorders>
            <w:noWrap w:val="0"/>
            <w:vAlign w:val="center"/>
          </w:tcPr>
          <w:p w14:paraId="28B9F2F7">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color w:val="000000"/>
                <w:kern w:val="0"/>
                <w:sz w:val="18"/>
                <w:szCs w:val="18"/>
                <w:u w:val="none"/>
                <w:lang w:val="en-US" w:eastAsia="zh-CN" w:bidi="ar"/>
              </w:rPr>
              <w:t>15</w:t>
            </w:r>
          </w:p>
        </w:tc>
        <w:tc>
          <w:tcPr>
            <w:tcW w:w="675" w:type="pct"/>
            <w:tcBorders>
              <w:top w:val="nil"/>
              <w:left w:val="nil"/>
              <w:bottom w:val="single" w:color="000000" w:sz="8" w:space="0"/>
              <w:right w:val="single" w:color="000000" w:sz="8" w:space="0"/>
            </w:tcBorders>
            <w:noWrap w:val="0"/>
            <w:vAlign w:val="center"/>
          </w:tcPr>
          <w:p w14:paraId="5D31B870">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其他</w:t>
            </w:r>
          </w:p>
        </w:tc>
        <w:tc>
          <w:tcPr>
            <w:tcW w:w="398" w:type="pct"/>
            <w:tcBorders>
              <w:top w:val="nil"/>
              <w:left w:val="nil"/>
              <w:bottom w:val="single" w:color="000000" w:sz="8" w:space="0"/>
              <w:right w:val="single" w:color="000000" w:sz="8" w:space="0"/>
            </w:tcBorders>
            <w:noWrap w:val="0"/>
            <w:vAlign w:val="center"/>
          </w:tcPr>
          <w:p w14:paraId="303ACA2C">
            <w:pPr>
              <w:spacing w:line="240" w:lineRule="auto"/>
              <w:ind w:firstLine="0" w:firstLineChars="0"/>
              <w:jc w:val="center"/>
              <w:rPr>
                <w:rFonts w:hint="default" w:ascii="Times New Roman" w:hAnsi="Times New Roman" w:eastAsia="宋体" w:cs="Times New Roman"/>
                <w:i w:val="0"/>
                <w:iCs w:val="0"/>
                <w:color w:val="000000"/>
                <w:sz w:val="18"/>
                <w:szCs w:val="18"/>
                <w:u w:val="none"/>
              </w:rPr>
            </w:pPr>
          </w:p>
        </w:tc>
        <w:tc>
          <w:tcPr>
            <w:tcW w:w="398" w:type="pct"/>
            <w:tcBorders>
              <w:top w:val="nil"/>
              <w:left w:val="nil"/>
              <w:bottom w:val="single" w:color="000000" w:sz="8" w:space="0"/>
              <w:right w:val="single" w:color="000000" w:sz="8" w:space="0"/>
            </w:tcBorders>
            <w:noWrap w:val="0"/>
            <w:vAlign w:val="center"/>
          </w:tcPr>
          <w:p w14:paraId="4B581FBC">
            <w:pPr>
              <w:spacing w:line="240" w:lineRule="auto"/>
              <w:ind w:firstLine="0" w:firstLineChars="0"/>
              <w:jc w:val="center"/>
              <w:rPr>
                <w:rFonts w:hint="default" w:ascii="Times New Roman" w:hAnsi="Times New Roman" w:eastAsia="宋体" w:cs="Times New Roman"/>
                <w:i w:val="0"/>
                <w:iCs w:val="0"/>
                <w:color w:val="000000"/>
                <w:sz w:val="18"/>
                <w:szCs w:val="18"/>
                <w:u w:val="none"/>
              </w:rPr>
            </w:pPr>
          </w:p>
        </w:tc>
        <w:tc>
          <w:tcPr>
            <w:tcW w:w="398" w:type="pct"/>
            <w:tcBorders>
              <w:top w:val="nil"/>
              <w:left w:val="nil"/>
              <w:bottom w:val="single" w:color="000000" w:sz="8" w:space="0"/>
              <w:right w:val="single" w:color="000000" w:sz="8" w:space="0"/>
            </w:tcBorders>
            <w:noWrap w:val="0"/>
            <w:vAlign w:val="center"/>
          </w:tcPr>
          <w:p w14:paraId="5FB575E5">
            <w:pPr>
              <w:spacing w:line="240" w:lineRule="auto"/>
              <w:ind w:firstLine="0" w:firstLineChars="0"/>
              <w:jc w:val="center"/>
              <w:rPr>
                <w:rFonts w:hint="default" w:ascii="Times New Roman" w:hAnsi="Times New Roman" w:eastAsia="宋体" w:cs="Times New Roman"/>
                <w:i w:val="0"/>
                <w:iCs w:val="0"/>
                <w:color w:val="000000"/>
                <w:sz w:val="18"/>
                <w:szCs w:val="18"/>
                <w:u w:val="none"/>
              </w:rPr>
            </w:pPr>
          </w:p>
        </w:tc>
        <w:tc>
          <w:tcPr>
            <w:tcW w:w="346" w:type="pct"/>
            <w:tcBorders>
              <w:top w:val="nil"/>
              <w:left w:val="nil"/>
              <w:bottom w:val="single" w:color="000000" w:sz="8" w:space="0"/>
              <w:right w:val="single" w:color="000000" w:sz="8" w:space="0"/>
            </w:tcBorders>
            <w:noWrap w:val="0"/>
            <w:vAlign w:val="center"/>
          </w:tcPr>
          <w:p w14:paraId="19E476D3">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color w:val="000000"/>
                <w:kern w:val="0"/>
                <w:sz w:val="18"/>
                <w:szCs w:val="18"/>
                <w:u w:val="none"/>
                <w:lang w:val="en-US" w:eastAsia="zh-CN" w:bidi="ar"/>
              </w:rPr>
              <w:t>45.42</w:t>
            </w:r>
          </w:p>
        </w:tc>
        <w:tc>
          <w:tcPr>
            <w:tcW w:w="326" w:type="pct"/>
            <w:tcBorders>
              <w:top w:val="nil"/>
              <w:left w:val="nil"/>
              <w:bottom w:val="single" w:color="000000" w:sz="8" w:space="0"/>
              <w:right w:val="single" w:color="000000" w:sz="8" w:space="0"/>
            </w:tcBorders>
            <w:noWrap w:val="0"/>
            <w:vAlign w:val="center"/>
          </w:tcPr>
          <w:p w14:paraId="2AE7AC23">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color w:val="000000"/>
                <w:kern w:val="0"/>
                <w:sz w:val="18"/>
                <w:szCs w:val="18"/>
                <w:u w:val="none"/>
                <w:lang w:val="en-US" w:eastAsia="zh-CN" w:bidi="ar"/>
              </w:rPr>
              <w:t>45.42</w:t>
            </w:r>
          </w:p>
        </w:tc>
        <w:tc>
          <w:tcPr>
            <w:tcW w:w="837" w:type="pct"/>
            <w:gridSpan w:val="3"/>
            <w:tcBorders>
              <w:top w:val="nil"/>
              <w:left w:val="nil"/>
              <w:bottom w:val="single" w:color="000000" w:sz="8" w:space="0"/>
              <w:right w:val="nil"/>
            </w:tcBorders>
            <w:noWrap w:val="0"/>
            <w:vAlign w:val="center"/>
          </w:tcPr>
          <w:p w14:paraId="0597FFE4">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2"/>
                <w:szCs w:val="12"/>
                <w:u w:val="none"/>
              </w:rPr>
            </w:pPr>
            <w:r>
              <w:rPr>
                <w:rFonts w:hint="eastAsia" w:ascii="宋体" w:hAnsi="宋体" w:eastAsia="宋体" w:cs="宋体"/>
                <w:i w:val="0"/>
                <w:iCs w:val="0"/>
                <w:color w:val="000000"/>
                <w:kern w:val="0"/>
                <w:sz w:val="12"/>
                <w:szCs w:val="12"/>
                <w:u w:val="none"/>
                <w:lang w:val="en-US" w:eastAsia="zh-CN" w:bidi="ar"/>
              </w:rPr>
              <w:t>环境影响费用、专项费用等；暂估</w:t>
            </w:r>
          </w:p>
        </w:tc>
        <w:tc>
          <w:tcPr>
            <w:tcW w:w="329" w:type="pct"/>
            <w:tcBorders>
              <w:top w:val="nil"/>
              <w:left w:val="nil"/>
              <w:bottom w:val="single" w:color="000000" w:sz="8" w:space="0"/>
              <w:right w:val="single" w:color="000000" w:sz="8" w:space="0"/>
            </w:tcBorders>
            <w:noWrap w:val="0"/>
            <w:vAlign w:val="center"/>
          </w:tcPr>
          <w:p w14:paraId="5CB6C1C5">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b/>
                <w:bCs/>
                <w:i w:val="0"/>
                <w:iCs w:val="0"/>
                <w:color w:val="000000"/>
                <w:sz w:val="18"/>
                <w:szCs w:val="18"/>
                <w:u w:val="none"/>
              </w:rPr>
            </w:pPr>
            <w:r>
              <w:rPr>
                <w:rFonts w:hint="default" w:ascii="Times New Roman" w:hAnsi="Times New Roman" w:eastAsia="宋体" w:cs="Times New Roman"/>
                <w:b/>
                <w:bCs/>
                <w:i w:val="0"/>
                <w:iCs w:val="0"/>
                <w:color w:val="000000"/>
                <w:kern w:val="0"/>
                <w:sz w:val="18"/>
                <w:szCs w:val="18"/>
                <w:u w:val="none"/>
                <w:lang w:val="en-US" w:eastAsia="zh-CN" w:bidi="ar"/>
              </w:rPr>
              <w:t>0.45%</w:t>
            </w:r>
          </w:p>
        </w:tc>
        <w:tc>
          <w:tcPr>
            <w:tcW w:w="1013" w:type="pct"/>
            <w:tcBorders>
              <w:top w:val="nil"/>
              <w:left w:val="nil"/>
              <w:bottom w:val="single" w:color="000000" w:sz="8" w:space="0"/>
              <w:right w:val="single" w:color="000000" w:sz="8" w:space="0"/>
            </w:tcBorders>
            <w:noWrap w:val="0"/>
            <w:vAlign w:val="center"/>
          </w:tcPr>
          <w:p w14:paraId="0E22C6D8">
            <w:pPr>
              <w:spacing w:line="240" w:lineRule="auto"/>
              <w:ind w:firstLine="0" w:firstLineChars="0"/>
              <w:jc w:val="center"/>
              <w:rPr>
                <w:rFonts w:hint="default" w:ascii="Times New Roman" w:hAnsi="Times New Roman" w:eastAsia="宋体" w:cs="Times New Roman"/>
                <w:i w:val="0"/>
                <w:iCs w:val="0"/>
                <w:color w:val="000000"/>
                <w:sz w:val="18"/>
                <w:szCs w:val="18"/>
                <w:u w:val="none"/>
              </w:rPr>
            </w:pPr>
          </w:p>
        </w:tc>
      </w:tr>
      <w:tr w14:paraId="3F5E15F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8" w:hRule="atLeast"/>
        </w:trPr>
        <w:tc>
          <w:tcPr>
            <w:tcW w:w="273" w:type="pct"/>
            <w:tcBorders>
              <w:top w:val="nil"/>
              <w:left w:val="single" w:color="000000" w:sz="8" w:space="0"/>
              <w:bottom w:val="single" w:color="000000" w:sz="8" w:space="0"/>
              <w:right w:val="single" w:color="000000" w:sz="8" w:space="0"/>
            </w:tcBorders>
            <w:noWrap w:val="0"/>
            <w:vAlign w:val="center"/>
          </w:tcPr>
          <w:p w14:paraId="1BC3EA2D">
            <w:pPr>
              <w:keepNext w:val="0"/>
              <w:keepLines w:val="0"/>
              <w:widowControl/>
              <w:suppressLineNumbers w:val="0"/>
              <w:spacing w:line="240" w:lineRule="auto"/>
              <w:ind w:firstLine="0" w:firstLineChars="0"/>
              <w:jc w:val="center"/>
              <w:textAlignment w:val="center"/>
              <w:rPr>
                <w:rFonts w:hint="eastAsia" w:ascii="宋体" w:hAnsi="宋体" w:eastAsia="宋体" w:cs="宋体"/>
                <w:b/>
                <w:bCs/>
                <w:i w:val="0"/>
                <w:iCs w:val="0"/>
                <w:color w:val="000000"/>
                <w:sz w:val="18"/>
                <w:szCs w:val="18"/>
                <w:u w:val="none"/>
              </w:rPr>
            </w:pPr>
            <w:r>
              <w:rPr>
                <w:rFonts w:hint="eastAsia" w:ascii="宋体" w:hAnsi="宋体" w:eastAsia="宋体" w:cs="宋体"/>
                <w:b/>
                <w:bCs/>
                <w:i w:val="0"/>
                <w:iCs w:val="0"/>
                <w:color w:val="000000"/>
                <w:kern w:val="0"/>
                <w:sz w:val="18"/>
                <w:szCs w:val="18"/>
                <w:u w:val="none"/>
                <w:lang w:val="en-US" w:eastAsia="zh-CN" w:bidi="ar"/>
              </w:rPr>
              <w:t>（三）</w:t>
            </w:r>
          </w:p>
        </w:tc>
        <w:tc>
          <w:tcPr>
            <w:tcW w:w="675" w:type="pct"/>
            <w:tcBorders>
              <w:top w:val="nil"/>
              <w:left w:val="nil"/>
              <w:bottom w:val="single" w:color="000000" w:sz="8" w:space="0"/>
              <w:right w:val="single" w:color="000000" w:sz="8" w:space="0"/>
            </w:tcBorders>
            <w:noWrap w:val="0"/>
            <w:vAlign w:val="center"/>
          </w:tcPr>
          <w:p w14:paraId="2F143DA0">
            <w:pPr>
              <w:keepNext w:val="0"/>
              <w:keepLines w:val="0"/>
              <w:widowControl/>
              <w:suppressLineNumbers w:val="0"/>
              <w:spacing w:line="240" w:lineRule="auto"/>
              <w:ind w:firstLine="0" w:firstLineChars="0"/>
              <w:jc w:val="center"/>
              <w:textAlignment w:val="center"/>
              <w:rPr>
                <w:rFonts w:hint="eastAsia" w:ascii="宋体" w:hAnsi="宋体" w:eastAsia="宋体" w:cs="宋体"/>
                <w:b/>
                <w:bCs/>
                <w:i w:val="0"/>
                <w:iCs w:val="0"/>
                <w:color w:val="000000"/>
                <w:sz w:val="18"/>
                <w:szCs w:val="18"/>
                <w:u w:val="none"/>
              </w:rPr>
            </w:pPr>
            <w:r>
              <w:rPr>
                <w:rFonts w:hint="eastAsia" w:ascii="宋体" w:hAnsi="宋体" w:eastAsia="宋体" w:cs="宋体"/>
                <w:b/>
                <w:bCs/>
                <w:i w:val="0"/>
                <w:iCs w:val="0"/>
                <w:color w:val="000000"/>
                <w:kern w:val="0"/>
                <w:sz w:val="18"/>
                <w:szCs w:val="18"/>
                <w:u w:val="none"/>
                <w:lang w:val="en-US" w:eastAsia="zh-CN" w:bidi="ar"/>
              </w:rPr>
              <w:t>预备费</w:t>
            </w:r>
          </w:p>
        </w:tc>
        <w:tc>
          <w:tcPr>
            <w:tcW w:w="398" w:type="pct"/>
            <w:tcBorders>
              <w:top w:val="nil"/>
              <w:left w:val="nil"/>
              <w:bottom w:val="single" w:color="000000" w:sz="8" w:space="0"/>
              <w:right w:val="single" w:color="000000" w:sz="8" w:space="0"/>
            </w:tcBorders>
            <w:noWrap w:val="0"/>
            <w:vAlign w:val="center"/>
          </w:tcPr>
          <w:p w14:paraId="1B730C9F">
            <w:pPr>
              <w:spacing w:line="240" w:lineRule="auto"/>
              <w:ind w:firstLine="0" w:firstLineChars="0"/>
              <w:jc w:val="center"/>
              <w:rPr>
                <w:rFonts w:hint="default" w:ascii="Times New Roman" w:hAnsi="Times New Roman" w:eastAsia="宋体" w:cs="Times New Roman"/>
                <w:b/>
                <w:bCs/>
                <w:i w:val="0"/>
                <w:iCs w:val="0"/>
                <w:color w:val="000000"/>
                <w:sz w:val="18"/>
                <w:szCs w:val="18"/>
                <w:u w:val="none"/>
              </w:rPr>
            </w:pPr>
          </w:p>
        </w:tc>
        <w:tc>
          <w:tcPr>
            <w:tcW w:w="398" w:type="pct"/>
            <w:tcBorders>
              <w:top w:val="nil"/>
              <w:left w:val="nil"/>
              <w:bottom w:val="single" w:color="000000" w:sz="8" w:space="0"/>
              <w:right w:val="single" w:color="000000" w:sz="8" w:space="0"/>
            </w:tcBorders>
            <w:noWrap w:val="0"/>
            <w:vAlign w:val="center"/>
          </w:tcPr>
          <w:p w14:paraId="2E7E5604">
            <w:pPr>
              <w:spacing w:line="240" w:lineRule="auto"/>
              <w:ind w:firstLine="0" w:firstLineChars="0"/>
              <w:jc w:val="center"/>
              <w:rPr>
                <w:rFonts w:hint="default" w:ascii="Times New Roman" w:hAnsi="Times New Roman" w:eastAsia="宋体" w:cs="Times New Roman"/>
                <w:b/>
                <w:bCs/>
                <w:i w:val="0"/>
                <w:iCs w:val="0"/>
                <w:color w:val="000000"/>
                <w:sz w:val="18"/>
                <w:szCs w:val="18"/>
                <w:u w:val="none"/>
              </w:rPr>
            </w:pPr>
          </w:p>
        </w:tc>
        <w:tc>
          <w:tcPr>
            <w:tcW w:w="398" w:type="pct"/>
            <w:tcBorders>
              <w:top w:val="nil"/>
              <w:left w:val="nil"/>
              <w:bottom w:val="single" w:color="000000" w:sz="8" w:space="0"/>
              <w:right w:val="single" w:color="000000" w:sz="8" w:space="0"/>
            </w:tcBorders>
            <w:noWrap w:val="0"/>
            <w:vAlign w:val="center"/>
          </w:tcPr>
          <w:p w14:paraId="7C118994">
            <w:pPr>
              <w:spacing w:line="240" w:lineRule="auto"/>
              <w:ind w:firstLine="0" w:firstLineChars="0"/>
              <w:jc w:val="center"/>
              <w:rPr>
                <w:rFonts w:hint="default" w:ascii="Times New Roman" w:hAnsi="Times New Roman" w:eastAsia="宋体" w:cs="Times New Roman"/>
                <w:b/>
                <w:bCs/>
                <w:i w:val="0"/>
                <w:iCs w:val="0"/>
                <w:color w:val="000000"/>
                <w:sz w:val="18"/>
                <w:szCs w:val="18"/>
                <w:u w:val="none"/>
              </w:rPr>
            </w:pPr>
          </w:p>
        </w:tc>
        <w:tc>
          <w:tcPr>
            <w:tcW w:w="346" w:type="pct"/>
            <w:tcBorders>
              <w:top w:val="nil"/>
              <w:left w:val="nil"/>
              <w:bottom w:val="single" w:color="000000" w:sz="8" w:space="0"/>
              <w:right w:val="single" w:color="000000" w:sz="8" w:space="0"/>
            </w:tcBorders>
            <w:noWrap w:val="0"/>
            <w:vAlign w:val="center"/>
          </w:tcPr>
          <w:p w14:paraId="33B91F30">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b/>
                <w:bCs/>
                <w:i w:val="0"/>
                <w:iCs w:val="0"/>
                <w:color w:val="000000"/>
                <w:sz w:val="18"/>
                <w:szCs w:val="18"/>
                <w:u w:val="none"/>
              </w:rPr>
            </w:pPr>
            <w:r>
              <w:rPr>
                <w:rFonts w:hint="default" w:ascii="Times New Roman" w:hAnsi="Times New Roman" w:eastAsia="宋体" w:cs="Times New Roman"/>
                <w:b/>
                <w:bCs/>
                <w:i w:val="0"/>
                <w:iCs w:val="0"/>
                <w:color w:val="000000"/>
                <w:kern w:val="0"/>
                <w:sz w:val="18"/>
                <w:szCs w:val="18"/>
                <w:u w:val="none"/>
                <w:lang w:val="en-US" w:eastAsia="zh-CN" w:bidi="ar"/>
              </w:rPr>
              <w:t>328.15</w:t>
            </w:r>
          </w:p>
        </w:tc>
        <w:tc>
          <w:tcPr>
            <w:tcW w:w="326" w:type="pct"/>
            <w:tcBorders>
              <w:top w:val="nil"/>
              <w:left w:val="nil"/>
              <w:bottom w:val="single" w:color="000000" w:sz="8" w:space="0"/>
              <w:right w:val="single" w:color="000000" w:sz="8" w:space="0"/>
            </w:tcBorders>
            <w:noWrap w:val="0"/>
            <w:vAlign w:val="center"/>
          </w:tcPr>
          <w:p w14:paraId="0345492F">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color w:val="000000"/>
                <w:kern w:val="0"/>
                <w:sz w:val="18"/>
                <w:szCs w:val="18"/>
                <w:u w:val="none"/>
                <w:lang w:val="en-US" w:eastAsia="zh-CN" w:bidi="ar"/>
              </w:rPr>
              <w:t>328.15</w:t>
            </w:r>
          </w:p>
        </w:tc>
        <w:tc>
          <w:tcPr>
            <w:tcW w:w="837" w:type="pct"/>
            <w:gridSpan w:val="3"/>
            <w:tcBorders>
              <w:top w:val="nil"/>
              <w:left w:val="nil"/>
              <w:bottom w:val="single" w:color="000000" w:sz="8" w:space="0"/>
              <w:right w:val="single" w:color="000000" w:sz="8" w:space="0"/>
            </w:tcBorders>
            <w:noWrap w:val="0"/>
            <w:vAlign w:val="center"/>
          </w:tcPr>
          <w:p w14:paraId="2C3EC085">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2"/>
                <w:szCs w:val="12"/>
                <w:u w:val="none"/>
              </w:rPr>
            </w:pPr>
            <w:r>
              <w:rPr>
                <w:rFonts w:hint="eastAsia" w:ascii="宋体" w:hAnsi="宋体" w:eastAsia="宋体" w:cs="宋体"/>
                <w:i w:val="0"/>
                <w:iCs w:val="0"/>
                <w:color w:val="000000"/>
                <w:kern w:val="0"/>
                <w:sz w:val="12"/>
                <w:szCs w:val="12"/>
                <w:u w:val="none"/>
                <w:lang w:val="en-US" w:eastAsia="zh-CN" w:bidi="ar"/>
              </w:rPr>
              <w:t>按4</w:t>
            </w:r>
            <w:r>
              <w:rPr>
                <w:rFonts w:hint="default" w:ascii="Times New Roman" w:hAnsi="Times New Roman" w:eastAsia="宋体" w:cs="Times New Roman"/>
                <w:i w:val="0"/>
                <w:iCs w:val="0"/>
                <w:color w:val="000000"/>
                <w:kern w:val="0"/>
                <w:sz w:val="12"/>
                <w:szCs w:val="12"/>
                <w:u w:val="none"/>
                <w:lang w:val="en-US" w:eastAsia="zh-CN" w:bidi="ar"/>
              </w:rPr>
              <w:t>.15%</w:t>
            </w:r>
            <w:r>
              <w:rPr>
                <w:rFonts w:hint="eastAsia" w:ascii="宋体" w:hAnsi="宋体" w:eastAsia="宋体" w:cs="宋体"/>
                <w:i w:val="0"/>
                <w:iCs w:val="0"/>
                <w:color w:val="000000"/>
                <w:kern w:val="0"/>
                <w:sz w:val="12"/>
                <w:szCs w:val="12"/>
                <w:u w:val="none"/>
                <w:lang w:val="en-US" w:eastAsia="zh-CN" w:bidi="ar"/>
              </w:rPr>
              <w:t>计</w:t>
            </w:r>
          </w:p>
        </w:tc>
        <w:tc>
          <w:tcPr>
            <w:tcW w:w="329" w:type="pct"/>
            <w:tcBorders>
              <w:top w:val="nil"/>
              <w:left w:val="nil"/>
              <w:bottom w:val="single" w:color="000000" w:sz="8" w:space="0"/>
              <w:right w:val="single" w:color="000000" w:sz="8" w:space="0"/>
            </w:tcBorders>
            <w:noWrap w:val="0"/>
            <w:vAlign w:val="center"/>
          </w:tcPr>
          <w:p w14:paraId="59250CC8">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b/>
                <w:bCs/>
                <w:i w:val="0"/>
                <w:iCs w:val="0"/>
                <w:color w:val="000000"/>
                <w:sz w:val="18"/>
                <w:szCs w:val="18"/>
                <w:u w:val="none"/>
              </w:rPr>
            </w:pPr>
            <w:r>
              <w:rPr>
                <w:rFonts w:hint="default" w:ascii="Times New Roman" w:hAnsi="Times New Roman" w:eastAsia="宋体" w:cs="Times New Roman"/>
                <w:b/>
                <w:bCs/>
                <w:i w:val="0"/>
                <w:iCs w:val="0"/>
                <w:color w:val="000000"/>
                <w:kern w:val="0"/>
                <w:sz w:val="18"/>
                <w:szCs w:val="18"/>
                <w:u w:val="none"/>
                <w:lang w:val="en-US" w:eastAsia="zh-CN" w:bidi="ar"/>
              </w:rPr>
              <w:t>3.22%</w:t>
            </w:r>
          </w:p>
        </w:tc>
        <w:tc>
          <w:tcPr>
            <w:tcW w:w="1013" w:type="pct"/>
            <w:tcBorders>
              <w:top w:val="nil"/>
              <w:left w:val="nil"/>
              <w:bottom w:val="single" w:color="000000" w:sz="8" w:space="0"/>
              <w:right w:val="single" w:color="000000" w:sz="8" w:space="0"/>
            </w:tcBorders>
            <w:noWrap w:val="0"/>
            <w:vAlign w:val="center"/>
          </w:tcPr>
          <w:p w14:paraId="6EF0923C">
            <w:pPr>
              <w:spacing w:line="240" w:lineRule="auto"/>
              <w:ind w:firstLine="0" w:firstLineChars="0"/>
              <w:jc w:val="center"/>
              <w:rPr>
                <w:rFonts w:hint="default" w:ascii="Times New Roman" w:hAnsi="Times New Roman" w:eastAsia="宋体" w:cs="Times New Roman"/>
                <w:b/>
                <w:bCs/>
                <w:i w:val="0"/>
                <w:iCs w:val="0"/>
                <w:color w:val="000000"/>
                <w:sz w:val="18"/>
                <w:szCs w:val="18"/>
                <w:u w:val="none"/>
              </w:rPr>
            </w:pPr>
          </w:p>
        </w:tc>
      </w:tr>
      <w:tr w14:paraId="0902D7D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47" w:hRule="atLeast"/>
        </w:trPr>
        <w:tc>
          <w:tcPr>
            <w:tcW w:w="273" w:type="pct"/>
            <w:tcBorders>
              <w:top w:val="nil"/>
              <w:left w:val="single" w:color="000000" w:sz="8" w:space="0"/>
              <w:bottom w:val="single" w:color="000000" w:sz="8" w:space="0"/>
              <w:right w:val="single" w:color="000000" w:sz="8" w:space="0"/>
            </w:tcBorders>
            <w:noWrap w:val="0"/>
            <w:vAlign w:val="center"/>
          </w:tcPr>
          <w:p w14:paraId="282A2AE8">
            <w:pPr>
              <w:keepNext w:val="0"/>
              <w:keepLines w:val="0"/>
              <w:widowControl/>
              <w:suppressLineNumbers w:val="0"/>
              <w:spacing w:line="240" w:lineRule="auto"/>
              <w:ind w:firstLine="0" w:firstLineChars="0"/>
              <w:jc w:val="center"/>
              <w:textAlignment w:val="center"/>
              <w:rPr>
                <w:rFonts w:hint="eastAsia" w:ascii="宋体" w:hAnsi="宋体" w:eastAsia="宋体" w:cs="宋体"/>
                <w:b/>
                <w:bCs/>
                <w:i w:val="0"/>
                <w:iCs w:val="0"/>
                <w:color w:val="000000"/>
                <w:sz w:val="18"/>
                <w:szCs w:val="18"/>
                <w:u w:val="none"/>
              </w:rPr>
            </w:pPr>
            <w:r>
              <w:rPr>
                <w:rFonts w:hint="eastAsia" w:ascii="宋体" w:hAnsi="宋体" w:eastAsia="宋体" w:cs="宋体"/>
                <w:b/>
                <w:bCs/>
                <w:i w:val="0"/>
                <w:iCs w:val="0"/>
                <w:color w:val="000000"/>
                <w:kern w:val="0"/>
                <w:sz w:val="18"/>
                <w:szCs w:val="18"/>
                <w:u w:val="none"/>
                <w:lang w:val="en-US" w:eastAsia="zh-CN" w:bidi="ar"/>
              </w:rPr>
              <w:t>第二部分</w:t>
            </w:r>
          </w:p>
        </w:tc>
        <w:tc>
          <w:tcPr>
            <w:tcW w:w="675" w:type="pct"/>
            <w:tcBorders>
              <w:top w:val="nil"/>
              <w:left w:val="nil"/>
              <w:bottom w:val="single" w:color="000000" w:sz="8" w:space="0"/>
              <w:right w:val="single" w:color="000000" w:sz="8" w:space="0"/>
            </w:tcBorders>
            <w:noWrap w:val="0"/>
            <w:vAlign w:val="center"/>
          </w:tcPr>
          <w:p w14:paraId="3BEABD9F">
            <w:pPr>
              <w:keepNext w:val="0"/>
              <w:keepLines w:val="0"/>
              <w:widowControl/>
              <w:suppressLineNumbers w:val="0"/>
              <w:spacing w:line="240" w:lineRule="auto"/>
              <w:ind w:firstLine="0" w:firstLineChars="0"/>
              <w:jc w:val="center"/>
              <w:textAlignment w:val="center"/>
              <w:rPr>
                <w:rFonts w:hint="eastAsia" w:ascii="宋体" w:hAnsi="宋体" w:eastAsia="宋体" w:cs="宋体"/>
                <w:b/>
                <w:bCs/>
                <w:i w:val="0"/>
                <w:iCs w:val="0"/>
                <w:color w:val="000000"/>
                <w:sz w:val="18"/>
                <w:szCs w:val="18"/>
                <w:u w:val="none"/>
              </w:rPr>
            </w:pPr>
            <w:r>
              <w:rPr>
                <w:rFonts w:hint="eastAsia" w:ascii="宋体" w:hAnsi="宋体" w:eastAsia="宋体" w:cs="宋体"/>
                <w:b/>
                <w:bCs/>
                <w:i w:val="0"/>
                <w:iCs w:val="0"/>
                <w:color w:val="000000"/>
                <w:kern w:val="0"/>
                <w:sz w:val="18"/>
                <w:szCs w:val="18"/>
                <w:u w:val="none"/>
                <w:lang w:val="en-US" w:eastAsia="zh-CN" w:bidi="ar"/>
              </w:rPr>
              <w:t>建设期利息和手续费</w:t>
            </w:r>
          </w:p>
        </w:tc>
        <w:tc>
          <w:tcPr>
            <w:tcW w:w="398" w:type="pct"/>
            <w:tcBorders>
              <w:top w:val="nil"/>
              <w:left w:val="nil"/>
              <w:bottom w:val="single" w:color="000000" w:sz="8" w:space="0"/>
              <w:right w:val="single" w:color="000000" w:sz="8" w:space="0"/>
            </w:tcBorders>
            <w:noWrap w:val="0"/>
            <w:vAlign w:val="center"/>
          </w:tcPr>
          <w:p w14:paraId="348365E8">
            <w:pPr>
              <w:spacing w:line="240" w:lineRule="auto"/>
              <w:ind w:firstLine="0" w:firstLineChars="0"/>
              <w:jc w:val="center"/>
              <w:rPr>
                <w:rFonts w:hint="default" w:ascii="Times New Roman" w:hAnsi="Times New Roman" w:eastAsia="宋体" w:cs="Times New Roman"/>
                <w:b/>
                <w:bCs/>
                <w:i w:val="0"/>
                <w:iCs w:val="0"/>
                <w:color w:val="000000"/>
                <w:sz w:val="18"/>
                <w:szCs w:val="18"/>
                <w:u w:val="none"/>
              </w:rPr>
            </w:pPr>
          </w:p>
        </w:tc>
        <w:tc>
          <w:tcPr>
            <w:tcW w:w="398" w:type="pct"/>
            <w:tcBorders>
              <w:top w:val="nil"/>
              <w:left w:val="nil"/>
              <w:bottom w:val="single" w:color="000000" w:sz="8" w:space="0"/>
              <w:right w:val="single" w:color="000000" w:sz="8" w:space="0"/>
            </w:tcBorders>
            <w:noWrap w:val="0"/>
            <w:vAlign w:val="center"/>
          </w:tcPr>
          <w:p w14:paraId="5EAF39E4">
            <w:pPr>
              <w:spacing w:line="240" w:lineRule="auto"/>
              <w:ind w:firstLine="0" w:firstLineChars="0"/>
              <w:jc w:val="center"/>
              <w:rPr>
                <w:rFonts w:hint="default" w:ascii="Times New Roman" w:hAnsi="Times New Roman" w:eastAsia="宋体" w:cs="Times New Roman"/>
                <w:b/>
                <w:bCs/>
                <w:i w:val="0"/>
                <w:iCs w:val="0"/>
                <w:color w:val="000000"/>
                <w:sz w:val="18"/>
                <w:szCs w:val="18"/>
                <w:u w:val="none"/>
              </w:rPr>
            </w:pPr>
          </w:p>
        </w:tc>
        <w:tc>
          <w:tcPr>
            <w:tcW w:w="398" w:type="pct"/>
            <w:tcBorders>
              <w:top w:val="nil"/>
              <w:left w:val="nil"/>
              <w:bottom w:val="single" w:color="000000" w:sz="8" w:space="0"/>
              <w:right w:val="single" w:color="000000" w:sz="8" w:space="0"/>
            </w:tcBorders>
            <w:noWrap w:val="0"/>
            <w:vAlign w:val="center"/>
          </w:tcPr>
          <w:p w14:paraId="450B526B">
            <w:pPr>
              <w:spacing w:line="240" w:lineRule="auto"/>
              <w:ind w:firstLine="0" w:firstLineChars="0"/>
              <w:jc w:val="center"/>
              <w:rPr>
                <w:rFonts w:hint="default" w:ascii="Times New Roman" w:hAnsi="Times New Roman" w:eastAsia="宋体" w:cs="Times New Roman"/>
                <w:b/>
                <w:bCs/>
                <w:i w:val="0"/>
                <w:iCs w:val="0"/>
                <w:color w:val="000000"/>
                <w:sz w:val="18"/>
                <w:szCs w:val="18"/>
                <w:u w:val="none"/>
              </w:rPr>
            </w:pPr>
          </w:p>
        </w:tc>
        <w:tc>
          <w:tcPr>
            <w:tcW w:w="346" w:type="pct"/>
            <w:tcBorders>
              <w:top w:val="nil"/>
              <w:left w:val="nil"/>
              <w:bottom w:val="single" w:color="000000" w:sz="8" w:space="0"/>
              <w:right w:val="single" w:color="000000" w:sz="8" w:space="0"/>
            </w:tcBorders>
            <w:noWrap w:val="0"/>
            <w:vAlign w:val="center"/>
          </w:tcPr>
          <w:p w14:paraId="060921D7">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b/>
                <w:bCs/>
                <w:i w:val="0"/>
                <w:iCs w:val="0"/>
                <w:color w:val="000000"/>
                <w:sz w:val="18"/>
                <w:szCs w:val="18"/>
                <w:u w:val="none"/>
              </w:rPr>
            </w:pPr>
            <w:r>
              <w:rPr>
                <w:rFonts w:hint="default" w:ascii="Times New Roman" w:hAnsi="Times New Roman" w:eastAsia="宋体" w:cs="Times New Roman"/>
                <w:b/>
                <w:bCs/>
                <w:i w:val="0"/>
                <w:iCs w:val="0"/>
                <w:color w:val="000000"/>
                <w:kern w:val="0"/>
                <w:sz w:val="18"/>
                <w:szCs w:val="18"/>
                <w:u w:val="none"/>
                <w:lang w:val="en-US" w:eastAsia="zh-CN" w:bidi="ar"/>
              </w:rPr>
              <w:t>322</w:t>
            </w:r>
          </w:p>
        </w:tc>
        <w:tc>
          <w:tcPr>
            <w:tcW w:w="326" w:type="pct"/>
            <w:tcBorders>
              <w:top w:val="nil"/>
              <w:left w:val="nil"/>
              <w:bottom w:val="single" w:color="000000" w:sz="8" w:space="0"/>
              <w:right w:val="single" w:color="000000" w:sz="8" w:space="0"/>
            </w:tcBorders>
            <w:noWrap w:val="0"/>
            <w:vAlign w:val="center"/>
          </w:tcPr>
          <w:p w14:paraId="63A5C90E">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color w:val="000000"/>
                <w:kern w:val="0"/>
                <w:sz w:val="18"/>
                <w:szCs w:val="18"/>
                <w:u w:val="none"/>
                <w:lang w:val="en-US" w:eastAsia="zh-CN" w:bidi="ar"/>
              </w:rPr>
              <w:t>322</w:t>
            </w:r>
          </w:p>
        </w:tc>
        <w:tc>
          <w:tcPr>
            <w:tcW w:w="148" w:type="pct"/>
            <w:tcBorders>
              <w:top w:val="nil"/>
              <w:left w:val="nil"/>
              <w:bottom w:val="single" w:color="000000" w:sz="8" w:space="0"/>
              <w:right w:val="single" w:color="000000" w:sz="8" w:space="0"/>
            </w:tcBorders>
            <w:noWrap w:val="0"/>
            <w:vAlign w:val="center"/>
          </w:tcPr>
          <w:p w14:paraId="0A4C4B2D">
            <w:pPr>
              <w:spacing w:line="240" w:lineRule="auto"/>
              <w:ind w:firstLine="0" w:firstLineChars="0"/>
              <w:jc w:val="center"/>
              <w:rPr>
                <w:rFonts w:hint="default" w:ascii="Times New Roman" w:hAnsi="Times New Roman" w:eastAsia="宋体" w:cs="Times New Roman"/>
                <w:b/>
                <w:bCs/>
                <w:i w:val="0"/>
                <w:iCs w:val="0"/>
                <w:color w:val="000000"/>
                <w:sz w:val="12"/>
                <w:szCs w:val="12"/>
                <w:u w:val="none"/>
              </w:rPr>
            </w:pPr>
          </w:p>
        </w:tc>
        <w:tc>
          <w:tcPr>
            <w:tcW w:w="211" w:type="pct"/>
            <w:tcBorders>
              <w:top w:val="nil"/>
              <w:left w:val="nil"/>
              <w:bottom w:val="single" w:color="000000" w:sz="8" w:space="0"/>
              <w:right w:val="single" w:color="000000" w:sz="8" w:space="0"/>
            </w:tcBorders>
            <w:noWrap w:val="0"/>
            <w:vAlign w:val="center"/>
          </w:tcPr>
          <w:p w14:paraId="42DF2E20">
            <w:pPr>
              <w:spacing w:line="240" w:lineRule="auto"/>
              <w:ind w:firstLine="0" w:firstLineChars="0"/>
              <w:jc w:val="center"/>
              <w:rPr>
                <w:rFonts w:hint="default" w:ascii="Times New Roman" w:hAnsi="Times New Roman" w:eastAsia="宋体" w:cs="Times New Roman"/>
                <w:b/>
                <w:bCs/>
                <w:i w:val="0"/>
                <w:iCs w:val="0"/>
                <w:color w:val="000000"/>
                <w:sz w:val="12"/>
                <w:szCs w:val="12"/>
                <w:u w:val="none"/>
              </w:rPr>
            </w:pPr>
          </w:p>
        </w:tc>
        <w:tc>
          <w:tcPr>
            <w:tcW w:w="478" w:type="pct"/>
            <w:tcBorders>
              <w:top w:val="nil"/>
              <w:left w:val="nil"/>
              <w:bottom w:val="single" w:color="000000" w:sz="8" w:space="0"/>
              <w:right w:val="single" w:color="000000" w:sz="8" w:space="0"/>
            </w:tcBorders>
            <w:noWrap w:val="0"/>
            <w:vAlign w:val="center"/>
          </w:tcPr>
          <w:p w14:paraId="4E310B52">
            <w:pPr>
              <w:spacing w:line="240" w:lineRule="auto"/>
              <w:ind w:firstLine="0" w:firstLineChars="0"/>
              <w:jc w:val="center"/>
              <w:rPr>
                <w:rFonts w:hint="default" w:ascii="Times New Roman" w:hAnsi="Times New Roman" w:eastAsia="宋体" w:cs="Times New Roman"/>
                <w:b/>
                <w:bCs/>
                <w:i w:val="0"/>
                <w:iCs w:val="0"/>
                <w:color w:val="000000"/>
                <w:sz w:val="12"/>
                <w:szCs w:val="12"/>
                <w:u w:val="none"/>
              </w:rPr>
            </w:pPr>
          </w:p>
        </w:tc>
        <w:tc>
          <w:tcPr>
            <w:tcW w:w="329" w:type="pct"/>
            <w:tcBorders>
              <w:top w:val="nil"/>
              <w:left w:val="nil"/>
              <w:bottom w:val="single" w:color="000000" w:sz="8" w:space="0"/>
              <w:right w:val="single" w:color="000000" w:sz="8" w:space="0"/>
            </w:tcBorders>
            <w:noWrap w:val="0"/>
            <w:vAlign w:val="center"/>
          </w:tcPr>
          <w:p w14:paraId="097EC960">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b/>
                <w:bCs/>
                <w:i w:val="0"/>
                <w:iCs w:val="0"/>
                <w:color w:val="000000"/>
                <w:sz w:val="18"/>
                <w:szCs w:val="18"/>
                <w:u w:val="none"/>
              </w:rPr>
            </w:pPr>
            <w:r>
              <w:rPr>
                <w:rFonts w:hint="default" w:ascii="Times New Roman" w:hAnsi="Times New Roman" w:eastAsia="宋体" w:cs="Times New Roman"/>
                <w:b/>
                <w:bCs/>
                <w:i w:val="0"/>
                <w:iCs w:val="0"/>
                <w:color w:val="000000"/>
                <w:kern w:val="0"/>
                <w:sz w:val="18"/>
                <w:szCs w:val="18"/>
                <w:u w:val="none"/>
                <w:lang w:val="en-US" w:eastAsia="zh-CN" w:bidi="ar"/>
              </w:rPr>
              <w:t>3.16%</w:t>
            </w:r>
          </w:p>
        </w:tc>
        <w:tc>
          <w:tcPr>
            <w:tcW w:w="1013" w:type="pct"/>
            <w:tcBorders>
              <w:top w:val="single" w:color="000000" w:sz="8" w:space="0"/>
              <w:left w:val="nil"/>
              <w:bottom w:val="single" w:color="000000" w:sz="8" w:space="0"/>
              <w:right w:val="single" w:color="000000" w:sz="8" w:space="0"/>
            </w:tcBorders>
            <w:noWrap w:val="0"/>
            <w:vAlign w:val="center"/>
          </w:tcPr>
          <w:p w14:paraId="5FA14926">
            <w:pPr>
              <w:spacing w:line="240" w:lineRule="auto"/>
              <w:ind w:firstLine="0" w:firstLineChars="0"/>
              <w:jc w:val="center"/>
              <w:rPr>
                <w:rFonts w:hint="default" w:ascii="Times New Roman" w:hAnsi="Times New Roman" w:eastAsia="宋体" w:cs="Times New Roman"/>
                <w:b/>
                <w:bCs/>
                <w:i w:val="0"/>
                <w:iCs w:val="0"/>
                <w:color w:val="000000"/>
                <w:sz w:val="18"/>
                <w:szCs w:val="18"/>
                <w:u w:val="none"/>
              </w:rPr>
            </w:pPr>
          </w:p>
        </w:tc>
      </w:tr>
      <w:tr w14:paraId="7D676FF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3" w:hRule="atLeast"/>
        </w:trPr>
        <w:tc>
          <w:tcPr>
            <w:tcW w:w="273" w:type="pct"/>
            <w:tcBorders>
              <w:top w:val="nil"/>
              <w:left w:val="single" w:color="000000" w:sz="8" w:space="0"/>
              <w:bottom w:val="single" w:color="000000" w:sz="8" w:space="0"/>
              <w:right w:val="single" w:color="000000" w:sz="8" w:space="0"/>
            </w:tcBorders>
            <w:noWrap w:val="0"/>
            <w:vAlign w:val="center"/>
          </w:tcPr>
          <w:p w14:paraId="5702B151">
            <w:pPr>
              <w:spacing w:line="240" w:lineRule="auto"/>
              <w:ind w:firstLine="0" w:firstLineChars="0"/>
              <w:jc w:val="center"/>
              <w:rPr>
                <w:rFonts w:hint="default" w:ascii="Times New Roman" w:hAnsi="Times New Roman" w:eastAsia="宋体" w:cs="Times New Roman"/>
                <w:i w:val="0"/>
                <w:iCs w:val="0"/>
                <w:color w:val="000000"/>
                <w:sz w:val="18"/>
                <w:szCs w:val="18"/>
                <w:u w:val="none"/>
              </w:rPr>
            </w:pPr>
          </w:p>
        </w:tc>
        <w:tc>
          <w:tcPr>
            <w:tcW w:w="675" w:type="pct"/>
            <w:tcBorders>
              <w:top w:val="nil"/>
              <w:left w:val="nil"/>
              <w:bottom w:val="single" w:color="000000" w:sz="8" w:space="0"/>
              <w:right w:val="single" w:color="000000" w:sz="8" w:space="0"/>
            </w:tcBorders>
            <w:noWrap w:val="0"/>
            <w:vAlign w:val="center"/>
          </w:tcPr>
          <w:p w14:paraId="61A2CD86">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手续费</w:t>
            </w:r>
          </w:p>
        </w:tc>
        <w:tc>
          <w:tcPr>
            <w:tcW w:w="398" w:type="pct"/>
            <w:tcBorders>
              <w:top w:val="nil"/>
              <w:left w:val="nil"/>
              <w:bottom w:val="single" w:color="000000" w:sz="8" w:space="0"/>
              <w:right w:val="single" w:color="000000" w:sz="8" w:space="0"/>
            </w:tcBorders>
            <w:noWrap w:val="0"/>
            <w:vAlign w:val="center"/>
          </w:tcPr>
          <w:p w14:paraId="06D03F8F">
            <w:pPr>
              <w:spacing w:line="240" w:lineRule="auto"/>
              <w:ind w:firstLine="0" w:firstLineChars="0"/>
              <w:jc w:val="center"/>
              <w:rPr>
                <w:rFonts w:hint="default" w:ascii="Times New Roman" w:hAnsi="Times New Roman" w:eastAsia="宋体" w:cs="Times New Roman"/>
                <w:i w:val="0"/>
                <w:iCs w:val="0"/>
                <w:color w:val="000000"/>
                <w:sz w:val="18"/>
                <w:szCs w:val="18"/>
                <w:u w:val="none"/>
              </w:rPr>
            </w:pPr>
          </w:p>
        </w:tc>
        <w:tc>
          <w:tcPr>
            <w:tcW w:w="398" w:type="pct"/>
            <w:tcBorders>
              <w:top w:val="nil"/>
              <w:left w:val="nil"/>
              <w:bottom w:val="single" w:color="000000" w:sz="8" w:space="0"/>
              <w:right w:val="single" w:color="000000" w:sz="8" w:space="0"/>
            </w:tcBorders>
            <w:noWrap w:val="0"/>
            <w:vAlign w:val="center"/>
          </w:tcPr>
          <w:p w14:paraId="2D5F7215">
            <w:pPr>
              <w:spacing w:line="240" w:lineRule="auto"/>
              <w:ind w:firstLine="0" w:firstLineChars="0"/>
              <w:jc w:val="center"/>
              <w:rPr>
                <w:rFonts w:hint="default" w:ascii="Times New Roman" w:hAnsi="Times New Roman" w:eastAsia="宋体" w:cs="Times New Roman"/>
                <w:i w:val="0"/>
                <w:iCs w:val="0"/>
                <w:color w:val="000000"/>
                <w:sz w:val="18"/>
                <w:szCs w:val="18"/>
                <w:u w:val="none"/>
              </w:rPr>
            </w:pPr>
          </w:p>
        </w:tc>
        <w:tc>
          <w:tcPr>
            <w:tcW w:w="398" w:type="pct"/>
            <w:tcBorders>
              <w:top w:val="nil"/>
              <w:left w:val="nil"/>
              <w:bottom w:val="single" w:color="000000" w:sz="8" w:space="0"/>
              <w:right w:val="single" w:color="000000" w:sz="8" w:space="0"/>
            </w:tcBorders>
            <w:noWrap w:val="0"/>
            <w:vAlign w:val="center"/>
          </w:tcPr>
          <w:p w14:paraId="25BB4CCB">
            <w:pPr>
              <w:spacing w:line="240" w:lineRule="auto"/>
              <w:ind w:firstLine="0" w:firstLineChars="0"/>
              <w:jc w:val="center"/>
              <w:rPr>
                <w:rFonts w:hint="default" w:ascii="Times New Roman" w:hAnsi="Times New Roman" w:eastAsia="宋体" w:cs="Times New Roman"/>
                <w:i w:val="0"/>
                <w:iCs w:val="0"/>
                <w:color w:val="000000"/>
                <w:sz w:val="18"/>
                <w:szCs w:val="18"/>
                <w:u w:val="none"/>
              </w:rPr>
            </w:pPr>
          </w:p>
        </w:tc>
        <w:tc>
          <w:tcPr>
            <w:tcW w:w="346" w:type="pct"/>
            <w:tcBorders>
              <w:top w:val="nil"/>
              <w:left w:val="nil"/>
              <w:bottom w:val="single" w:color="000000" w:sz="8" w:space="0"/>
              <w:right w:val="single" w:color="000000" w:sz="8" w:space="0"/>
            </w:tcBorders>
            <w:noWrap w:val="0"/>
            <w:vAlign w:val="center"/>
          </w:tcPr>
          <w:p w14:paraId="20AE0ED8">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color w:val="000000"/>
                <w:kern w:val="0"/>
                <w:sz w:val="18"/>
                <w:szCs w:val="18"/>
                <w:u w:val="none"/>
                <w:lang w:val="en-US" w:eastAsia="zh-CN" w:bidi="ar"/>
              </w:rPr>
              <w:t>7</w:t>
            </w:r>
          </w:p>
        </w:tc>
        <w:tc>
          <w:tcPr>
            <w:tcW w:w="326" w:type="pct"/>
            <w:tcBorders>
              <w:top w:val="nil"/>
              <w:left w:val="nil"/>
              <w:bottom w:val="single" w:color="000000" w:sz="8" w:space="0"/>
              <w:right w:val="single" w:color="000000" w:sz="8" w:space="0"/>
            </w:tcBorders>
            <w:noWrap w:val="0"/>
            <w:vAlign w:val="center"/>
          </w:tcPr>
          <w:p w14:paraId="553139A0">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color w:val="000000"/>
                <w:kern w:val="0"/>
                <w:sz w:val="18"/>
                <w:szCs w:val="18"/>
                <w:u w:val="none"/>
                <w:lang w:val="en-US" w:eastAsia="zh-CN" w:bidi="ar"/>
              </w:rPr>
              <w:t>7</w:t>
            </w:r>
          </w:p>
        </w:tc>
        <w:tc>
          <w:tcPr>
            <w:tcW w:w="837" w:type="pct"/>
            <w:gridSpan w:val="3"/>
            <w:tcBorders>
              <w:top w:val="nil"/>
              <w:left w:val="nil"/>
              <w:bottom w:val="single" w:color="000000" w:sz="8" w:space="0"/>
              <w:right w:val="single" w:color="000000" w:sz="8" w:space="0"/>
            </w:tcBorders>
            <w:noWrap w:val="0"/>
            <w:vAlign w:val="center"/>
          </w:tcPr>
          <w:p w14:paraId="27E7A756">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12"/>
                <w:szCs w:val="12"/>
                <w:u w:val="none"/>
              </w:rPr>
            </w:pPr>
            <w:r>
              <w:rPr>
                <w:rFonts w:hint="default" w:ascii="Times New Roman" w:hAnsi="Times New Roman" w:eastAsia="宋体" w:cs="Times New Roman"/>
                <w:i w:val="0"/>
                <w:iCs w:val="0"/>
                <w:color w:val="000000"/>
                <w:kern w:val="0"/>
                <w:sz w:val="12"/>
                <w:szCs w:val="12"/>
                <w:u w:val="none"/>
                <w:lang w:val="en-US" w:eastAsia="zh-CN" w:bidi="ar"/>
              </w:rPr>
              <w:t>0.10%</w:t>
            </w:r>
          </w:p>
        </w:tc>
        <w:tc>
          <w:tcPr>
            <w:tcW w:w="329" w:type="pct"/>
            <w:tcBorders>
              <w:top w:val="nil"/>
              <w:left w:val="nil"/>
              <w:bottom w:val="single" w:color="000000" w:sz="8" w:space="0"/>
              <w:right w:val="single" w:color="000000" w:sz="8" w:space="0"/>
            </w:tcBorders>
            <w:noWrap w:val="0"/>
            <w:vAlign w:val="center"/>
          </w:tcPr>
          <w:p w14:paraId="5A3F84D8">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b/>
                <w:bCs/>
                <w:i w:val="0"/>
                <w:iCs w:val="0"/>
                <w:color w:val="000000"/>
                <w:sz w:val="18"/>
                <w:szCs w:val="18"/>
                <w:u w:val="none"/>
              </w:rPr>
            </w:pPr>
            <w:r>
              <w:rPr>
                <w:rFonts w:hint="default" w:ascii="Times New Roman" w:hAnsi="Times New Roman" w:eastAsia="宋体" w:cs="Times New Roman"/>
                <w:b/>
                <w:bCs/>
                <w:i w:val="0"/>
                <w:iCs w:val="0"/>
                <w:color w:val="000000"/>
                <w:kern w:val="0"/>
                <w:sz w:val="18"/>
                <w:szCs w:val="18"/>
                <w:u w:val="none"/>
                <w:lang w:val="en-US" w:eastAsia="zh-CN" w:bidi="ar"/>
              </w:rPr>
              <w:t>0.07%</w:t>
            </w:r>
          </w:p>
        </w:tc>
        <w:tc>
          <w:tcPr>
            <w:tcW w:w="1013" w:type="pct"/>
            <w:tcBorders>
              <w:top w:val="nil"/>
              <w:left w:val="nil"/>
              <w:bottom w:val="single" w:color="000000" w:sz="8" w:space="0"/>
              <w:right w:val="single" w:color="000000" w:sz="8" w:space="0"/>
            </w:tcBorders>
            <w:noWrap w:val="0"/>
            <w:vAlign w:val="center"/>
          </w:tcPr>
          <w:p w14:paraId="160A6CC3">
            <w:pPr>
              <w:spacing w:line="240" w:lineRule="auto"/>
              <w:ind w:firstLine="0" w:firstLineChars="0"/>
              <w:jc w:val="center"/>
              <w:rPr>
                <w:rFonts w:hint="default" w:ascii="Times New Roman" w:hAnsi="Times New Roman" w:eastAsia="宋体" w:cs="Times New Roman"/>
                <w:i w:val="0"/>
                <w:iCs w:val="0"/>
                <w:color w:val="000000"/>
                <w:sz w:val="18"/>
                <w:szCs w:val="18"/>
                <w:u w:val="none"/>
              </w:rPr>
            </w:pPr>
          </w:p>
        </w:tc>
      </w:tr>
      <w:tr w14:paraId="5F9DEDB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3" w:hRule="atLeast"/>
        </w:trPr>
        <w:tc>
          <w:tcPr>
            <w:tcW w:w="273" w:type="pct"/>
            <w:tcBorders>
              <w:top w:val="nil"/>
              <w:left w:val="single" w:color="000000" w:sz="8" w:space="0"/>
              <w:bottom w:val="single" w:color="000000" w:sz="8" w:space="0"/>
              <w:right w:val="single" w:color="000000" w:sz="8" w:space="0"/>
            </w:tcBorders>
            <w:noWrap w:val="0"/>
            <w:vAlign w:val="center"/>
          </w:tcPr>
          <w:p w14:paraId="1F9C2388">
            <w:pPr>
              <w:spacing w:line="240" w:lineRule="auto"/>
              <w:ind w:firstLine="0" w:firstLineChars="0"/>
              <w:jc w:val="center"/>
              <w:rPr>
                <w:rFonts w:hint="default" w:ascii="Times New Roman" w:hAnsi="Times New Roman" w:eastAsia="宋体" w:cs="Times New Roman"/>
                <w:i w:val="0"/>
                <w:iCs w:val="0"/>
                <w:color w:val="000000"/>
                <w:sz w:val="18"/>
                <w:szCs w:val="18"/>
                <w:u w:val="none"/>
              </w:rPr>
            </w:pPr>
          </w:p>
        </w:tc>
        <w:tc>
          <w:tcPr>
            <w:tcW w:w="675" w:type="pct"/>
            <w:tcBorders>
              <w:top w:val="nil"/>
              <w:left w:val="nil"/>
              <w:bottom w:val="single" w:color="000000" w:sz="8" w:space="0"/>
              <w:right w:val="single" w:color="000000" w:sz="8" w:space="0"/>
            </w:tcBorders>
            <w:noWrap w:val="0"/>
            <w:vAlign w:val="center"/>
          </w:tcPr>
          <w:p w14:paraId="7B42A726">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建设期利息</w:t>
            </w:r>
          </w:p>
        </w:tc>
        <w:tc>
          <w:tcPr>
            <w:tcW w:w="398" w:type="pct"/>
            <w:tcBorders>
              <w:top w:val="nil"/>
              <w:left w:val="nil"/>
              <w:bottom w:val="single" w:color="000000" w:sz="8" w:space="0"/>
              <w:right w:val="single" w:color="000000" w:sz="8" w:space="0"/>
            </w:tcBorders>
            <w:noWrap w:val="0"/>
            <w:vAlign w:val="center"/>
          </w:tcPr>
          <w:p w14:paraId="0BFA9B34">
            <w:pPr>
              <w:spacing w:line="240" w:lineRule="auto"/>
              <w:ind w:firstLine="0" w:firstLineChars="0"/>
              <w:jc w:val="center"/>
              <w:rPr>
                <w:rFonts w:hint="default" w:ascii="Times New Roman" w:hAnsi="Times New Roman" w:eastAsia="宋体" w:cs="Times New Roman"/>
                <w:i w:val="0"/>
                <w:iCs w:val="0"/>
                <w:color w:val="000000"/>
                <w:sz w:val="18"/>
                <w:szCs w:val="18"/>
                <w:u w:val="none"/>
              </w:rPr>
            </w:pPr>
          </w:p>
        </w:tc>
        <w:tc>
          <w:tcPr>
            <w:tcW w:w="398" w:type="pct"/>
            <w:tcBorders>
              <w:top w:val="nil"/>
              <w:left w:val="nil"/>
              <w:bottom w:val="single" w:color="000000" w:sz="8" w:space="0"/>
              <w:right w:val="single" w:color="000000" w:sz="8" w:space="0"/>
            </w:tcBorders>
            <w:noWrap w:val="0"/>
            <w:vAlign w:val="center"/>
          </w:tcPr>
          <w:p w14:paraId="17699369">
            <w:pPr>
              <w:spacing w:line="240" w:lineRule="auto"/>
              <w:ind w:firstLine="0" w:firstLineChars="0"/>
              <w:jc w:val="center"/>
              <w:rPr>
                <w:rFonts w:hint="default" w:ascii="Times New Roman" w:hAnsi="Times New Roman" w:eastAsia="宋体" w:cs="Times New Roman"/>
                <w:i w:val="0"/>
                <w:iCs w:val="0"/>
                <w:color w:val="000000"/>
                <w:sz w:val="18"/>
                <w:szCs w:val="18"/>
                <w:u w:val="none"/>
              </w:rPr>
            </w:pPr>
          </w:p>
        </w:tc>
        <w:tc>
          <w:tcPr>
            <w:tcW w:w="398" w:type="pct"/>
            <w:tcBorders>
              <w:top w:val="nil"/>
              <w:left w:val="nil"/>
              <w:bottom w:val="single" w:color="000000" w:sz="8" w:space="0"/>
              <w:right w:val="single" w:color="000000" w:sz="8" w:space="0"/>
            </w:tcBorders>
            <w:noWrap w:val="0"/>
            <w:vAlign w:val="center"/>
          </w:tcPr>
          <w:p w14:paraId="4A213BE2">
            <w:pPr>
              <w:spacing w:line="240" w:lineRule="auto"/>
              <w:ind w:firstLine="0" w:firstLineChars="0"/>
              <w:jc w:val="center"/>
              <w:rPr>
                <w:rFonts w:hint="default" w:ascii="Times New Roman" w:hAnsi="Times New Roman" w:eastAsia="宋体" w:cs="Times New Roman"/>
                <w:i w:val="0"/>
                <w:iCs w:val="0"/>
                <w:color w:val="000000"/>
                <w:sz w:val="18"/>
                <w:szCs w:val="18"/>
                <w:u w:val="none"/>
              </w:rPr>
            </w:pPr>
          </w:p>
        </w:tc>
        <w:tc>
          <w:tcPr>
            <w:tcW w:w="346" w:type="pct"/>
            <w:tcBorders>
              <w:top w:val="nil"/>
              <w:left w:val="nil"/>
              <w:bottom w:val="single" w:color="000000" w:sz="8" w:space="0"/>
              <w:right w:val="single" w:color="000000" w:sz="8" w:space="0"/>
            </w:tcBorders>
            <w:noWrap w:val="0"/>
            <w:vAlign w:val="center"/>
          </w:tcPr>
          <w:p w14:paraId="3E4A7AD8">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color w:val="000000"/>
                <w:kern w:val="0"/>
                <w:sz w:val="18"/>
                <w:szCs w:val="18"/>
                <w:u w:val="none"/>
                <w:lang w:val="en-US" w:eastAsia="zh-CN" w:bidi="ar"/>
              </w:rPr>
              <w:t>315</w:t>
            </w:r>
          </w:p>
        </w:tc>
        <w:tc>
          <w:tcPr>
            <w:tcW w:w="326" w:type="pct"/>
            <w:tcBorders>
              <w:top w:val="nil"/>
              <w:left w:val="nil"/>
              <w:bottom w:val="single" w:color="000000" w:sz="8" w:space="0"/>
              <w:right w:val="single" w:color="000000" w:sz="8" w:space="0"/>
            </w:tcBorders>
            <w:noWrap w:val="0"/>
            <w:vAlign w:val="center"/>
          </w:tcPr>
          <w:p w14:paraId="088485DE">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sz w:val="18"/>
                <w:szCs w:val="18"/>
                <w:u w:val="none"/>
              </w:rPr>
            </w:pPr>
            <w:r>
              <w:rPr>
                <w:rFonts w:hint="default" w:ascii="Times New Roman" w:hAnsi="Times New Roman" w:eastAsia="宋体" w:cs="Times New Roman"/>
                <w:i w:val="0"/>
                <w:iCs w:val="0"/>
                <w:color w:val="000000"/>
                <w:kern w:val="0"/>
                <w:sz w:val="18"/>
                <w:szCs w:val="18"/>
                <w:u w:val="none"/>
                <w:lang w:val="en-US" w:eastAsia="zh-CN" w:bidi="ar"/>
              </w:rPr>
              <w:t>315</w:t>
            </w:r>
          </w:p>
        </w:tc>
        <w:tc>
          <w:tcPr>
            <w:tcW w:w="837" w:type="pct"/>
            <w:gridSpan w:val="3"/>
            <w:tcBorders>
              <w:top w:val="nil"/>
              <w:left w:val="nil"/>
              <w:bottom w:val="single" w:color="000000" w:sz="8" w:space="0"/>
              <w:right w:val="single" w:color="000000" w:sz="8" w:space="0"/>
            </w:tcBorders>
            <w:noWrap w:val="0"/>
            <w:vAlign w:val="center"/>
          </w:tcPr>
          <w:p w14:paraId="053A4AD0">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2"/>
                <w:szCs w:val="12"/>
                <w:u w:val="none"/>
              </w:rPr>
            </w:pPr>
            <w:r>
              <w:rPr>
                <w:rFonts w:hint="eastAsia" w:ascii="宋体" w:hAnsi="宋体" w:eastAsia="宋体" w:cs="宋体"/>
                <w:i w:val="0"/>
                <w:iCs w:val="0"/>
                <w:color w:val="000000"/>
                <w:kern w:val="0"/>
                <w:sz w:val="12"/>
                <w:szCs w:val="12"/>
                <w:u w:val="none"/>
                <w:lang w:val="en-US" w:eastAsia="zh-CN" w:bidi="ar"/>
              </w:rPr>
              <w:t>利率2.7</w:t>
            </w:r>
            <w:r>
              <w:rPr>
                <w:rFonts w:hint="default" w:ascii="Times New Roman" w:hAnsi="Times New Roman" w:eastAsia="宋体" w:cs="Times New Roman"/>
                <w:i w:val="0"/>
                <w:iCs w:val="0"/>
                <w:color w:val="000000"/>
                <w:kern w:val="0"/>
                <w:sz w:val="12"/>
                <w:szCs w:val="12"/>
                <w:u w:val="none"/>
                <w:lang w:val="en-US" w:eastAsia="zh-CN" w:bidi="ar"/>
              </w:rPr>
              <w:t>%</w:t>
            </w:r>
          </w:p>
        </w:tc>
        <w:tc>
          <w:tcPr>
            <w:tcW w:w="329" w:type="pct"/>
            <w:tcBorders>
              <w:top w:val="nil"/>
              <w:left w:val="nil"/>
              <w:bottom w:val="single" w:color="000000" w:sz="8" w:space="0"/>
              <w:right w:val="single" w:color="000000" w:sz="8" w:space="0"/>
            </w:tcBorders>
            <w:noWrap w:val="0"/>
            <w:vAlign w:val="center"/>
          </w:tcPr>
          <w:p w14:paraId="769DFBFB">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b/>
                <w:bCs/>
                <w:i w:val="0"/>
                <w:iCs w:val="0"/>
                <w:color w:val="000000"/>
                <w:sz w:val="18"/>
                <w:szCs w:val="18"/>
                <w:u w:val="none"/>
              </w:rPr>
            </w:pPr>
            <w:r>
              <w:rPr>
                <w:rFonts w:hint="default" w:ascii="Times New Roman" w:hAnsi="Times New Roman" w:eastAsia="宋体" w:cs="Times New Roman"/>
                <w:b/>
                <w:bCs/>
                <w:i w:val="0"/>
                <w:iCs w:val="0"/>
                <w:color w:val="000000"/>
                <w:kern w:val="0"/>
                <w:sz w:val="18"/>
                <w:szCs w:val="18"/>
                <w:u w:val="none"/>
                <w:lang w:val="en-US" w:eastAsia="zh-CN" w:bidi="ar"/>
              </w:rPr>
              <w:t>3.09%</w:t>
            </w:r>
          </w:p>
        </w:tc>
        <w:tc>
          <w:tcPr>
            <w:tcW w:w="1013" w:type="pct"/>
            <w:tcBorders>
              <w:top w:val="nil"/>
              <w:left w:val="nil"/>
              <w:bottom w:val="single" w:color="000000" w:sz="8" w:space="0"/>
              <w:right w:val="single" w:color="000000" w:sz="8" w:space="0"/>
            </w:tcBorders>
            <w:noWrap w:val="0"/>
            <w:vAlign w:val="center"/>
          </w:tcPr>
          <w:p w14:paraId="3054575A">
            <w:pPr>
              <w:spacing w:line="240" w:lineRule="auto"/>
              <w:ind w:firstLine="0" w:firstLineChars="0"/>
              <w:jc w:val="center"/>
              <w:rPr>
                <w:rFonts w:hint="default" w:ascii="Times New Roman" w:hAnsi="Times New Roman" w:eastAsia="宋体" w:cs="Times New Roman"/>
                <w:i w:val="0"/>
                <w:iCs w:val="0"/>
                <w:color w:val="000000"/>
                <w:sz w:val="18"/>
                <w:szCs w:val="18"/>
                <w:u w:val="none"/>
              </w:rPr>
            </w:pPr>
          </w:p>
        </w:tc>
      </w:tr>
      <w:tr w14:paraId="3399902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3" w:hRule="atLeast"/>
        </w:trPr>
        <w:tc>
          <w:tcPr>
            <w:tcW w:w="949" w:type="pct"/>
            <w:gridSpan w:val="2"/>
            <w:tcBorders>
              <w:top w:val="nil"/>
              <w:left w:val="single" w:color="000000" w:sz="8" w:space="0"/>
              <w:bottom w:val="single" w:color="000000" w:sz="8" w:space="0"/>
              <w:right w:val="single" w:color="000000" w:sz="8" w:space="0"/>
            </w:tcBorders>
            <w:noWrap w:val="0"/>
            <w:vAlign w:val="center"/>
          </w:tcPr>
          <w:p w14:paraId="7C0215C1">
            <w:pPr>
              <w:keepNext w:val="0"/>
              <w:keepLines w:val="0"/>
              <w:widowControl/>
              <w:suppressLineNumbers w:val="0"/>
              <w:spacing w:line="240" w:lineRule="auto"/>
              <w:ind w:firstLine="0" w:firstLineChars="0"/>
              <w:jc w:val="center"/>
              <w:textAlignment w:val="center"/>
              <w:rPr>
                <w:rFonts w:hint="eastAsia" w:ascii="宋体" w:hAnsi="宋体" w:eastAsia="宋体" w:cs="宋体"/>
                <w:b/>
                <w:bCs/>
                <w:i w:val="0"/>
                <w:iCs w:val="0"/>
                <w:color w:val="000000"/>
                <w:sz w:val="18"/>
                <w:szCs w:val="18"/>
                <w:u w:val="none"/>
              </w:rPr>
            </w:pPr>
            <w:r>
              <w:rPr>
                <w:rFonts w:hint="eastAsia" w:ascii="宋体" w:hAnsi="宋体" w:eastAsia="宋体" w:cs="宋体"/>
                <w:b/>
                <w:bCs/>
                <w:i w:val="0"/>
                <w:iCs w:val="0"/>
                <w:color w:val="000000"/>
                <w:kern w:val="0"/>
                <w:sz w:val="18"/>
                <w:szCs w:val="18"/>
                <w:u w:val="none"/>
                <w:lang w:val="en-US" w:eastAsia="zh-CN" w:bidi="ar"/>
              </w:rPr>
              <w:t>项目总投资</w:t>
            </w:r>
          </w:p>
        </w:tc>
        <w:tc>
          <w:tcPr>
            <w:tcW w:w="398" w:type="pct"/>
            <w:tcBorders>
              <w:top w:val="nil"/>
              <w:left w:val="nil"/>
              <w:bottom w:val="single" w:color="000000" w:sz="8" w:space="0"/>
              <w:right w:val="single" w:color="000000" w:sz="8" w:space="0"/>
            </w:tcBorders>
            <w:noWrap w:val="0"/>
            <w:vAlign w:val="center"/>
          </w:tcPr>
          <w:p w14:paraId="20B35D34">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b/>
                <w:bCs/>
                <w:i w:val="0"/>
                <w:iCs w:val="0"/>
                <w:color w:val="000000"/>
                <w:sz w:val="18"/>
                <w:szCs w:val="18"/>
                <w:u w:val="none"/>
              </w:rPr>
            </w:pPr>
            <w:r>
              <w:rPr>
                <w:rFonts w:hint="default" w:ascii="Times New Roman" w:hAnsi="Times New Roman" w:eastAsia="宋体" w:cs="Times New Roman"/>
                <w:b/>
                <w:bCs/>
                <w:i w:val="0"/>
                <w:iCs w:val="0"/>
                <w:color w:val="000000"/>
                <w:kern w:val="0"/>
                <w:sz w:val="18"/>
                <w:szCs w:val="18"/>
                <w:u w:val="none"/>
                <w:lang w:val="en-US" w:eastAsia="zh-CN" w:bidi="ar"/>
              </w:rPr>
              <w:t>1160.96</w:t>
            </w:r>
          </w:p>
        </w:tc>
        <w:tc>
          <w:tcPr>
            <w:tcW w:w="398" w:type="pct"/>
            <w:tcBorders>
              <w:top w:val="nil"/>
              <w:left w:val="nil"/>
              <w:bottom w:val="single" w:color="000000" w:sz="8" w:space="0"/>
              <w:right w:val="single" w:color="000000" w:sz="8" w:space="0"/>
            </w:tcBorders>
            <w:noWrap w:val="0"/>
            <w:vAlign w:val="center"/>
          </w:tcPr>
          <w:p w14:paraId="60D75248">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b/>
                <w:bCs/>
                <w:i w:val="0"/>
                <w:iCs w:val="0"/>
                <w:color w:val="000000"/>
                <w:sz w:val="18"/>
                <w:szCs w:val="18"/>
                <w:u w:val="none"/>
              </w:rPr>
            </w:pPr>
            <w:r>
              <w:rPr>
                <w:rFonts w:hint="default" w:ascii="Times New Roman" w:hAnsi="Times New Roman" w:eastAsia="宋体" w:cs="Times New Roman"/>
                <w:b/>
                <w:bCs/>
                <w:i w:val="0"/>
                <w:iCs w:val="0"/>
                <w:color w:val="000000"/>
                <w:kern w:val="0"/>
                <w:sz w:val="18"/>
                <w:szCs w:val="18"/>
                <w:u w:val="none"/>
                <w:lang w:val="en-US" w:eastAsia="zh-CN" w:bidi="ar"/>
              </w:rPr>
              <w:t>5586.7</w:t>
            </w:r>
          </w:p>
        </w:tc>
        <w:tc>
          <w:tcPr>
            <w:tcW w:w="398" w:type="pct"/>
            <w:tcBorders>
              <w:top w:val="nil"/>
              <w:left w:val="nil"/>
              <w:bottom w:val="single" w:color="000000" w:sz="8" w:space="0"/>
              <w:right w:val="single" w:color="000000" w:sz="8" w:space="0"/>
            </w:tcBorders>
            <w:noWrap w:val="0"/>
            <w:vAlign w:val="center"/>
          </w:tcPr>
          <w:p w14:paraId="15669472">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b/>
                <w:bCs/>
                <w:i w:val="0"/>
                <w:iCs w:val="0"/>
                <w:color w:val="000000"/>
                <w:sz w:val="18"/>
                <w:szCs w:val="18"/>
                <w:u w:val="none"/>
              </w:rPr>
            </w:pPr>
            <w:r>
              <w:rPr>
                <w:rFonts w:hint="default" w:ascii="Times New Roman" w:hAnsi="Times New Roman" w:eastAsia="宋体" w:cs="Times New Roman"/>
                <w:b/>
                <w:bCs/>
                <w:i w:val="0"/>
                <w:iCs w:val="0"/>
                <w:color w:val="000000"/>
                <w:kern w:val="0"/>
                <w:sz w:val="18"/>
                <w:szCs w:val="18"/>
                <w:u w:val="none"/>
                <w:lang w:val="en-US" w:eastAsia="zh-CN" w:bidi="ar"/>
              </w:rPr>
              <w:t>912.57</w:t>
            </w:r>
          </w:p>
        </w:tc>
        <w:tc>
          <w:tcPr>
            <w:tcW w:w="346" w:type="pct"/>
            <w:tcBorders>
              <w:top w:val="nil"/>
              <w:left w:val="nil"/>
              <w:bottom w:val="single" w:color="000000" w:sz="8" w:space="0"/>
              <w:right w:val="single" w:color="000000" w:sz="8" w:space="0"/>
            </w:tcBorders>
            <w:noWrap w:val="0"/>
            <w:vAlign w:val="center"/>
          </w:tcPr>
          <w:p w14:paraId="67AB00F2">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b/>
                <w:bCs/>
                <w:i w:val="0"/>
                <w:iCs w:val="0"/>
                <w:color w:val="000000"/>
                <w:sz w:val="18"/>
                <w:szCs w:val="18"/>
                <w:u w:val="none"/>
              </w:rPr>
            </w:pPr>
            <w:r>
              <w:rPr>
                <w:rFonts w:hint="default" w:ascii="Times New Roman" w:hAnsi="Times New Roman" w:eastAsia="宋体" w:cs="Times New Roman"/>
                <w:b/>
                <w:bCs/>
                <w:i w:val="0"/>
                <w:iCs w:val="0"/>
                <w:color w:val="000000"/>
                <w:kern w:val="0"/>
                <w:sz w:val="18"/>
                <w:szCs w:val="18"/>
                <w:u w:val="none"/>
                <w:lang w:val="en-US" w:eastAsia="zh-CN" w:bidi="ar"/>
              </w:rPr>
              <w:t>2539.77</w:t>
            </w:r>
          </w:p>
        </w:tc>
        <w:tc>
          <w:tcPr>
            <w:tcW w:w="326" w:type="pct"/>
            <w:tcBorders>
              <w:top w:val="nil"/>
              <w:left w:val="nil"/>
              <w:bottom w:val="single" w:color="000000" w:sz="8" w:space="0"/>
              <w:right w:val="single" w:color="000000" w:sz="8" w:space="0"/>
            </w:tcBorders>
            <w:noWrap w:val="0"/>
            <w:vAlign w:val="center"/>
          </w:tcPr>
          <w:p w14:paraId="3A741ED5">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b/>
                <w:bCs/>
                <w:i w:val="0"/>
                <w:iCs w:val="0"/>
                <w:color w:val="000000"/>
                <w:sz w:val="18"/>
                <w:szCs w:val="18"/>
                <w:u w:val="none"/>
              </w:rPr>
            </w:pPr>
            <w:r>
              <w:rPr>
                <w:rFonts w:hint="default" w:ascii="Times New Roman" w:hAnsi="Times New Roman" w:eastAsia="宋体" w:cs="Times New Roman"/>
                <w:b/>
                <w:bCs/>
                <w:i w:val="0"/>
                <w:iCs w:val="0"/>
                <w:color w:val="000000"/>
                <w:kern w:val="0"/>
                <w:sz w:val="18"/>
                <w:szCs w:val="18"/>
                <w:u w:val="none"/>
                <w:lang w:val="en-US" w:eastAsia="zh-CN" w:bidi="ar"/>
              </w:rPr>
              <w:t>10200</w:t>
            </w:r>
          </w:p>
        </w:tc>
        <w:tc>
          <w:tcPr>
            <w:tcW w:w="148" w:type="pct"/>
            <w:tcBorders>
              <w:top w:val="nil"/>
              <w:left w:val="nil"/>
              <w:bottom w:val="single" w:color="000000" w:sz="8" w:space="0"/>
              <w:right w:val="single" w:color="000000" w:sz="8" w:space="0"/>
            </w:tcBorders>
            <w:noWrap w:val="0"/>
            <w:vAlign w:val="center"/>
          </w:tcPr>
          <w:p w14:paraId="59485684">
            <w:pPr>
              <w:spacing w:line="240" w:lineRule="auto"/>
              <w:ind w:firstLine="0" w:firstLineChars="0"/>
              <w:jc w:val="center"/>
              <w:rPr>
                <w:rFonts w:hint="default" w:ascii="Times New Roman" w:hAnsi="Times New Roman" w:eastAsia="宋体" w:cs="Times New Roman"/>
                <w:b/>
                <w:bCs/>
                <w:i w:val="0"/>
                <w:iCs w:val="0"/>
                <w:color w:val="000000"/>
                <w:sz w:val="18"/>
                <w:szCs w:val="18"/>
                <w:u w:val="none"/>
              </w:rPr>
            </w:pPr>
          </w:p>
        </w:tc>
        <w:tc>
          <w:tcPr>
            <w:tcW w:w="211" w:type="pct"/>
            <w:tcBorders>
              <w:top w:val="nil"/>
              <w:left w:val="nil"/>
              <w:bottom w:val="single" w:color="000000" w:sz="8" w:space="0"/>
              <w:right w:val="single" w:color="000000" w:sz="8" w:space="0"/>
            </w:tcBorders>
            <w:noWrap w:val="0"/>
            <w:vAlign w:val="center"/>
          </w:tcPr>
          <w:p w14:paraId="7A8ED045">
            <w:pPr>
              <w:spacing w:line="240" w:lineRule="auto"/>
              <w:ind w:firstLine="0" w:firstLineChars="0"/>
              <w:jc w:val="center"/>
              <w:rPr>
                <w:rFonts w:hint="default" w:ascii="Times New Roman" w:hAnsi="Times New Roman" w:eastAsia="宋体" w:cs="Times New Roman"/>
                <w:b/>
                <w:bCs/>
                <w:i w:val="0"/>
                <w:iCs w:val="0"/>
                <w:color w:val="000000"/>
                <w:sz w:val="18"/>
                <w:szCs w:val="18"/>
                <w:u w:val="none"/>
              </w:rPr>
            </w:pPr>
          </w:p>
        </w:tc>
        <w:tc>
          <w:tcPr>
            <w:tcW w:w="478" w:type="pct"/>
            <w:tcBorders>
              <w:top w:val="nil"/>
              <w:left w:val="nil"/>
              <w:bottom w:val="single" w:color="000000" w:sz="8" w:space="0"/>
              <w:right w:val="single" w:color="000000" w:sz="8" w:space="0"/>
            </w:tcBorders>
            <w:noWrap w:val="0"/>
            <w:vAlign w:val="center"/>
          </w:tcPr>
          <w:p w14:paraId="0AD13598">
            <w:pPr>
              <w:spacing w:line="240" w:lineRule="auto"/>
              <w:ind w:firstLine="0" w:firstLineChars="0"/>
              <w:jc w:val="center"/>
              <w:rPr>
                <w:rFonts w:hint="default" w:ascii="Times New Roman" w:hAnsi="Times New Roman" w:eastAsia="宋体" w:cs="Times New Roman"/>
                <w:b/>
                <w:bCs/>
                <w:i w:val="0"/>
                <w:iCs w:val="0"/>
                <w:color w:val="000000"/>
                <w:sz w:val="18"/>
                <w:szCs w:val="18"/>
                <w:u w:val="none"/>
              </w:rPr>
            </w:pPr>
          </w:p>
        </w:tc>
        <w:tc>
          <w:tcPr>
            <w:tcW w:w="329" w:type="pct"/>
            <w:tcBorders>
              <w:top w:val="nil"/>
              <w:left w:val="nil"/>
              <w:bottom w:val="single" w:color="000000" w:sz="8" w:space="0"/>
              <w:right w:val="single" w:color="000000" w:sz="8" w:space="0"/>
            </w:tcBorders>
            <w:noWrap w:val="0"/>
            <w:vAlign w:val="center"/>
          </w:tcPr>
          <w:p w14:paraId="4D604CFF">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b/>
                <w:bCs/>
                <w:i w:val="0"/>
                <w:iCs w:val="0"/>
                <w:color w:val="000000"/>
                <w:sz w:val="18"/>
                <w:szCs w:val="18"/>
                <w:u w:val="none"/>
              </w:rPr>
            </w:pPr>
            <w:r>
              <w:rPr>
                <w:rFonts w:hint="default" w:ascii="Times New Roman" w:hAnsi="Times New Roman" w:eastAsia="宋体" w:cs="Times New Roman"/>
                <w:b/>
                <w:bCs/>
                <w:i w:val="0"/>
                <w:iCs w:val="0"/>
                <w:color w:val="000000"/>
                <w:kern w:val="0"/>
                <w:sz w:val="18"/>
                <w:szCs w:val="18"/>
                <w:u w:val="none"/>
                <w:lang w:val="en-US" w:eastAsia="zh-CN" w:bidi="ar"/>
              </w:rPr>
              <w:t>100.00%</w:t>
            </w:r>
          </w:p>
        </w:tc>
        <w:tc>
          <w:tcPr>
            <w:tcW w:w="1013" w:type="pct"/>
            <w:tcBorders>
              <w:top w:val="single" w:color="000000" w:sz="8" w:space="0"/>
              <w:left w:val="nil"/>
              <w:bottom w:val="single" w:color="000000" w:sz="8" w:space="0"/>
              <w:right w:val="single" w:color="000000" w:sz="8" w:space="0"/>
            </w:tcBorders>
            <w:noWrap w:val="0"/>
            <w:vAlign w:val="center"/>
          </w:tcPr>
          <w:p w14:paraId="187856FD">
            <w:pPr>
              <w:spacing w:line="240" w:lineRule="auto"/>
              <w:ind w:firstLine="0" w:firstLineChars="0"/>
              <w:rPr>
                <w:rFonts w:hint="eastAsia" w:ascii="宋体" w:hAnsi="宋体" w:eastAsia="宋体" w:cs="宋体"/>
                <w:i w:val="0"/>
                <w:iCs w:val="0"/>
                <w:color w:val="000000"/>
                <w:sz w:val="22"/>
                <w:szCs w:val="22"/>
                <w:u w:val="none"/>
              </w:rPr>
            </w:pPr>
          </w:p>
        </w:tc>
      </w:tr>
    </w:tbl>
    <w:p w14:paraId="4CC15CDD">
      <w:pPr>
        <w:pStyle w:val="4"/>
        <w:sectPr>
          <w:pgSz w:w="16838" w:h="11906" w:orient="landscape"/>
          <w:pgMar w:top="720" w:right="720" w:bottom="720" w:left="720" w:header="454" w:footer="454" w:gutter="0"/>
          <w:cols w:space="425" w:num="1"/>
          <w:docGrid w:type="lines" w:linePitch="381" w:charSpace="0"/>
        </w:sectPr>
      </w:pPr>
    </w:p>
    <w:p w14:paraId="53EFEA99">
      <w:pPr>
        <w:pStyle w:val="4"/>
      </w:pPr>
      <w:bookmarkStart w:id="220" w:name="_Toc127041699"/>
      <w:r>
        <w:rPr>
          <w:rFonts w:hint="eastAsia"/>
        </w:rPr>
        <w:t>3.2 项目资金筹措方案</w:t>
      </w:r>
      <w:bookmarkEnd w:id="220"/>
    </w:p>
    <w:p w14:paraId="70900ED7">
      <w:pPr>
        <w:pStyle w:val="5"/>
      </w:pPr>
      <w:bookmarkStart w:id="221" w:name="_Toc127041700"/>
      <w:r>
        <w:rPr>
          <w:rFonts w:hint="eastAsia"/>
        </w:rPr>
        <w:t>3</w:t>
      </w:r>
      <w:r>
        <w:t xml:space="preserve">.2.1 </w:t>
      </w:r>
      <w:r>
        <w:rPr>
          <w:rFonts w:hint="eastAsia"/>
        </w:rPr>
        <w:t>资金筹集情况</w:t>
      </w:r>
      <w:bookmarkEnd w:id="221"/>
    </w:p>
    <w:p w14:paraId="0DB95A5D">
      <w:pPr>
        <w:ind w:firstLine="560"/>
      </w:pPr>
      <w:r>
        <w:rPr>
          <w:rFonts w:hint="eastAsia"/>
        </w:rPr>
        <w:t>本项目总投资12000.00 万元，由资本金和专项债券组成。其中：资本金</w:t>
      </w:r>
      <w:r>
        <w:rPr>
          <w:rFonts w:hint="eastAsia"/>
          <w:lang w:val="en-US" w:eastAsia="zh-CN"/>
        </w:rPr>
        <w:t>32</w:t>
      </w:r>
      <w:r>
        <w:rPr>
          <w:rFonts w:hint="eastAsia"/>
        </w:rPr>
        <w:t>00.00 万元，由实施单位自筹解决，按项目实施进度逐步安排到位；发行专项债</w:t>
      </w:r>
      <w:r>
        <w:rPr>
          <w:rFonts w:hint="eastAsia"/>
          <w:lang w:val="en-US" w:eastAsia="zh-CN"/>
        </w:rPr>
        <w:t>7</w:t>
      </w:r>
      <w:r>
        <w:rPr>
          <w:rFonts w:hint="eastAsia"/>
        </w:rPr>
        <w:t>000.00 万元。具体项目资金筹措构成见下表：</w:t>
      </w:r>
    </w:p>
    <w:p w14:paraId="3C27A37C">
      <w:pPr>
        <w:ind w:firstLine="560"/>
      </w:pPr>
      <w:r>
        <w:rPr>
          <w:rFonts w:hint="eastAsia"/>
        </w:rPr>
        <w:t>资金筹措计划表：</w:t>
      </w:r>
    </w:p>
    <w:p w14:paraId="5E78FD5C">
      <w:pPr>
        <w:pStyle w:val="13"/>
      </w:pPr>
      <w:r>
        <w:drawing>
          <wp:inline distT="0" distB="0" distL="114300" distR="114300">
            <wp:extent cx="5128260" cy="1468755"/>
            <wp:effectExtent l="0" t="0" r="2540" b="4445"/>
            <wp:docPr id="83" name="图片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图片 63"/>
                    <pic:cNvPicPr>
                      <a:picLocks noChangeAspect="1"/>
                    </pic:cNvPicPr>
                  </pic:nvPicPr>
                  <pic:blipFill>
                    <a:blip r:embed="rId53"/>
                    <a:stretch>
                      <a:fillRect/>
                    </a:stretch>
                  </pic:blipFill>
                  <pic:spPr>
                    <a:xfrm>
                      <a:off x="0" y="0"/>
                      <a:ext cx="5128260" cy="1468755"/>
                    </a:xfrm>
                    <a:prstGeom prst="rect">
                      <a:avLst/>
                    </a:prstGeom>
                    <a:noFill/>
                    <a:ln>
                      <a:noFill/>
                    </a:ln>
                  </pic:spPr>
                </pic:pic>
              </a:graphicData>
            </a:graphic>
          </wp:inline>
        </w:drawing>
      </w:r>
    </w:p>
    <w:p w14:paraId="4009EAAF">
      <w:pPr>
        <w:ind w:firstLine="560"/>
      </w:pPr>
    </w:p>
    <w:p w14:paraId="5F120DFA">
      <w:pPr>
        <w:pStyle w:val="5"/>
      </w:pPr>
      <w:r>
        <w:rPr>
          <w:rFonts w:hint="eastAsia"/>
        </w:rPr>
        <w:t>3</w:t>
      </w:r>
      <w:r>
        <w:t xml:space="preserve">.2.2 </w:t>
      </w:r>
      <w:r>
        <w:rPr>
          <w:rFonts w:hint="eastAsia"/>
        </w:rPr>
        <w:t>资金投入计划</w:t>
      </w:r>
    </w:p>
    <w:p w14:paraId="59F46F8F">
      <w:pPr>
        <w:ind w:firstLine="560"/>
      </w:pPr>
      <w:r>
        <w:rPr>
          <w:rFonts w:hint="eastAsia"/>
        </w:rPr>
        <w:t>资金主要用于项目建设工程费用、建设其他费用、债券建设期利息等相关费用。</w:t>
      </w:r>
    </w:p>
    <w:p w14:paraId="3AAAF8D1">
      <w:pPr>
        <w:ind w:left="0" w:leftChars="0" w:firstLine="0" w:firstLineChars="0"/>
        <w:jc w:val="center"/>
      </w:pPr>
      <w:r>
        <w:drawing>
          <wp:inline distT="0" distB="0" distL="114300" distR="114300">
            <wp:extent cx="3886200" cy="4160520"/>
            <wp:effectExtent l="0" t="0" r="0" b="5080"/>
            <wp:docPr id="84" name="图片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图片 64"/>
                    <pic:cNvPicPr>
                      <a:picLocks noChangeAspect="1"/>
                    </pic:cNvPicPr>
                  </pic:nvPicPr>
                  <pic:blipFill>
                    <a:blip r:embed="rId54"/>
                    <a:stretch>
                      <a:fillRect/>
                    </a:stretch>
                  </pic:blipFill>
                  <pic:spPr>
                    <a:xfrm>
                      <a:off x="0" y="0"/>
                      <a:ext cx="3886200" cy="4160520"/>
                    </a:xfrm>
                    <a:prstGeom prst="rect">
                      <a:avLst/>
                    </a:prstGeom>
                    <a:noFill/>
                    <a:ln>
                      <a:noFill/>
                    </a:ln>
                  </pic:spPr>
                </pic:pic>
              </a:graphicData>
            </a:graphic>
          </wp:inline>
        </w:drawing>
      </w:r>
    </w:p>
    <w:p w14:paraId="16D76EE3">
      <w:pPr>
        <w:pStyle w:val="3"/>
      </w:pPr>
      <w:r>
        <w:rPr>
          <w:rFonts w:hint="eastAsia"/>
        </w:rPr>
        <w:t>第四章 项目预期收益、成本及融资平衡情况</w:t>
      </w:r>
    </w:p>
    <w:p w14:paraId="57577ECA">
      <w:pPr>
        <w:pStyle w:val="4"/>
      </w:pPr>
      <w:bookmarkStart w:id="222" w:name="_Toc127041731"/>
      <w:r>
        <w:t>4.1</w:t>
      </w:r>
      <w:r>
        <w:rPr>
          <w:rFonts w:hint="eastAsia"/>
        </w:rPr>
        <w:t xml:space="preserve"> 预期收益</w:t>
      </w:r>
      <w:bookmarkEnd w:id="222"/>
    </w:p>
    <w:p w14:paraId="634C2F3E">
      <w:pPr>
        <w:pStyle w:val="5"/>
        <w:rPr>
          <w:rFonts w:hint="eastAsia"/>
        </w:rPr>
      </w:pPr>
      <w:r>
        <w:rPr>
          <w:rFonts w:hint="eastAsia"/>
        </w:rPr>
        <w:t>4</w:t>
      </w:r>
      <w:r>
        <w:t xml:space="preserve">.1.1 </w:t>
      </w:r>
      <w:r>
        <w:rPr>
          <w:rFonts w:hint="eastAsia"/>
        </w:rPr>
        <w:t>项目收入</w:t>
      </w:r>
    </w:p>
    <w:p w14:paraId="483E2160">
      <w:pPr>
        <w:pStyle w:val="21"/>
        <w:numPr>
          <w:ilvl w:val="0"/>
          <w:numId w:val="3"/>
        </w:numPr>
        <w:ind w:firstLineChars="0"/>
        <w:rPr>
          <w:b/>
          <w:bCs/>
        </w:rPr>
      </w:pPr>
      <w:bookmarkStart w:id="223" w:name="_Toc127041732"/>
      <w:r>
        <w:rPr>
          <w:rFonts w:hint="eastAsia"/>
          <w:b/>
          <w:bCs/>
        </w:rPr>
        <w:t>收入可行性</w:t>
      </w:r>
      <w:bookmarkEnd w:id="223"/>
    </w:p>
    <w:p w14:paraId="1772BF85">
      <w:pPr>
        <w:ind w:firstLine="560"/>
        <w:rPr>
          <w:rFonts w:hint="eastAsia"/>
        </w:rPr>
      </w:pPr>
      <w:r>
        <w:rPr>
          <w:rFonts w:hint="eastAsia"/>
        </w:rPr>
        <w:t>通过垃圾分类回收处理（废旧金属回收、废玻璃回收、橡塑回收、废纸类回收、废旧塑料回收）进行偿还。项目收入用于本项目债券资金偿还。</w:t>
      </w:r>
    </w:p>
    <w:p w14:paraId="5DDC178E">
      <w:pPr>
        <w:ind w:firstLine="560"/>
      </w:pPr>
      <w:r>
        <w:rPr>
          <w:rFonts w:hint="eastAsia"/>
        </w:rPr>
        <w:t>项目取得的收入可以弥补本项目的运营成本、偿还债券本息等。收入参考类似项目收费的历史数据，若无历史数据则查询相关产品的市场价，若无市场价则参考可研报告相关数据，以确保项目收入的合理性和可行性。</w:t>
      </w:r>
    </w:p>
    <w:p w14:paraId="6E456635">
      <w:pPr>
        <w:pStyle w:val="21"/>
        <w:numPr>
          <w:ilvl w:val="0"/>
          <w:numId w:val="3"/>
        </w:numPr>
        <w:ind w:firstLineChars="0"/>
        <w:rPr>
          <w:b/>
          <w:bCs/>
        </w:rPr>
      </w:pPr>
      <w:bookmarkStart w:id="224" w:name="_Toc127041733"/>
      <w:r>
        <w:rPr>
          <w:rFonts w:hint="eastAsia"/>
          <w:b/>
          <w:bCs/>
        </w:rPr>
        <w:t>收入的分类</w:t>
      </w:r>
      <w:bookmarkEnd w:id="224"/>
    </w:p>
    <w:p w14:paraId="174FD98D">
      <w:pPr>
        <w:ind w:firstLine="560"/>
      </w:pPr>
      <w:r>
        <w:rPr>
          <w:rFonts w:hint="eastAsia"/>
        </w:rPr>
        <w:t>本项目收入来自垃圾分类回收处理（废旧金属回收、废玻璃回收、橡塑回收、废纸类回收、废旧塑料回收）。项目收入全部为专项收入，没有政府性基金收入。</w:t>
      </w:r>
    </w:p>
    <w:p w14:paraId="7D9E02FD">
      <w:pPr>
        <w:pStyle w:val="21"/>
        <w:numPr>
          <w:ilvl w:val="0"/>
          <w:numId w:val="3"/>
        </w:numPr>
        <w:ind w:firstLineChars="0"/>
        <w:rPr>
          <w:b/>
          <w:bCs/>
        </w:rPr>
      </w:pPr>
      <w:bookmarkStart w:id="225" w:name="_Toc127041734"/>
      <w:r>
        <w:rPr>
          <w:rFonts w:hint="eastAsia"/>
          <w:b/>
          <w:bCs/>
        </w:rPr>
        <w:t>收入成本单价增长率</w:t>
      </w:r>
      <w:bookmarkEnd w:id="225"/>
    </w:p>
    <w:p w14:paraId="4128B722">
      <w:pPr>
        <w:ind w:firstLine="560"/>
        <w:rPr>
          <w:rFonts w:hint="eastAsia"/>
        </w:rPr>
      </w:pPr>
      <w:r>
        <w:rPr>
          <w:rFonts w:hint="eastAsia"/>
        </w:rPr>
        <w:t>本项目收益的预测主要是根据项目的收入、成本的预测结果来预测收益，故收入、成本的预测最为关键，收入、成本的预测主要依赖的关键因素是价格因素。</w:t>
      </w:r>
    </w:p>
    <w:p w14:paraId="6B1A803F">
      <w:pPr>
        <w:ind w:firstLine="560"/>
        <w:rPr>
          <w:rFonts w:hint="eastAsia"/>
        </w:rPr>
      </w:pPr>
      <w:r>
        <w:rPr>
          <w:rFonts w:hint="eastAsia"/>
        </w:rPr>
        <w:t>根据2025年3月5日在第十四届全国人民代表大会第三次会议上国务院李强总理《2025年政府工作报告》提出今年发展主要预期目标是：国内生产总值增长5%左右；城镇调查失业率5.5%左右，城镇新增就业1200万人以上；居民消费价格涨幅2%左右；居民收入增长和经济增长同步；国际收支保持基本平衡；粮食产量1.4万亿斤左右；单位国内生产总值能耗降低3%左右，生态环境质量持续改善。</w:t>
      </w:r>
    </w:p>
    <w:p w14:paraId="39C69B75">
      <w:pPr>
        <w:ind w:firstLine="560"/>
      </w:pPr>
      <w:r>
        <w:rPr>
          <w:rFonts w:hint="eastAsia"/>
        </w:rPr>
        <w:t>根据提出的居民消费价格涨幅2%左右，结合当地物价增长状况，本着谨慎性原则，本项目收入单价增长按每3年上涨3%测算。</w:t>
      </w:r>
    </w:p>
    <w:p w14:paraId="3E9245D2">
      <w:pPr>
        <w:pStyle w:val="21"/>
        <w:numPr>
          <w:ilvl w:val="0"/>
          <w:numId w:val="3"/>
        </w:numPr>
        <w:ind w:firstLineChars="0"/>
        <w:rPr>
          <w:b/>
          <w:bCs/>
        </w:rPr>
      </w:pPr>
      <w:bookmarkStart w:id="226" w:name="_Toc127041735"/>
      <w:r>
        <w:rPr>
          <w:rFonts w:hint="eastAsia"/>
          <w:b/>
          <w:bCs/>
        </w:rPr>
        <w:t>收入单价情况</w:t>
      </w:r>
      <w:bookmarkEnd w:id="226"/>
    </w:p>
    <w:p w14:paraId="22C6A285">
      <w:pPr>
        <w:ind w:firstLine="644"/>
        <w:rPr>
          <w:rFonts w:ascii="Times New Roman" w:hAnsi="Times New Roman"/>
          <w:szCs w:val="28"/>
        </w:rPr>
      </w:pPr>
      <w:r>
        <w:rPr>
          <w:rFonts w:ascii="Times New Roman" w:hAnsi="Times New Roman"/>
          <w:szCs w:val="28"/>
        </w:rPr>
        <w:t>1、垃圾分类收入</w:t>
      </w:r>
    </w:p>
    <w:p w14:paraId="57FF2216">
      <w:pPr>
        <w:ind w:firstLine="644"/>
        <w:rPr>
          <w:rFonts w:hint="eastAsia" w:ascii="Times New Roman" w:hAnsi="Times New Roman"/>
          <w:szCs w:val="28"/>
        </w:rPr>
      </w:pPr>
      <w:r>
        <w:rPr>
          <w:rFonts w:hint="eastAsia" w:ascii="Times New Roman" w:hAnsi="Times New Roman"/>
          <w:szCs w:val="28"/>
        </w:rPr>
        <w:t>可回收垃圾指适宜回收利用和资源化利用的生活废弃物。其目的是从技术层面避免“增长的极限”，增加材料利用总体寿命，降低资源压力，减少对国际原材料市场的依赖。</w:t>
      </w:r>
    </w:p>
    <w:p w14:paraId="413883E4">
      <w:pPr>
        <w:ind w:firstLine="644"/>
        <w:rPr>
          <w:rFonts w:ascii="Times New Roman" w:hAnsi="Times New Roman"/>
          <w:szCs w:val="28"/>
        </w:rPr>
      </w:pPr>
      <w:r>
        <w:rPr>
          <w:rFonts w:hint="eastAsia" w:ascii="Times New Roman" w:hAnsi="Times New Roman"/>
          <w:szCs w:val="28"/>
        </w:rPr>
        <w:t>主要包括废旧金属、废旧纸质制品、废旧塑料、</w:t>
      </w:r>
      <w:bookmarkStart w:id="227" w:name="_Hlk161915621"/>
      <w:r>
        <w:rPr>
          <w:rFonts w:hint="eastAsia" w:ascii="Times New Roman" w:hAnsi="Times New Roman"/>
          <w:szCs w:val="28"/>
        </w:rPr>
        <w:t>废旧玻璃</w:t>
      </w:r>
      <w:bookmarkEnd w:id="227"/>
      <w:r>
        <w:rPr>
          <w:rFonts w:hint="eastAsia" w:ascii="Times New Roman" w:hAnsi="Times New Roman"/>
          <w:szCs w:val="28"/>
        </w:rPr>
        <w:t>、废旧橡胶五大类生活垃圾，有害垃圾、电子</w:t>
      </w:r>
      <w:r>
        <w:rPr>
          <w:rFonts w:ascii="Times New Roman" w:hAnsi="Times New Roman"/>
          <w:szCs w:val="28"/>
        </w:rPr>
        <w:t>/电器垃圾和电池三类特殊危害垃圾以及废弃家具类垃圾。本项目垃圾分类收入包括废旧金属、</w:t>
      </w:r>
      <w:r>
        <w:rPr>
          <w:rFonts w:hint="eastAsia" w:ascii="Times New Roman" w:hAnsi="Times New Roman"/>
          <w:szCs w:val="28"/>
        </w:rPr>
        <w:t>废旧纸质制品</w:t>
      </w:r>
      <w:r>
        <w:rPr>
          <w:rFonts w:ascii="Times New Roman" w:hAnsi="Times New Roman"/>
          <w:szCs w:val="28"/>
        </w:rPr>
        <w:t>、</w:t>
      </w:r>
      <w:r>
        <w:rPr>
          <w:rFonts w:hint="eastAsia" w:ascii="Times New Roman" w:hAnsi="Times New Roman"/>
          <w:szCs w:val="28"/>
        </w:rPr>
        <w:t>废旧</w:t>
      </w:r>
      <w:r>
        <w:rPr>
          <w:rFonts w:ascii="Times New Roman" w:hAnsi="Times New Roman"/>
          <w:szCs w:val="28"/>
        </w:rPr>
        <w:t>塑料、</w:t>
      </w:r>
      <w:r>
        <w:rPr>
          <w:rFonts w:hint="eastAsia" w:ascii="Times New Roman" w:hAnsi="Times New Roman"/>
          <w:szCs w:val="28"/>
        </w:rPr>
        <w:t>废旧玻璃和废旧橡胶类</w:t>
      </w:r>
      <w:r>
        <w:rPr>
          <w:rFonts w:ascii="Times New Roman" w:hAnsi="Times New Roman"/>
          <w:szCs w:val="28"/>
        </w:rPr>
        <w:t>。</w:t>
      </w:r>
    </w:p>
    <w:p w14:paraId="225872F4">
      <w:pPr>
        <w:ind w:firstLine="644"/>
        <w:rPr>
          <w:rFonts w:ascii="Times New Roman" w:hAnsi="Times New Roman"/>
          <w:szCs w:val="28"/>
        </w:rPr>
      </w:pPr>
      <w:r>
        <w:rPr>
          <w:rFonts w:ascii="Times New Roman" w:hAnsi="Times New Roman"/>
          <w:szCs w:val="28"/>
        </w:rPr>
        <w:br w:type="page"/>
      </w:r>
      <w:r>
        <w:rPr>
          <w:rFonts w:hint="eastAsia" w:ascii="Times New Roman" w:hAnsi="Times New Roman"/>
          <w:szCs w:val="28"/>
        </w:rPr>
        <w:t>（</w:t>
      </w:r>
      <w:r>
        <w:rPr>
          <w:rFonts w:ascii="Times New Roman" w:hAnsi="Times New Roman"/>
          <w:szCs w:val="28"/>
        </w:rPr>
        <w:t>1）废旧金属收入</w:t>
      </w:r>
    </w:p>
    <w:p w14:paraId="7A398D45">
      <w:pPr>
        <w:ind w:firstLine="0" w:firstLineChars="0"/>
        <w:jc w:val="both"/>
        <w:rPr>
          <w:rFonts w:hint="eastAsia" w:ascii="Times New Roman" w:hAnsi="Times New Roman" w:eastAsia="宋体"/>
          <w:szCs w:val="28"/>
          <w:lang w:eastAsia="zh-CN"/>
        </w:rPr>
      </w:pPr>
      <w:r>
        <w:rPr>
          <w:rFonts w:hint="eastAsia" w:ascii="Times New Roman" w:hAnsi="Times New Roman" w:eastAsia="宋体"/>
          <w:szCs w:val="28"/>
          <w:lang w:eastAsia="zh-CN"/>
        </w:rPr>
        <w:drawing>
          <wp:inline distT="0" distB="0" distL="114300" distR="114300">
            <wp:extent cx="2591435" cy="2345690"/>
            <wp:effectExtent l="0" t="0" r="12065" b="3810"/>
            <wp:docPr id="86" name="图片 65" descr="1745722622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图片 65" descr="1745722622155"/>
                    <pic:cNvPicPr>
                      <a:picLocks noChangeAspect="1"/>
                    </pic:cNvPicPr>
                  </pic:nvPicPr>
                  <pic:blipFill>
                    <a:blip r:embed="rId55"/>
                    <a:stretch>
                      <a:fillRect/>
                    </a:stretch>
                  </pic:blipFill>
                  <pic:spPr>
                    <a:xfrm>
                      <a:off x="0" y="0"/>
                      <a:ext cx="2591435" cy="2345690"/>
                    </a:xfrm>
                    <a:prstGeom prst="rect">
                      <a:avLst/>
                    </a:prstGeom>
                    <a:noFill/>
                    <a:ln>
                      <a:noFill/>
                    </a:ln>
                  </pic:spPr>
                </pic:pic>
              </a:graphicData>
            </a:graphic>
          </wp:inline>
        </w:drawing>
      </w:r>
      <w:r>
        <w:rPr>
          <w:rFonts w:hint="eastAsia" w:ascii="Times New Roman" w:hAnsi="Times New Roman" w:eastAsia="宋体"/>
          <w:szCs w:val="28"/>
          <w:lang w:eastAsia="zh-CN"/>
        </w:rPr>
        <w:drawing>
          <wp:inline distT="0" distB="0" distL="114300" distR="114300">
            <wp:extent cx="2352040" cy="2269490"/>
            <wp:effectExtent l="0" t="0" r="10160" b="3810"/>
            <wp:docPr id="98" name="图片 66" descr="17457191229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图片 66" descr="1745719122969"/>
                    <pic:cNvPicPr>
                      <a:picLocks noChangeAspect="1"/>
                    </pic:cNvPicPr>
                  </pic:nvPicPr>
                  <pic:blipFill>
                    <a:blip r:embed="rId56"/>
                    <a:stretch>
                      <a:fillRect/>
                    </a:stretch>
                  </pic:blipFill>
                  <pic:spPr>
                    <a:xfrm>
                      <a:off x="0" y="0"/>
                      <a:ext cx="2352040" cy="2269490"/>
                    </a:xfrm>
                    <a:prstGeom prst="rect">
                      <a:avLst/>
                    </a:prstGeom>
                    <a:noFill/>
                    <a:ln>
                      <a:noFill/>
                    </a:ln>
                  </pic:spPr>
                </pic:pic>
              </a:graphicData>
            </a:graphic>
          </wp:inline>
        </w:drawing>
      </w:r>
    </w:p>
    <w:p w14:paraId="1AD6584B">
      <w:pPr>
        <w:ind w:firstLine="0" w:firstLineChars="0"/>
        <w:jc w:val="center"/>
        <w:rPr>
          <w:rFonts w:hint="eastAsia" w:ascii="Times New Roman" w:hAnsi="Times New Roman" w:eastAsia="宋体"/>
          <w:szCs w:val="28"/>
          <w:lang w:eastAsia="zh-CN"/>
        </w:rPr>
      </w:pPr>
      <w:r>
        <w:rPr>
          <w:rFonts w:hint="eastAsia" w:ascii="Times New Roman" w:hAnsi="Times New Roman" w:eastAsia="宋体"/>
          <w:szCs w:val="28"/>
          <w:lang w:eastAsia="zh-CN"/>
        </w:rPr>
        <w:drawing>
          <wp:inline distT="0" distB="0" distL="114300" distR="114300">
            <wp:extent cx="2873375" cy="2712720"/>
            <wp:effectExtent l="0" t="0" r="9525" b="5080"/>
            <wp:docPr id="94" name="图片 67" descr="17457182698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图片 67" descr="1745718269881"/>
                    <pic:cNvPicPr>
                      <a:picLocks noChangeAspect="1"/>
                    </pic:cNvPicPr>
                  </pic:nvPicPr>
                  <pic:blipFill>
                    <a:blip r:embed="rId57"/>
                    <a:stretch>
                      <a:fillRect/>
                    </a:stretch>
                  </pic:blipFill>
                  <pic:spPr>
                    <a:xfrm>
                      <a:off x="0" y="0"/>
                      <a:ext cx="2873375" cy="2712720"/>
                    </a:xfrm>
                    <a:prstGeom prst="rect">
                      <a:avLst/>
                    </a:prstGeom>
                    <a:noFill/>
                    <a:ln>
                      <a:noFill/>
                    </a:ln>
                  </pic:spPr>
                </pic:pic>
              </a:graphicData>
            </a:graphic>
          </wp:inline>
        </w:drawing>
      </w:r>
      <w:r>
        <w:rPr>
          <w:rFonts w:hint="eastAsia" w:ascii="Times New Roman" w:hAnsi="Times New Roman" w:eastAsia="宋体"/>
          <w:szCs w:val="28"/>
          <w:lang w:eastAsia="zh-CN"/>
        </w:rPr>
        <w:drawing>
          <wp:inline distT="0" distB="0" distL="114300" distR="114300">
            <wp:extent cx="2870200" cy="2747645"/>
            <wp:effectExtent l="0" t="0" r="0" b="8255"/>
            <wp:docPr id="90" name="图片 68" descr="17457191789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图片 68" descr="1745719178960"/>
                    <pic:cNvPicPr>
                      <a:picLocks noChangeAspect="1"/>
                    </pic:cNvPicPr>
                  </pic:nvPicPr>
                  <pic:blipFill>
                    <a:blip r:embed="rId58"/>
                    <a:stretch>
                      <a:fillRect/>
                    </a:stretch>
                  </pic:blipFill>
                  <pic:spPr>
                    <a:xfrm>
                      <a:off x="0" y="0"/>
                      <a:ext cx="2870200" cy="2747645"/>
                    </a:xfrm>
                    <a:prstGeom prst="rect">
                      <a:avLst/>
                    </a:prstGeom>
                    <a:noFill/>
                    <a:ln>
                      <a:noFill/>
                    </a:ln>
                  </pic:spPr>
                </pic:pic>
              </a:graphicData>
            </a:graphic>
          </wp:inline>
        </w:drawing>
      </w:r>
      <w:r>
        <w:rPr>
          <w:rFonts w:hint="eastAsia" w:ascii="Times New Roman" w:hAnsi="Times New Roman" w:eastAsia="宋体"/>
          <w:szCs w:val="28"/>
          <w:lang w:eastAsia="zh-CN"/>
        </w:rPr>
        <w:drawing>
          <wp:inline distT="0" distB="0" distL="114300" distR="114300">
            <wp:extent cx="2861945" cy="2652395"/>
            <wp:effectExtent l="0" t="0" r="8255" b="1905"/>
            <wp:docPr id="91" name="图片 69" descr="17457188319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 name="图片 69" descr="1745718831985"/>
                    <pic:cNvPicPr>
                      <a:picLocks noChangeAspect="1"/>
                    </pic:cNvPicPr>
                  </pic:nvPicPr>
                  <pic:blipFill>
                    <a:blip r:embed="rId59"/>
                    <a:stretch>
                      <a:fillRect/>
                    </a:stretch>
                  </pic:blipFill>
                  <pic:spPr>
                    <a:xfrm>
                      <a:off x="0" y="0"/>
                      <a:ext cx="2861945" cy="2652395"/>
                    </a:xfrm>
                    <a:prstGeom prst="rect">
                      <a:avLst/>
                    </a:prstGeom>
                    <a:noFill/>
                    <a:ln>
                      <a:noFill/>
                    </a:ln>
                  </pic:spPr>
                </pic:pic>
              </a:graphicData>
            </a:graphic>
          </wp:inline>
        </w:drawing>
      </w:r>
      <w:r>
        <w:rPr>
          <w:rFonts w:hint="eastAsia" w:ascii="Times New Roman" w:hAnsi="Times New Roman" w:eastAsia="宋体"/>
          <w:szCs w:val="28"/>
          <w:lang w:eastAsia="zh-CN"/>
        </w:rPr>
        <w:drawing>
          <wp:inline distT="0" distB="0" distL="114300" distR="114300">
            <wp:extent cx="2836545" cy="2727325"/>
            <wp:effectExtent l="0" t="0" r="8255" b="3175"/>
            <wp:docPr id="93" name="图片 70" descr="174571904047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图片 70" descr="1745719040470(1)"/>
                    <pic:cNvPicPr>
                      <a:picLocks noChangeAspect="1"/>
                    </pic:cNvPicPr>
                  </pic:nvPicPr>
                  <pic:blipFill>
                    <a:blip r:embed="rId60"/>
                    <a:stretch>
                      <a:fillRect/>
                    </a:stretch>
                  </pic:blipFill>
                  <pic:spPr>
                    <a:xfrm>
                      <a:off x="0" y="0"/>
                      <a:ext cx="2836545" cy="2727325"/>
                    </a:xfrm>
                    <a:prstGeom prst="rect">
                      <a:avLst/>
                    </a:prstGeom>
                    <a:noFill/>
                    <a:ln>
                      <a:noFill/>
                    </a:ln>
                  </pic:spPr>
                </pic:pic>
              </a:graphicData>
            </a:graphic>
          </wp:inline>
        </w:drawing>
      </w:r>
      <w:r>
        <w:rPr>
          <w:rFonts w:hint="eastAsia" w:ascii="Times New Roman" w:hAnsi="Times New Roman" w:eastAsia="宋体"/>
          <w:szCs w:val="28"/>
          <w:lang w:eastAsia="zh-CN"/>
        </w:rPr>
        <w:drawing>
          <wp:inline distT="0" distB="0" distL="114300" distR="114300">
            <wp:extent cx="2035810" cy="5004435"/>
            <wp:effectExtent l="0" t="0" r="8890" b="12065"/>
            <wp:docPr id="92" name="图片 71" descr="bd5e91c4b35b6e82422238ebdd3115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图片 71" descr="bd5e91c4b35b6e82422238ebdd3115d"/>
                    <pic:cNvPicPr>
                      <a:picLocks noChangeAspect="1"/>
                    </pic:cNvPicPr>
                  </pic:nvPicPr>
                  <pic:blipFill>
                    <a:blip r:embed="rId61"/>
                    <a:stretch>
                      <a:fillRect/>
                    </a:stretch>
                  </pic:blipFill>
                  <pic:spPr>
                    <a:xfrm>
                      <a:off x="0" y="0"/>
                      <a:ext cx="2035810" cy="5004435"/>
                    </a:xfrm>
                    <a:prstGeom prst="rect">
                      <a:avLst/>
                    </a:prstGeom>
                    <a:noFill/>
                    <a:ln>
                      <a:noFill/>
                    </a:ln>
                  </pic:spPr>
                </pic:pic>
              </a:graphicData>
            </a:graphic>
          </wp:inline>
        </w:drawing>
      </w:r>
      <w:r>
        <w:rPr>
          <w:rFonts w:hint="eastAsia" w:ascii="Times New Roman" w:hAnsi="Times New Roman" w:eastAsia="宋体"/>
          <w:szCs w:val="28"/>
          <w:lang w:eastAsia="zh-CN"/>
        </w:rPr>
        <w:drawing>
          <wp:inline distT="0" distB="0" distL="114300" distR="114300">
            <wp:extent cx="3378835" cy="5125720"/>
            <wp:effectExtent l="0" t="0" r="12065" b="5080"/>
            <wp:docPr id="87" name="图片 72" descr="1745739248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图片 72" descr="1745739248225"/>
                    <pic:cNvPicPr>
                      <a:picLocks noChangeAspect="1"/>
                    </pic:cNvPicPr>
                  </pic:nvPicPr>
                  <pic:blipFill>
                    <a:blip r:embed="rId62"/>
                    <a:stretch>
                      <a:fillRect/>
                    </a:stretch>
                  </pic:blipFill>
                  <pic:spPr>
                    <a:xfrm>
                      <a:off x="0" y="0"/>
                      <a:ext cx="3378835" cy="5125720"/>
                    </a:xfrm>
                    <a:prstGeom prst="rect">
                      <a:avLst/>
                    </a:prstGeom>
                    <a:noFill/>
                    <a:ln>
                      <a:noFill/>
                    </a:ln>
                  </pic:spPr>
                </pic:pic>
              </a:graphicData>
            </a:graphic>
          </wp:inline>
        </w:drawing>
      </w:r>
    </w:p>
    <w:p w14:paraId="357B180F">
      <w:pPr>
        <w:ind w:firstLine="644"/>
        <w:rPr>
          <w:rFonts w:ascii="Times New Roman" w:hAnsi="Times New Roman"/>
          <w:szCs w:val="28"/>
        </w:rPr>
      </w:pPr>
      <w:r>
        <w:rPr>
          <w:rFonts w:hint="eastAsia" w:ascii="Times New Roman" w:hAnsi="Times New Roman"/>
          <w:szCs w:val="28"/>
          <w:lang w:val="en-US" w:eastAsia="zh-CN"/>
        </w:rPr>
        <w:t>依据中国物质再生协会发布《中国再生资源回收行业发展报告（2024）》，生活垃圾回收有色金属主要以铝制品和铝合金制品为主（约占废旧回收金属总量的53.87%）（一次性包装（易拉罐、铝箔包装、铝罐装等）、家具门窗、电器外壳、其他生活用品等），其次为不锈钢、铜、铁等，较少有锌、铅、镍等，</w:t>
      </w:r>
      <w:r>
        <w:rPr>
          <w:rFonts w:hint="eastAsia" w:ascii="Times New Roman" w:hAnsi="Times New Roman"/>
          <w:szCs w:val="28"/>
        </w:rPr>
        <w:t>根据市场实际调研及网上发布的</w:t>
      </w:r>
      <w:r>
        <w:rPr>
          <w:rFonts w:hint="eastAsia" w:ascii="Times New Roman" w:hAnsi="Times New Roman"/>
          <w:szCs w:val="28"/>
          <w:lang w:val="en-US" w:eastAsia="zh-CN"/>
        </w:rPr>
        <w:t>近一年</w:t>
      </w:r>
      <w:r>
        <w:rPr>
          <w:rFonts w:hint="eastAsia" w:ascii="Times New Roman" w:hAnsi="Times New Roman"/>
          <w:szCs w:val="28"/>
        </w:rPr>
        <w:t>交易价格数据</w:t>
      </w:r>
      <w:r>
        <w:rPr>
          <w:rFonts w:hint="eastAsia" w:ascii="Times New Roman" w:hAnsi="Times New Roman"/>
          <w:szCs w:val="28"/>
          <w:lang w:eastAsia="zh-CN"/>
        </w:rPr>
        <w:t>，</w:t>
      </w:r>
      <w:r>
        <w:rPr>
          <w:rFonts w:hint="eastAsia" w:ascii="Times New Roman" w:hAnsi="Times New Roman"/>
          <w:szCs w:val="28"/>
        </w:rPr>
        <w:t>废旧金属</w:t>
      </w:r>
      <w:r>
        <w:rPr>
          <w:rFonts w:hint="eastAsia" w:ascii="Times New Roman" w:hAnsi="Times New Roman"/>
          <w:szCs w:val="28"/>
          <w:lang w:val="en-US" w:eastAsia="zh-CN"/>
        </w:rPr>
        <w:t>铝</w:t>
      </w:r>
      <w:r>
        <w:rPr>
          <w:rFonts w:hint="eastAsia" w:ascii="Times New Roman" w:hAnsi="Times New Roman"/>
          <w:szCs w:val="28"/>
        </w:rPr>
        <w:t>在</w:t>
      </w:r>
      <w:r>
        <w:rPr>
          <w:rFonts w:ascii="Times New Roman" w:hAnsi="Times New Roman"/>
          <w:szCs w:val="28"/>
        </w:rPr>
        <w:t>16</w:t>
      </w:r>
      <w:r>
        <w:rPr>
          <w:rFonts w:hint="eastAsia" w:ascii="Times New Roman" w:hAnsi="Times New Roman"/>
          <w:szCs w:val="28"/>
          <w:lang w:val="en-US" w:eastAsia="zh-CN"/>
        </w:rPr>
        <w:t>35</w:t>
      </w:r>
      <w:r>
        <w:rPr>
          <w:rFonts w:ascii="Times New Roman" w:hAnsi="Times New Roman"/>
          <w:szCs w:val="28"/>
        </w:rPr>
        <w:t>0~</w:t>
      </w:r>
      <w:r>
        <w:rPr>
          <w:rFonts w:hint="eastAsia" w:ascii="Times New Roman" w:hAnsi="Times New Roman"/>
          <w:szCs w:val="28"/>
          <w:lang w:val="en-US" w:eastAsia="zh-CN"/>
        </w:rPr>
        <w:t>1965</w:t>
      </w:r>
      <w:r>
        <w:rPr>
          <w:rFonts w:ascii="Times New Roman" w:hAnsi="Times New Roman"/>
          <w:szCs w:val="28"/>
        </w:rPr>
        <w:t>0元/吨</w:t>
      </w:r>
      <w:r>
        <w:rPr>
          <w:rFonts w:hint="eastAsia" w:ascii="Times New Roman" w:hAnsi="Times New Roman"/>
          <w:szCs w:val="28"/>
          <w:lang w:eastAsia="zh-CN"/>
        </w:rPr>
        <w:t>，</w:t>
      </w:r>
      <w:r>
        <w:rPr>
          <w:rFonts w:hint="eastAsia" w:ascii="Times New Roman" w:hAnsi="Times New Roman"/>
          <w:szCs w:val="28"/>
          <w:lang w:val="en-US" w:eastAsia="zh-CN"/>
        </w:rPr>
        <w:t>废不锈钢8900-10550元/吨</w:t>
      </w:r>
      <w:r>
        <w:rPr>
          <w:rFonts w:hint="eastAsia" w:ascii="Times New Roman" w:hAnsi="Times New Roman"/>
          <w:szCs w:val="28"/>
          <w:lang w:eastAsia="zh-CN"/>
        </w:rPr>
        <w:t>，</w:t>
      </w:r>
      <w:r>
        <w:rPr>
          <w:rFonts w:hint="eastAsia" w:ascii="Times New Roman" w:hAnsi="Times New Roman"/>
          <w:szCs w:val="28"/>
          <w:lang w:val="en-US" w:eastAsia="zh-CN"/>
        </w:rPr>
        <w:t>废铜在61700-76400元/吨，废钢在2030-2230元/吨，废锌在20450-27500元/吨，废铅8950-11700元/吨</w:t>
      </w:r>
      <w:r>
        <w:rPr>
          <w:rFonts w:ascii="Times New Roman" w:hAnsi="Times New Roman"/>
          <w:szCs w:val="28"/>
        </w:rPr>
        <w:t>。依照审慎性原则，</w:t>
      </w:r>
      <w:r>
        <w:rPr>
          <w:rFonts w:hint="eastAsia" w:ascii="Times New Roman" w:hAnsi="Times New Roman"/>
          <w:szCs w:val="28"/>
          <w:lang w:val="en-US" w:eastAsia="zh-CN"/>
        </w:rPr>
        <w:t>本次废旧金属回收比例按生活垃圾中统计的金属回收比例（4%）的一半（2%），本次只计算废旧金属铝回收的收入（其他金属未计算）</w:t>
      </w:r>
      <w:r>
        <w:rPr>
          <w:rFonts w:hint="eastAsia" w:ascii="Times New Roman" w:hAnsi="Times New Roman"/>
          <w:szCs w:val="28"/>
          <w:lang w:eastAsia="zh-CN"/>
        </w:rPr>
        <w:t>，</w:t>
      </w:r>
      <w:r>
        <w:rPr>
          <w:rFonts w:ascii="Times New Roman" w:hAnsi="Times New Roman"/>
          <w:szCs w:val="28"/>
        </w:rPr>
        <w:t>按照15000元/吨测算。考虑到社会经济发展与通货膨胀等因素，收入单价每3年上涨</w:t>
      </w:r>
      <w:r>
        <w:rPr>
          <w:rFonts w:hint="eastAsia" w:ascii="Times New Roman" w:hAnsi="Times New Roman"/>
          <w:szCs w:val="28"/>
          <w:lang w:val="en-US" w:eastAsia="zh-CN"/>
        </w:rPr>
        <w:t>3</w:t>
      </w:r>
      <w:r>
        <w:rPr>
          <w:rFonts w:ascii="Times New Roman" w:hAnsi="Times New Roman"/>
          <w:szCs w:val="28"/>
        </w:rPr>
        <w:t>%。</w:t>
      </w:r>
    </w:p>
    <w:p w14:paraId="27C198CC">
      <w:pPr>
        <w:numPr>
          <w:ilvl w:val="0"/>
          <w:numId w:val="4"/>
        </w:numPr>
        <w:ind w:firstLine="644"/>
        <w:rPr>
          <w:rFonts w:hint="eastAsia" w:ascii="Times New Roman" w:hAnsi="Times New Roman"/>
          <w:szCs w:val="28"/>
        </w:rPr>
      </w:pPr>
      <w:r>
        <w:rPr>
          <w:rFonts w:hint="eastAsia" w:ascii="Times New Roman" w:hAnsi="Times New Roman"/>
          <w:szCs w:val="28"/>
        </w:rPr>
        <w:t>废旧纸质制品收入</w:t>
      </w:r>
    </w:p>
    <w:p w14:paraId="65AC0427">
      <w:pPr>
        <w:numPr>
          <w:ilvl w:val="0"/>
          <w:numId w:val="0"/>
        </w:numPr>
        <w:rPr>
          <w:rFonts w:ascii="Times New Roman" w:hAnsi="Times New Roman"/>
          <w:szCs w:val="28"/>
        </w:rPr>
      </w:pPr>
      <w:r>
        <w:rPr>
          <w:rFonts w:ascii="Times New Roman" w:hAnsi="Times New Roman"/>
          <w:szCs w:val="28"/>
        </w:rPr>
        <w:drawing>
          <wp:inline distT="0" distB="0" distL="114300" distR="114300">
            <wp:extent cx="5261610" cy="4046855"/>
            <wp:effectExtent l="0" t="0" r="8890" b="4445"/>
            <wp:docPr id="95" name="图片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图片 73"/>
                    <pic:cNvPicPr>
                      <a:picLocks noChangeAspect="1"/>
                    </pic:cNvPicPr>
                  </pic:nvPicPr>
                  <pic:blipFill>
                    <a:blip r:embed="rId63"/>
                    <a:stretch>
                      <a:fillRect/>
                    </a:stretch>
                  </pic:blipFill>
                  <pic:spPr>
                    <a:xfrm>
                      <a:off x="0" y="0"/>
                      <a:ext cx="5261610" cy="4046855"/>
                    </a:xfrm>
                    <a:prstGeom prst="rect">
                      <a:avLst/>
                    </a:prstGeom>
                    <a:noFill/>
                    <a:ln>
                      <a:noFill/>
                    </a:ln>
                  </pic:spPr>
                </pic:pic>
              </a:graphicData>
            </a:graphic>
          </wp:inline>
        </w:drawing>
      </w:r>
    </w:p>
    <w:p w14:paraId="3F757772">
      <w:pPr>
        <w:ind w:firstLine="644"/>
        <w:rPr>
          <w:rFonts w:ascii="Times New Roman" w:hAnsi="Times New Roman"/>
          <w:szCs w:val="28"/>
        </w:rPr>
      </w:pPr>
      <w:r>
        <w:rPr>
          <w:rFonts w:hint="eastAsia" w:ascii="Times New Roman" w:hAnsi="Times New Roman"/>
          <w:szCs w:val="28"/>
        </w:rPr>
        <w:t>根据市场实际调研及网上发布的交易价格数据废旧纸质制品在</w:t>
      </w:r>
      <w:r>
        <w:rPr>
          <w:rFonts w:ascii="Times New Roman" w:hAnsi="Times New Roman"/>
          <w:szCs w:val="28"/>
        </w:rPr>
        <w:t>2000元/吨。依照审慎性原则，本项目废</w:t>
      </w:r>
      <w:r>
        <w:rPr>
          <w:rFonts w:hint="eastAsia" w:ascii="Times New Roman" w:hAnsi="Times New Roman"/>
          <w:szCs w:val="28"/>
          <w:lang w:val="en-US" w:eastAsia="zh-CN"/>
        </w:rPr>
        <w:t>纸</w:t>
      </w:r>
      <w:r>
        <w:rPr>
          <w:rFonts w:ascii="Times New Roman" w:hAnsi="Times New Roman"/>
          <w:szCs w:val="28"/>
        </w:rPr>
        <w:t>价格按照2000元/吨测算。考虑到社会经济发展与通货膨胀等因素，收入单价每3年上涨</w:t>
      </w:r>
      <w:r>
        <w:rPr>
          <w:rFonts w:hint="eastAsia" w:ascii="Times New Roman" w:hAnsi="Times New Roman"/>
          <w:szCs w:val="28"/>
          <w:lang w:val="en-US" w:eastAsia="zh-CN"/>
        </w:rPr>
        <w:t>3</w:t>
      </w:r>
      <w:r>
        <w:rPr>
          <w:rFonts w:ascii="Times New Roman" w:hAnsi="Times New Roman"/>
          <w:szCs w:val="28"/>
        </w:rPr>
        <w:t>%。</w:t>
      </w:r>
    </w:p>
    <w:p w14:paraId="2DDE07B7">
      <w:pPr>
        <w:ind w:firstLine="644"/>
        <w:rPr>
          <w:rFonts w:ascii="Times New Roman" w:hAnsi="Times New Roman"/>
          <w:szCs w:val="28"/>
        </w:rPr>
      </w:pPr>
      <w:r>
        <w:rPr>
          <w:rFonts w:hint="eastAsia" w:ascii="Times New Roman" w:hAnsi="Times New Roman"/>
          <w:szCs w:val="28"/>
        </w:rPr>
        <w:t>（</w:t>
      </w:r>
      <w:r>
        <w:rPr>
          <w:rFonts w:ascii="Times New Roman" w:hAnsi="Times New Roman"/>
          <w:szCs w:val="28"/>
        </w:rPr>
        <w:t>3）</w:t>
      </w:r>
      <w:r>
        <w:rPr>
          <w:rFonts w:hint="eastAsia" w:ascii="Times New Roman" w:hAnsi="Times New Roman"/>
          <w:szCs w:val="28"/>
        </w:rPr>
        <w:t>废旧塑料</w:t>
      </w:r>
      <w:r>
        <w:rPr>
          <w:rFonts w:ascii="Times New Roman" w:hAnsi="Times New Roman"/>
          <w:szCs w:val="28"/>
        </w:rPr>
        <w:t>收入</w:t>
      </w:r>
      <w:r>
        <w:rPr>
          <w:rFonts w:ascii="Times New Roman" w:hAnsi="Times New Roman"/>
          <w:szCs w:val="28"/>
        </w:rPr>
        <w:br w:type="page"/>
      </w:r>
      <w:r>
        <w:drawing>
          <wp:inline distT="0" distB="0" distL="114300" distR="114300">
            <wp:extent cx="4601210" cy="3440430"/>
            <wp:effectExtent l="0" t="0" r="8890" b="1270"/>
            <wp:docPr id="96" name="图片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 name="图片 74"/>
                    <pic:cNvPicPr>
                      <a:picLocks noChangeAspect="1"/>
                    </pic:cNvPicPr>
                  </pic:nvPicPr>
                  <pic:blipFill>
                    <a:blip r:embed="rId64"/>
                    <a:srcRect l="33215"/>
                    <a:stretch>
                      <a:fillRect/>
                    </a:stretch>
                  </pic:blipFill>
                  <pic:spPr>
                    <a:xfrm>
                      <a:off x="0" y="0"/>
                      <a:ext cx="4601210" cy="3440430"/>
                    </a:xfrm>
                    <a:prstGeom prst="rect">
                      <a:avLst/>
                    </a:prstGeom>
                    <a:noFill/>
                    <a:ln>
                      <a:noFill/>
                    </a:ln>
                  </pic:spPr>
                </pic:pic>
              </a:graphicData>
            </a:graphic>
          </wp:inline>
        </w:drawing>
      </w:r>
    </w:p>
    <w:p w14:paraId="31A9363F">
      <w:pPr>
        <w:ind w:firstLine="644"/>
        <w:rPr>
          <w:rFonts w:ascii="Times New Roman" w:hAnsi="Times New Roman"/>
          <w:szCs w:val="28"/>
        </w:rPr>
      </w:pPr>
      <w:r>
        <w:rPr>
          <w:rFonts w:hint="eastAsia" w:ascii="Times New Roman" w:hAnsi="Times New Roman"/>
          <w:szCs w:val="28"/>
        </w:rPr>
        <w:t>根据市场实际调研及网上发布的交易价格数据废塑料在</w:t>
      </w:r>
      <w:r>
        <w:rPr>
          <w:rFonts w:ascii="Times New Roman" w:hAnsi="Times New Roman"/>
          <w:szCs w:val="28"/>
        </w:rPr>
        <w:t>4000~5000元/吨。依照审慎性原则，本项目废塑料价格按照3500元/吨测算。考虑到社会经济发展与通货膨胀等因素，收入单价每3年上涨</w:t>
      </w:r>
      <w:r>
        <w:rPr>
          <w:rFonts w:hint="eastAsia" w:ascii="Times New Roman" w:hAnsi="Times New Roman"/>
          <w:szCs w:val="28"/>
          <w:lang w:val="en-US" w:eastAsia="zh-CN"/>
        </w:rPr>
        <w:t>3</w:t>
      </w:r>
      <w:r>
        <w:rPr>
          <w:rFonts w:ascii="Times New Roman" w:hAnsi="Times New Roman"/>
          <w:szCs w:val="28"/>
        </w:rPr>
        <w:t>%。</w:t>
      </w:r>
    </w:p>
    <w:p w14:paraId="543234CA">
      <w:pPr>
        <w:ind w:firstLine="644"/>
        <w:rPr>
          <w:rFonts w:ascii="Times New Roman" w:hAnsi="Times New Roman"/>
          <w:szCs w:val="28"/>
        </w:rPr>
      </w:pPr>
      <w:r>
        <w:rPr>
          <w:rFonts w:hint="eastAsia" w:ascii="Times New Roman" w:hAnsi="Times New Roman"/>
          <w:szCs w:val="28"/>
        </w:rPr>
        <w:t>（</w:t>
      </w:r>
      <w:r>
        <w:rPr>
          <w:rFonts w:ascii="Times New Roman" w:hAnsi="Times New Roman"/>
          <w:szCs w:val="28"/>
        </w:rPr>
        <w:t>4）</w:t>
      </w:r>
      <w:bookmarkStart w:id="228" w:name="_Hlk161930416"/>
      <w:r>
        <w:rPr>
          <w:rFonts w:hint="eastAsia" w:ascii="Times New Roman" w:hAnsi="Times New Roman"/>
          <w:szCs w:val="28"/>
        </w:rPr>
        <w:t>废旧玻璃</w:t>
      </w:r>
      <w:bookmarkEnd w:id="228"/>
      <w:r>
        <w:rPr>
          <w:rFonts w:ascii="Times New Roman" w:hAnsi="Times New Roman"/>
          <w:szCs w:val="28"/>
        </w:rPr>
        <w:t>收入</w:t>
      </w:r>
    </w:p>
    <w:p w14:paraId="6C608D50">
      <w:pPr>
        <w:ind w:firstLine="0" w:firstLineChars="0"/>
        <w:rPr>
          <w:rFonts w:ascii="Times New Roman" w:hAnsi="Times New Roman"/>
          <w:szCs w:val="28"/>
        </w:rPr>
      </w:pPr>
      <w:r>
        <w:drawing>
          <wp:inline distT="0" distB="0" distL="114300" distR="114300">
            <wp:extent cx="5760085" cy="2947035"/>
            <wp:effectExtent l="0" t="0" r="5715" b="12065"/>
            <wp:docPr id="97" name="图片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 name="图片 75"/>
                    <pic:cNvPicPr>
                      <a:picLocks noChangeAspect="1"/>
                    </pic:cNvPicPr>
                  </pic:nvPicPr>
                  <pic:blipFill>
                    <a:blip r:embed="rId65"/>
                    <a:stretch>
                      <a:fillRect/>
                    </a:stretch>
                  </pic:blipFill>
                  <pic:spPr>
                    <a:xfrm>
                      <a:off x="0" y="0"/>
                      <a:ext cx="5760085" cy="2947035"/>
                    </a:xfrm>
                    <a:prstGeom prst="rect">
                      <a:avLst/>
                    </a:prstGeom>
                    <a:noFill/>
                    <a:ln>
                      <a:noFill/>
                    </a:ln>
                  </pic:spPr>
                </pic:pic>
              </a:graphicData>
            </a:graphic>
          </wp:inline>
        </w:drawing>
      </w:r>
    </w:p>
    <w:p w14:paraId="15579CF4">
      <w:pPr>
        <w:ind w:firstLine="644"/>
        <w:rPr>
          <w:rFonts w:ascii="Times New Roman" w:hAnsi="Times New Roman"/>
          <w:szCs w:val="28"/>
        </w:rPr>
      </w:pPr>
      <w:r>
        <w:rPr>
          <w:rFonts w:hint="eastAsia" w:ascii="Times New Roman" w:hAnsi="Times New Roman"/>
          <w:szCs w:val="28"/>
        </w:rPr>
        <w:t>根据市场实际调研及网上发布的交易价格数据废旧玻璃价格在</w:t>
      </w:r>
      <w:r>
        <w:rPr>
          <w:rFonts w:ascii="Times New Roman" w:hAnsi="Times New Roman"/>
          <w:szCs w:val="28"/>
        </w:rPr>
        <w:t>550-600元/吨计算。依照审慎性原则，本项目</w:t>
      </w:r>
      <w:r>
        <w:rPr>
          <w:rFonts w:hint="eastAsia" w:ascii="Times New Roman" w:hAnsi="Times New Roman"/>
          <w:szCs w:val="28"/>
        </w:rPr>
        <w:t>废旧玻璃</w:t>
      </w:r>
      <w:r>
        <w:rPr>
          <w:rFonts w:ascii="Times New Roman" w:hAnsi="Times New Roman"/>
          <w:szCs w:val="28"/>
        </w:rPr>
        <w:t>价格按照500元/吨测算。考虑到社会经济发展与通货膨胀等因素，收入单价每3年上涨</w:t>
      </w:r>
      <w:r>
        <w:rPr>
          <w:rFonts w:hint="eastAsia" w:ascii="Times New Roman" w:hAnsi="Times New Roman"/>
          <w:szCs w:val="28"/>
          <w:lang w:val="en-US" w:eastAsia="zh-CN"/>
        </w:rPr>
        <w:t>3</w:t>
      </w:r>
      <w:r>
        <w:rPr>
          <w:rFonts w:ascii="Times New Roman" w:hAnsi="Times New Roman"/>
          <w:szCs w:val="28"/>
        </w:rPr>
        <w:t>%。</w:t>
      </w:r>
    </w:p>
    <w:p w14:paraId="1CDCD7D2">
      <w:pPr>
        <w:numPr>
          <w:ilvl w:val="0"/>
          <w:numId w:val="5"/>
        </w:numPr>
        <w:ind w:firstLine="644"/>
        <w:rPr>
          <w:rFonts w:ascii="Times New Roman" w:hAnsi="Times New Roman"/>
          <w:szCs w:val="28"/>
        </w:rPr>
      </w:pPr>
      <w:r>
        <w:rPr>
          <w:rFonts w:ascii="Times New Roman" w:hAnsi="Times New Roman"/>
          <w:szCs w:val="28"/>
        </w:rPr>
        <w:t>废旧</w:t>
      </w:r>
      <w:r>
        <w:rPr>
          <w:rFonts w:hint="eastAsia" w:ascii="Times New Roman" w:hAnsi="Times New Roman"/>
          <w:szCs w:val="28"/>
        </w:rPr>
        <w:t>橡胶</w:t>
      </w:r>
      <w:r>
        <w:rPr>
          <w:rFonts w:ascii="Times New Roman" w:hAnsi="Times New Roman"/>
          <w:szCs w:val="28"/>
        </w:rPr>
        <w:t>收入</w:t>
      </w:r>
    </w:p>
    <w:p w14:paraId="7D7FF0C8">
      <w:pPr>
        <w:numPr>
          <w:ilvl w:val="0"/>
          <w:numId w:val="0"/>
        </w:numPr>
        <w:rPr>
          <w:rFonts w:ascii="Times New Roman" w:hAnsi="Times New Roman"/>
          <w:szCs w:val="28"/>
        </w:rPr>
      </w:pPr>
      <w:r>
        <w:drawing>
          <wp:inline distT="0" distB="0" distL="114300" distR="114300">
            <wp:extent cx="2340610" cy="3440430"/>
            <wp:effectExtent l="0" t="0" r="8890" b="1270"/>
            <wp:docPr id="85" name="图片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图片 76"/>
                    <pic:cNvPicPr>
                      <a:picLocks noChangeAspect="1"/>
                    </pic:cNvPicPr>
                  </pic:nvPicPr>
                  <pic:blipFill>
                    <a:blip r:embed="rId66"/>
                    <a:stretch>
                      <a:fillRect/>
                    </a:stretch>
                  </pic:blipFill>
                  <pic:spPr>
                    <a:xfrm>
                      <a:off x="0" y="0"/>
                      <a:ext cx="2340610" cy="3440430"/>
                    </a:xfrm>
                    <a:prstGeom prst="rect">
                      <a:avLst/>
                    </a:prstGeom>
                    <a:noFill/>
                    <a:ln>
                      <a:noFill/>
                    </a:ln>
                  </pic:spPr>
                </pic:pic>
              </a:graphicData>
            </a:graphic>
          </wp:inline>
        </w:drawing>
      </w:r>
      <w:r>
        <w:drawing>
          <wp:inline distT="0" distB="0" distL="114300" distR="114300">
            <wp:extent cx="2436495" cy="3362325"/>
            <wp:effectExtent l="0" t="0" r="1905" b="3175"/>
            <wp:docPr id="88" name="图片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图片 77"/>
                    <pic:cNvPicPr>
                      <a:picLocks noChangeAspect="1"/>
                    </pic:cNvPicPr>
                  </pic:nvPicPr>
                  <pic:blipFill>
                    <a:blip r:embed="rId67"/>
                    <a:stretch>
                      <a:fillRect/>
                    </a:stretch>
                  </pic:blipFill>
                  <pic:spPr>
                    <a:xfrm>
                      <a:off x="0" y="0"/>
                      <a:ext cx="2436495" cy="3362325"/>
                    </a:xfrm>
                    <a:prstGeom prst="rect">
                      <a:avLst/>
                    </a:prstGeom>
                    <a:noFill/>
                    <a:ln>
                      <a:noFill/>
                    </a:ln>
                  </pic:spPr>
                </pic:pic>
              </a:graphicData>
            </a:graphic>
          </wp:inline>
        </w:drawing>
      </w:r>
    </w:p>
    <w:p w14:paraId="27F86DF4">
      <w:pPr>
        <w:ind w:firstLine="0" w:firstLineChars="0"/>
        <w:rPr>
          <w:rFonts w:ascii="Times New Roman" w:hAnsi="Times New Roman"/>
          <w:szCs w:val="28"/>
        </w:rPr>
      </w:pPr>
      <w:r>
        <w:drawing>
          <wp:inline distT="0" distB="0" distL="114300" distR="114300">
            <wp:extent cx="5581015" cy="2593340"/>
            <wp:effectExtent l="0" t="0" r="6985" b="10160"/>
            <wp:docPr id="89" name="图片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图片 78"/>
                    <pic:cNvPicPr>
                      <a:picLocks noChangeAspect="1"/>
                    </pic:cNvPicPr>
                  </pic:nvPicPr>
                  <pic:blipFill>
                    <a:blip r:embed="rId68"/>
                    <a:stretch>
                      <a:fillRect/>
                    </a:stretch>
                  </pic:blipFill>
                  <pic:spPr>
                    <a:xfrm>
                      <a:off x="0" y="0"/>
                      <a:ext cx="5581015" cy="2593340"/>
                    </a:xfrm>
                    <a:prstGeom prst="rect">
                      <a:avLst/>
                    </a:prstGeom>
                    <a:noFill/>
                    <a:ln>
                      <a:noFill/>
                    </a:ln>
                  </pic:spPr>
                </pic:pic>
              </a:graphicData>
            </a:graphic>
          </wp:inline>
        </w:drawing>
      </w:r>
    </w:p>
    <w:p w14:paraId="348CC5BA">
      <w:pPr>
        <w:ind w:firstLine="560"/>
      </w:pPr>
      <w:r>
        <w:rPr>
          <w:rFonts w:hint="eastAsia" w:ascii="Times New Roman" w:hAnsi="Times New Roman"/>
          <w:szCs w:val="28"/>
        </w:rPr>
        <w:t>根据市场实际调研及网上发布的交易价格数据</w:t>
      </w:r>
      <w:r>
        <w:rPr>
          <w:rFonts w:ascii="Times New Roman" w:hAnsi="Times New Roman"/>
          <w:szCs w:val="28"/>
        </w:rPr>
        <w:t>废旧</w:t>
      </w:r>
      <w:r>
        <w:rPr>
          <w:rFonts w:hint="eastAsia" w:ascii="Times New Roman" w:hAnsi="Times New Roman"/>
          <w:szCs w:val="28"/>
        </w:rPr>
        <w:t>橡胶种类</w:t>
      </w:r>
      <w:r>
        <w:rPr>
          <w:rFonts w:hint="eastAsia" w:ascii="Times New Roman" w:hAnsi="Times New Roman"/>
          <w:szCs w:val="28"/>
          <w:lang w:val="en-US" w:eastAsia="zh-CN"/>
        </w:rPr>
        <w:t>不同</w:t>
      </w:r>
      <w:r>
        <w:rPr>
          <w:rFonts w:hint="eastAsia" w:ascii="Times New Roman" w:hAnsi="Times New Roman"/>
          <w:szCs w:val="28"/>
        </w:rPr>
        <w:t>价格在</w:t>
      </w:r>
      <w:r>
        <w:rPr>
          <w:rFonts w:hint="eastAsia" w:ascii="Times New Roman" w:hAnsi="Times New Roman"/>
          <w:szCs w:val="28"/>
          <w:lang w:val="en-US" w:eastAsia="zh-CN"/>
        </w:rPr>
        <w:t>100</w:t>
      </w:r>
      <w:r>
        <w:rPr>
          <w:rFonts w:ascii="Times New Roman" w:hAnsi="Times New Roman"/>
          <w:szCs w:val="28"/>
        </w:rPr>
        <w:t>00-</w:t>
      </w:r>
      <w:r>
        <w:rPr>
          <w:rFonts w:hint="eastAsia" w:ascii="Times New Roman" w:hAnsi="Times New Roman"/>
          <w:szCs w:val="28"/>
          <w:lang w:val="en-US" w:eastAsia="zh-CN"/>
        </w:rPr>
        <w:t>19000</w:t>
      </w:r>
      <w:r>
        <w:rPr>
          <w:rFonts w:ascii="Times New Roman" w:hAnsi="Times New Roman"/>
          <w:szCs w:val="28"/>
        </w:rPr>
        <w:t>元/吨计算。依照审慎性原则，本项目</w:t>
      </w:r>
      <w:r>
        <w:rPr>
          <w:rFonts w:hint="eastAsia" w:ascii="Times New Roman" w:hAnsi="Times New Roman"/>
          <w:szCs w:val="28"/>
        </w:rPr>
        <w:t>废旧橡胶</w:t>
      </w:r>
      <w:r>
        <w:rPr>
          <w:rFonts w:ascii="Times New Roman" w:hAnsi="Times New Roman"/>
          <w:szCs w:val="28"/>
        </w:rPr>
        <w:t>价格按照6000元/吨测算。考虑到社会经济发展与通货膨胀等因素，收入单价每3年上涨</w:t>
      </w:r>
      <w:r>
        <w:rPr>
          <w:rFonts w:hint="eastAsia" w:ascii="Times New Roman" w:hAnsi="Times New Roman"/>
          <w:szCs w:val="28"/>
          <w:lang w:val="en-US" w:eastAsia="zh-CN"/>
        </w:rPr>
        <w:t>3</w:t>
      </w:r>
      <w:r>
        <w:rPr>
          <w:rFonts w:ascii="Times New Roman" w:hAnsi="Times New Roman"/>
          <w:szCs w:val="28"/>
        </w:rPr>
        <w:t>%。</w:t>
      </w:r>
    </w:p>
    <w:p w14:paraId="1129D3F7">
      <w:pPr>
        <w:pStyle w:val="21"/>
        <w:numPr>
          <w:ilvl w:val="0"/>
          <w:numId w:val="3"/>
        </w:numPr>
        <w:ind w:firstLineChars="0"/>
        <w:rPr>
          <w:b/>
          <w:bCs/>
        </w:rPr>
      </w:pPr>
      <w:bookmarkStart w:id="229" w:name="_Toc127041736"/>
      <w:r>
        <w:rPr>
          <w:rFonts w:hint="eastAsia"/>
          <w:b/>
          <w:bCs/>
        </w:rPr>
        <w:t>收入规模情况</w:t>
      </w:r>
      <w:bookmarkEnd w:id="229"/>
    </w:p>
    <w:p w14:paraId="6DD69838">
      <w:pPr>
        <w:ind w:firstLine="0" w:firstLineChars="0"/>
        <w:jc w:val="center"/>
        <w:rPr>
          <w:rFonts w:hint="eastAsia" w:eastAsia="宋体"/>
          <w:lang w:eastAsia="zh-CN"/>
        </w:rPr>
      </w:pPr>
      <w:r>
        <w:rPr>
          <w:rFonts w:hint="eastAsia" w:eastAsia="宋体"/>
          <w:lang w:eastAsia="zh-CN"/>
        </w:rPr>
        <w:drawing>
          <wp:inline distT="0" distB="0" distL="114300" distR="114300">
            <wp:extent cx="5756910" cy="3626485"/>
            <wp:effectExtent l="0" t="0" r="8890" b="5715"/>
            <wp:docPr id="102" name="图片 79" descr="1724785091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 name="图片 79" descr="1724785091173"/>
                    <pic:cNvPicPr>
                      <a:picLocks noChangeAspect="1"/>
                    </pic:cNvPicPr>
                  </pic:nvPicPr>
                  <pic:blipFill>
                    <a:blip r:embed="rId69"/>
                    <a:stretch>
                      <a:fillRect/>
                    </a:stretch>
                  </pic:blipFill>
                  <pic:spPr>
                    <a:xfrm>
                      <a:off x="0" y="0"/>
                      <a:ext cx="5756910" cy="3626485"/>
                    </a:xfrm>
                    <a:prstGeom prst="rect">
                      <a:avLst/>
                    </a:prstGeom>
                    <a:noFill/>
                    <a:ln>
                      <a:noFill/>
                    </a:ln>
                  </pic:spPr>
                </pic:pic>
              </a:graphicData>
            </a:graphic>
          </wp:inline>
        </w:drawing>
      </w:r>
    </w:p>
    <w:p w14:paraId="6EA3DB22">
      <w:pPr>
        <w:ind w:firstLine="644"/>
        <w:jc w:val="left"/>
        <w:rPr>
          <w:rFonts w:ascii="Times New Roman" w:hAnsi="Times New Roman"/>
          <w:szCs w:val="28"/>
        </w:rPr>
      </w:pPr>
      <w:r>
        <w:rPr>
          <w:rFonts w:hint="eastAsia"/>
        </w:rPr>
        <w:t>根据雁江区门户网站</w:t>
      </w:r>
      <w:r>
        <w:rPr>
          <w:rFonts w:hint="eastAsia"/>
          <w:lang w:val="en-US" w:eastAsia="zh-CN"/>
        </w:rPr>
        <w:t>信息：</w:t>
      </w:r>
      <w:r>
        <w:rPr>
          <w:rFonts w:hint="eastAsia"/>
        </w:rPr>
        <w:t>雁江区城东新区常住人口近9万人</w:t>
      </w:r>
      <w:r>
        <w:t>，本项目包括</w:t>
      </w:r>
      <w:r>
        <w:rPr>
          <w:rFonts w:hint="eastAsia"/>
        </w:rPr>
        <w:t>城东新区常住人口</w:t>
      </w:r>
      <w:r>
        <w:t>数量，依照审慎性原则，本项目垃圾产生量按照总人口数约为</w:t>
      </w:r>
      <w:r>
        <w:rPr>
          <w:rFonts w:hint="eastAsia"/>
          <w:lang w:val="en-US" w:eastAsia="zh-CN"/>
        </w:rPr>
        <w:t>5</w:t>
      </w:r>
      <w:r>
        <w:t>万人计算。</w:t>
      </w:r>
    </w:p>
    <w:p w14:paraId="543D0C28">
      <w:pPr>
        <w:ind w:firstLine="644"/>
        <w:rPr>
          <w:rFonts w:ascii="Times New Roman" w:hAnsi="Times New Roman"/>
          <w:szCs w:val="28"/>
        </w:rPr>
      </w:pPr>
      <w:r>
        <w:rPr>
          <w:rFonts w:hint="eastAsia" w:ascii="Times New Roman" w:hAnsi="Times New Roman"/>
          <w:szCs w:val="28"/>
        </w:rPr>
        <w:t>（</w:t>
      </w:r>
      <w:r>
        <w:rPr>
          <w:rFonts w:ascii="Times New Roman" w:hAnsi="Times New Roman"/>
          <w:szCs w:val="28"/>
        </w:rPr>
        <w:t>1）居民生活垃圾产生量</w:t>
      </w:r>
    </w:p>
    <w:p w14:paraId="112205E4">
      <w:pPr>
        <w:ind w:left="0" w:leftChars="0" w:firstLine="0" w:firstLineChars="0"/>
        <w:rPr>
          <w:rFonts w:hint="eastAsia" w:ascii="Times New Roman" w:hAnsi="Times New Roman" w:eastAsia="宋体"/>
          <w:szCs w:val="28"/>
          <w:lang w:eastAsia="zh-CN"/>
        </w:rPr>
      </w:pPr>
      <w:r>
        <w:rPr>
          <w:rFonts w:hint="eastAsia" w:ascii="Times New Roman" w:hAnsi="Times New Roman" w:eastAsia="宋体"/>
          <w:szCs w:val="28"/>
          <w:lang w:eastAsia="zh-CN"/>
        </w:rPr>
        <w:drawing>
          <wp:inline distT="0" distB="0" distL="114300" distR="114300">
            <wp:extent cx="5760085" cy="3273425"/>
            <wp:effectExtent l="0" t="0" r="5715" b="3175"/>
            <wp:docPr id="99" name="图片 80" descr="1724786539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 name="图片 80" descr="1724786539308"/>
                    <pic:cNvPicPr>
                      <a:picLocks noChangeAspect="1"/>
                    </pic:cNvPicPr>
                  </pic:nvPicPr>
                  <pic:blipFill>
                    <a:blip r:embed="rId70"/>
                    <a:stretch>
                      <a:fillRect/>
                    </a:stretch>
                  </pic:blipFill>
                  <pic:spPr>
                    <a:xfrm>
                      <a:off x="0" y="0"/>
                      <a:ext cx="5760085" cy="3273425"/>
                    </a:xfrm>
                    <a:prstGeom prst="rect">
                      <a:avLst/>
                    </a:prstGeom>
                    <a:noFill/>
                    <a:ln>
                      <a:noFill/>
                    </a:ln>
                  </pic:spPr>
                </pic:pic>
              </a:graphicData>
            </a:graphic>
          </wp:inline>
        </w:drawing>
      </w:r>
      <w:r>
        <w:rPr>
          <w:rFonts w:hint="eastAsia" w:ascii="Times New Roman" w:hAnsi="Times New Roman" w:eastAsia="宋体"/>
          <w:szCs w:val="28"/>
          <w:lang w:eastAsia="zh-CN"/>
        </w:rPr>
        <w:drawing>
          <wp:inline distT="0" distB="0" distL="114300" distR="114300">
            <wp:extent cx="5758180" cy="2709545"/>
            <wp:effectExtent l="0" t="0" r="7620" b="8255"/>
            <wp:docPr id="100" name="图片 81" descr="1724788225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 name="图片 81" descr="1724788225209"/>
                    <pic:cNvPicPr>
                      <a:picLocks noChangeAspect="1"/>
                    </pic:cNvPicPr>
                  </pic:nvPicPr>
                  <pic:blipFill>
                    <a:blip r:embed="rId71"/>
                    <a:stretch>
                      <a:fillRect/>
                    </a:stretch>
                  </pic:blipFill>
                  <pic:spPr>
                    <a:xfrm>
                      <a:off x="0" y="0"/>
                      <a:ext cx="5758180" cy="2709545"/>
                    </a:xfrm>
                    <a:prstGeom prst="rect">
                      <a:avLst/>
                    </a:prstGeom>
                    <a:noFill/>
                    <a:ln>
                      <a:noFill/>
                    </a:ln>
                  </pic:spPr>
                </pic:pic>
              </a:graphicData>
            </a:graphic>
          </wp:inline>
        </w:drawing>
      </w:r>
    </w:p>
    <w:p w14:paraId="7C5A642B">
      <w:pPr>
        <w:ind w:firstLine="644"/>
        <w:rPr>
          <w:rFonts w:hint="default" w:ascii="Times New Roman" w:hAnsi="Times New Roman" w:eastAsia="宋体"/>
          <w:szCs w:val="28"/>
          <w:lang w:val="en-US" w:eastAsia="zh-CN"/>
        </w:rPr>
      </w:pPr>
      <w:r>
        <w:rPr>
          <w:rFonts w:hint="eastAsia" w:ascii="Times New Roman" w:hAnsi="Times New Roman"/>
          <w:szCs w:val="28"/>
        </w:rPr>
        <w:t>根据11个重点城市《2021年固体废物污染环境防治信息公告》</w:t>
      </w:r>
      <w:r>
        <w:rPr>
          <w:rFonts w:hint="eastAsia" w:ascii="Times New Roman" w:hAnsi="Times New Roman"/>
          <w:szCs w:val="28"/>
          <w:lang w:val="en-US" w:eastAsia="zh-CN"/>
        </w:rPr>
        <w:t>城镇</w:t>
      </w:r>
      <w:r>
        <w:rPr>
          <w:rFonts w:hint="eastAsia" w:ascii="Times New Roman" w:hAnsi="Times New Roman"/>
          <w:szCs w:val="28"/>
        </w:rPr>
        <w:t>居民生活垃圾产生量按</w:t>
      </w:r>
      <w:r>
        <w:rPr>
          <w:rFonts w:hint="eastAsia" w:ascii="Times New Roman" w:hAnsi="Times New Roman"/>
          <w:szCs w:val="28"/>
          <w:lang w:val="en-US" w:eastAsia="zh-CN"/>
        </w:rPr>
        <w:t>1.0073</w:t>
      </w:r>
      <w:r>
        <w:rPr>
          <w:rFonts w:ascii="Times New Roman" w:hAnsi="Times New Roman"/>
          <w:szCs w:val="28"/>
        </w:rPr>
        <w:t>kg/人/天</w:t>
      </w:r>
      <w:r>
        <w:rPr>
          <w:rFonts w:hint="eastAsia" w:ascii="Times New Roman" w:hAnsi="Times New Roman"/>
          <w:szCs w:val="28"/>
          <w:lang w:eastAsia="zh-CN"/>
        </w:rPr>
        <w:t>，</w:t>
      </w:r>
      <w:r>
        <w:rPr>
          <w:rFonts w:hint="eastAsia" w:ascii="Times New Roman" w:hAnsi="Times New Roman"/>
          <w:szCs w:val="28"/>
          <w:lang w:val="en-US" w:eastAsia="zh-CN"/>
        </w:rPr>
        <w:t>同时根据相关报道随着经济的增长中国城市生活垃圾产出量以每年8%-9%增长</w:t>
      </w:r>
      <w:r>
        <w:rPr>
          <w:rFonts w:ascii="Times New Roman" w:hAnsi="Times New Roman"/>
          <w:szCs w:val="28"/>
        </w:rPr>
        <w:t>，本项目从审慎性原则保守取值，</w:t>
      </w:r>
      <w:r>
        <w:rPr>
          <w:rFonts w:hint="eastAsia" w:ascii="Times New Roman" w:hAnsi="Times New Roman"/>
          <w:szCs w:val="28"/>
        </w:rPr>
        <w:t>雁江区城东新区</w:t>
      </w:r>
      <w:r>
        <w:rPr>
          <w:rFonts w:ascii="Times New Roman" w:hAnsi="Times New Roman"/>
          <w:szCs w:val="28"/>
        </w:rPr>
        <w:t>居民生活垃圾产生量按1kg/人/天进行测算</w:t>
      </w:r>
      <w:r>
        <w:rPr>
          <w:rFonts w:hint="eastAsia" w:ascii="Times New Roman" w:hAnsi="Times New Roman"/>
          <w:szCs w:val="28"/>
        </w:rPr>
        <w:t>，</w:t>
      </w:r>
      <w:r>
        <w:rPr>
          <w:rFonts w:hint="eastAsia" w:ascii="Times New Roman" w:hAnsi="Times New Roman"/>
          <w:szCs w:val="28"/>
          <w:lang w:val="en-US" w:eastAsia="zh-CN"/>
        </w:rPr>
        <w:t>5万人</w:t>
      </w:r>
      <w:r>
        <w:rPr>
          <w:rFonts w:hint="eastAsia" w:ascii="Times New Roman" w:hAnsi="Times New Roman"/>
          <w:szCs w:val="28"/>
        </w:rPr>
        <w:t>年均垃圾产生总量 18,250.00 吨/年</w:t>
      </w:r>
      <w:r>
        <w:rPr>
          <w:rFonts w:hint="eastAsia" w:ascii="Times New Roman" w:hAnsi="Times New Roman"/>
          <w:szCs w:val="28"/>
          <w:lang w:eastAsia="zh-CN"/>
        </w:rPr>
        <w:t>。</w:t>
      </w:r>
      <w:r>
        <w:rPr>
          <w:rFonts w:hint="eastAsia" w:ascii="Times New Roman" w:hAnsi="Times New Roman"/>
          <w:szCs w:val="28"/>
          <w:lang w:val="en-US" w:eastAsia="zh-CN"/>
        </w:rPr>
        <w:t>项目竣工于2028年5月，运营期第一年（2028年）垃圾产生量以7个月计；运营期最后一年和其余每年垃圾产生量以12个月计。</w:t>
      </w:r>
    </w:p>
    <w:p w14:paraId="28F823BA">
      <w:pPr>
        <w:ind w:firstLine="644"/>
        <w:rPr>
          <w:rFonts w:ascii="Times New Roman" w:hAnsi="Times New Roman"/>
          <w:szCs w:val="28"/>
        </w:rPr>
      </w:pPr>
      <w:r>
        <w:rPr>
          <w:rFonts w:hint="eastAsia" w:ascii="Times New Roman" w:hAnsi="Times New Roman"/>
          <w:szCs w:val="28"/>
        </w:rPr>
        <w:t>（</w:t>
      </w:r>
      <w:r>
        <w:rPr>
          <w:rFonts w:ascii="Times New Roman" w:hAnsi="Times New Roman"/>
          <w:szCs w:val="28"/>
        </w:rPr>
        <w:t>2）垃圾分类每年回收量</w:t>
      </w:r>
    </w:p>
    <w:p w14:paraId="7698CD3C">
      <w:pPr>
        <w:ind w:firstLine="0" w:firstLineChars="0"/>
        <w:jc w:val="center"/>
        <w:rPr>
          <w:rFonts w:ascii="Times New Roman" w:hAnsi="Times New Roman"/>
          <w:szCs w:val="28"/>
        </w:rPr>
      </w:pPr>
      <w:r>
        <w:drawing>
          <wp:inline distT="0" distB="0" distL="114300" distR="114300">
            <wp:extent cx="5201920" cy="3430905"/>
            <wp:effectExtent l="0" t="0" r="5080" b="10795"/>
            <wp:docPr id="101" name="图片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 name="图片 82"/>
                    <pic:cNvPicPr>
                      <a:picLocks noChangeAspect="1"/>
                    </pic:cNvPicPr>
                  </pic:nvPicPr>
                  <pic:blipFill>
                    <a:blip r:embed="rId72"/>
                    <a:stretch>
                      <a:fillRect/>
                    </a:stretch>
                  </pic:blipFill>
                  <pic:spPr>
                    <a:xfrm>
                      <a:off x="0" y="0"/>
                      <a:ext cx="5201920" cy="3430905"/>
                    </a:xfrm>
                    <a:prstGeom prst="rect">
                      <a:avLst/>
                    </a:prstGeom>
                    <a:noFill/>
                    <a:ln>
                      <a:noFill/>
                    </a:ln>
                  </pic:spPr>
                </pic:pic>
              </a:graphicData>
            </a:graphic>
          </wp:inline>
        </w:drawing>
      </w:r>
    </w:p>
    <w:p w14:paraId="0C304243">
      <w:pPr>
        <w:ind w:firstLine="644"/>
        <w:rPr>
          <w:rFonts w:ascii="Times New Roman" w:hAnsi="Times New Roman"/>
          <w:szCs w:val="28"/>
        </w:rPr>
      </w:pPr>
      <w:r>
        <w:rPr>
          <w:rFonts w:hint="eastAsia" w:ascii="Times New Roman" w:hAnsi="Times New Roman"/>
          <w:szCs w:val="28"/>
        </w:rPr>
        <w:t>根据市场实际调研及网上发布的数据统计，我国生活垃圾的主要成分是：</w:t>
      </w:r>
    </w:p>
    <w:p w14:paraId="5F2AB29B">
      <w:pPr>
        <w:ind w:firstLine="644"/>
        <w:rPr>
          <w:rFonts w:ascii="Times New Roman" w:hAnsi="Times New Roman"/>
          <w:szCs w:val="28"/>
        </w:rPr>
      </w:pPr>
      <w:r>
        <w:rPr>
          <w:rFonts w:hint="eastAsia" w:ascii="Times New Roman" w:hAnsi="Times New Roman"/>
          <w:szCs w:val="28"/>
        </w:rPr>
        <w:t>有机物：</w:t>
      </w:r>
      <w:r>
        <w:rPr>
          <w:rFonts w:ascii="Times New Roman" w:hAnsi="Times New Roman"/>
          <w:szCs w:val="28"/>
        </w:rPr>
        <w:t>食品垃圾约占50%，</w:t>
      </w:r>
      <w:r>
        <w:rPr>
          <w:rFonts w:ascii="Times New Roman" w:hAnsi="Times New Roman"/>
          <w:b/>
          <w:bCs/>
          <w:szCs w:val="28"/>
        </w:rPr>
        <w:t>纸类垃圾约占15%</w:t>
      </w:r>
      <w:r>
        <w:rPr>
          <w:rFonts w:hint="eastAsia" w:ascii="Times New Roman" w:hAnsi="Times New Roman"/>
          <w:szCs w:val="28"/>
        </w:rPr>
        <w:t>；</w:t>
      </w:r>
      <w:r>
        <w:rPr>
          <w:rFonts w:ascii="Times New Roman" w:hAnsi="Times New Roman"/>
          <w:b/>
          <w:bCs/>
          <w:szCs w:val="28"/>
        </w:rPr>
        <w:t>橡塑垃圾约占10%</w:t>
      </w:r>
      <w:r>
        <w:rPr>
          <w:rFonts w:hint="eastAsia" w:ascii="Times New Roman" w:hAnsi="Times New Roman"/>
          <w:szCs w:val="28"/>
        </w:rPr>
        <w:t>；</w:t>
      </w:r>
      <w:r>
        <w:rPr>
          <w:rFonts w:ascii="Times New Roman" w:hAnsi="Times New Roman"/>
          <w:szCs w:val="28"/>
        </w:rPr>
        <w:t>竹木垃圾约占5%</w:t>
      </w:r>
      <w:r>
        <w:rPr>
          <w:rFonts w:hint="eastAsia" w:ascii="Times New Roman" w:hAnsi="Times New Roman"/>
          <w:szCs w:val="28"/>
        </w:rPr>
        <w:t>；</w:t>
      </w:r>
      <w:r>
        <w:rPr>
          <w:rFonts w:ascii="Times New Roman" w:hAnsi="Times New Roman"/>
          <w:szCs w:val="28"/>
        </w:rPr>
        <w:t>纤维约占4%</w:t>
      </w:r>
      <w:r>
        <w:rPr>
          <w:rFonts w:hint="eastAsia" w:ascii="Times New Roman" w:hAnsi="Times New Roman"/>
          <w:szCs w:val="28"/>
        </w:rPr>
        <w:t>；</w:t>
      </w:r>
      <w:r>
        <w:rPr>
          <w:rFonts w:ascii="Times New Roman" w:hAnsi="Times New Roman"/>
          <w:szCs w:val="28"/>
        </w:rPr>
        <w:t>无机物</w:t>
      </w:r>
      <w:r>
        <w:rPr>
          <w:rFonts w:hint="eastAsia" w:ascii="Times New Roman" w:hAnsi="Times New Roman"/>
          <w:szCs w:val="28"/>
        </w:rPr>
        <w:t>：</w:t>
      </w:r>
      <w:r>
        <w:rPr>
          <w:rFonts w:ascii="Times New Roman" w:hAnsi="Times New Roman"/>
          <w:b/>
          <w:bCs/>
          <w:szCs w:val="28"/>
        </w:rPr>
        <w:t>玻璃、金属</w:t>
      </w:r>
      <w:r>
        <w:rPr>
          <w:rFonts w:ascii="Times New Roman" w:hAnsi="Times New Roman"/>
          <w:szCs w:val="28"/>
        </w:rPr>
        <w:t>、灰尘等</w:t>
      </w:r>
      <w:r>
        <w:rPr>
          <w:rFonts w:ascii="Times New Roman" w:hAnsi="Times New Roman"/>
          <w:b/>
          <w:bCs/>
          <w:szCs w:val="28"/>
        </w:rPr>
        <w:t>约</w:t>
      </w:r>
      <w:r>
        <w:rPr>
          <w:rFonts w:hint="eastAsia" w:ascii="Times New Roman" w:hAnsi="Times New Roman"/>
          <w:b/>
          <w:bCs/>
          <w:szCs w:val="28"/>
          <w:lang w:eastAsia="zh-CN"/>
        </w:rPr>
        <w:t>（</w:t>
      </w:r>
      <w:r>
        <w:rPr>
          <w:rFonts w:hint="eastAsia" w:ascii="Times New Roman" w:hAnsi="Times New Roman"/>
          <w:b/>
          <w:bCs/>
          <w:szCs w:val="28"/>
          <w:lang w:val="en-US" w:eastAsia="zh-CN"/>
        </w:rPr>
        <w:t>各</w:t>
      </w:r>
      <w:r>
        <w:rPr>
          <w:rFonts w:hint="eastAsia" w:ascii="Times New Roman" w:hAnsi="Times New Roman"/>
          <w:b/>
          <w:bCs/>
          <w:szCs w:val="28"/>
          <w:lang w:eastAsia="zh-CN"/>
        </w:rPr>
        <w:t>）</w:t>
      </w:r>
      <w:r>
        <w:rPr>
          <w:rFonts w:ascii="Times New Roman" w:hAnsi="Times New Roman"/>
          <w:b/>
          <w:bCs/>
          <w:szCs w:val="28"/>
        </w:rPr>
        <w:t>占4%</w:t>
      </w:r>
      <w:r>
        <w:rPr>
          <w:rFonts w:ascii="Times New Roman" w:hAnsi="Times New Roman"/>
          <w:szCs w:val="28"/>
        </w:rPr>
        <w:t>。本项目从审慎性原则保守取值，分类垃圾</w:t>
      </w:r>
      <w:r>
        <w:rPr>
          <w:rFonts w:hint="eastAsia" w:ascii="Times New Roman" w:hAnsi="Times New Roman"/>
          <w:szCs w:val="28"/>
        </w:rPr>
        <w:t>处理</w:t>
      </w:r>
      <w:r>
        <w:rPr>
          <w:rFonts w:ascii="Times New Roman" w:hAnsi="Times New Roman"/>
          <w:szCs w:val="28"/>
        </w:rPr>
        <w:t>重量比例如下：</w:t>
      </w:r>
    </w:p>
    <w:p w14:paraId="0A63C064">
      <w:pPr>
        <w:ind w:firstLine="0" w:firstLineChars="0"/>
        <w:rPr>
          <w:rFonts w:ascii="Times New Roman" w:hAnsi="Times New Roman"/>
          <w:szCs w:val="28"/>
        </w:rPr>
      </w:pPr>
      <w:r>
        <w:rPr>
          <w:rFonts w:hint="eastAsia" w:ascii="Times New Roman" w:hAnsi="Times New Roman"/>
          <w:szCs w:val="28"/>
        </w:rPr>
        <w:t>1）废旧金属处理量以每年生活垃圾产生总量的</w:t>
      </w:r>
      <w:r>
        <w:rPr>
          <w:rFonts w:ascii="Times New Roman" w:hAnsi="Times New Roman"/>
          <w:szCs w:val="28"/>
        </w:rPr>
        <w:t xml:space="preserve">2%进行计算； </w:t>
      </w:r>
    </w:p>
    <w:p w14:paraId="4E9E0117">
      <w:pPr>
        <w:ind w:firstLine="0" w:firstLineChars="0"/>
        <w:rPr>
          <w:rFonts w:ascii="Times New Roman" w:hAnsi="Times New Roman"/>
          <w:szCs w:val="28"/>
        </w:rPr>
      </w:pPr>
      <w:r>
        <w:rPr>
          <w:rFonts w:hint="eastAsia" w:ascii="Times New Roman" w:hAnsi="Times New Roman"/>
          <w:szCs w:val="28"/>
        </w:rPr>
        <w:t>2</w:t>
      </w:r>
      <w:r>
        <w:rPr>
          <w:rFonts w:ascii="Times New Roman" w:hAnsi="Times New Roman"/>
          <w:szCs w:val="28"/>
        </w:rPr>
        <w:t>)</w:t>
      </w:r>
      <w:r>
        <w:rPr>
          <w:rFonts w:hint="eastAsia" w:ascii="Times New Roman" w:hAnsi="Times New Roman"/>
          <w:szCs w:val="28"/>
        </w:rPr>
        <w:t>废旧纸质制品处理量以每年生活垃圾产生总量的</w:t>
      </w:r>
      <w:r>
        <w:rPr>
          <w:rFonts w:hint="eastAsia" w:ascii="Times New Roman" w:hAnsi="Times New Roman"/>
          <w:szCs w:val="28"/>
          <w:lang w:val="en-US" w:eastAsia="zh-CN"/>
        </w:rPr>
        <w:t>7</w:t>
      </w:r>
      <w:r>
        <w:rPr>
          <w:rFonts w:ascii="Times New Roman" w:hAnsi="Times New Roman"/>
          <w:szCs w:val="28"/>
        </w:rPr>
        <w:t>%</w:t>
      </w:r>
      <w:r>
        <w:rPr>
          <w:rFonts w:hint="eastAsia" w:ascii="Times New Roman" w:hAnsi="Times New Roman"/>
          <w:szCs w:val="28"/>
        </w:rPr>
        <w:t>进行计算</w:t>
      </w:r>
      <w:r>
        <w:rPr>
          <w:rFonts w:ascii="Times New Roman" w:hAnsi="Times New Roman"/>
          <w:szCs w:val="28"/>
        </w:rPr>
        <w:t>；</w:t>
      </w:r>
    </w:p>
    <w:p w14:paraId="56934F0C">
      <w:pPr>
        <w:ind w:firstLine="0" w:firstLineChars="0"/>
        <w:rPr>
          <w:rFonts w:ascii="Times New Roman" w:hAnsi="Times New Roman"/>
          <w:szCs w:val="28"/>
        </w:rPr>
      </w:pPr>
      <w:r>
        <w:rPr>
          <w:rFonts w:ascii="Times New Roman" w:hAnsi="Times New Roman"/>
          <w:szCs w:val="28"/>
        </w:rPr>
        <w:t>3</w:t>
      </w:r>
      <w:r>
        <w:rPr>
          <w:rFonts w:hint="eastAsia" w:ascii="Times New Roman" w:hAnsi="Times New Roman"/>
          <w:szCs w:val="28"/>
        </w:rPr>
        <w:t>）废旧塑料处理量以每年生活垃圾产生总量的</w:t>
      </w:r>
      <w:r>
        <w:rPr>
          <w:rFonts w:hint="eastAsia" w:ascii="Times New Roman" w:hAnsi="Times New Roman"/>
          <w:szCs w:val="28"/>
          <w:lang w:val="en-US" w:eastAsia="zh-CN"/>
        </w:rPr>
        <w:t>3</w:t>
      </w:r>
      <w:r>
        <w:rPr>
          <w:rFonts w:ascii="Times New Roman" w:hAnsi="Times New Roman"/>
          <w:szCs w:val="28"/>
        </w:rPr>
        <w:t xml:space="preserve">%进行计算； </w:t>
      </w:r>
    </w:p>
    <w:p w14:paraId="44A2EF1A">
      <w:pPr>
        <w:ind w:firstLine="0" w:firstLineChars="0"/>
        <w:rPr>
          <w:rFonts w:ascii="Times New Roman" w:hAnsi="Times New Roman"/>
          <w:szCs w:val="28"/>
        </w:rPr>
      </w:pPr>
      <w:r>
        <w:rPr>
          <w:rFonts w:ascii="Times New Roman" w:hAnsi="Times New Roman"/>
          <w:szCs w:val="28"/>
        </w:rPr>
        <w:t>4</w:t>
      </w:r>
      <w:r>
        <w:rPr>
          <w:rFonts w:hint="eastAsia" w:ascii="Times New Roman" w:hAnsi="Times New Roman"/>
          <w:szCs w:val="28"/>
        </w:rPr>
        <w:t>）废旧玻璃处理量以每年生活垃圾产生总量的</w:t>
      </w:r>
      <w:r>
        <w:rPr>
          <w:rFonts w:ascii="Times New Roman" w:hAnsi="Times New Roman"/>
          <w:szCs w:val="28"/>
        </w:rPr>
        <w:t>2%进行计算；</w:t>
      </w:r>
    </w:p>
    <w:p w14:paraId="2158AFA0">
      <w:pPr>
        <w:ind w:firstLine="0" w:firstLineChars="0"/>
        <w:rPr>
          <w:rFonts w:ascii="Times New Roman" w:hAnsi="Times New Roman"/>
          <w:szCs w:val="28"/>
        </w:rPr>
      </w:pPr>
      <w:r>
        <w:rPr>
          <w:rFonts w:ascii="Times New Roman" w:hAnsi="Times New Roman"/>
          <w:szCs w:val="28"/>
        </w:rPr>
        <w:t>5</w:t>
      </w:r>
      <w:r>
        <w:rPr>
          <w:rFonts w:hint="eastAsia" w:ascii="Times New Roman" w:hAnsi="Times New Roman"/>
          <w:szCs w:val="28"/>
        </w:rPr>
        <w:t>）废旧橡胶处理量以每年生活垃圾产生总量的</w:t>
      </w:r>
      <w:r>
        <w:rPr>
          <w:rFonts w:hint="eastAsia" w:ascii="Times New Roman" w:hAnsi="Times New Roman"/>
          <w:szCs w:val="28"/>
          <w:lang w:val="en-US" w:eastAsia="zh-CN"/>
        </w:rPr>
        <w:t>2</w:t>
      </w:r>
      <w:r>
        <w:rPr>
          <w:rFonts w:ascii="Times New Roman" w:hAnsi="Times New Roman"/>
          <w:szCs w:val="28"/>
        </w:rPr>
        <w:t>%进行计算。</w:t>
      </w:r>
    </w:p>
    <w:p w14:paraId="21F35F94">
      <w:pPr>
        <w:ind w:firstLine="644"/>
      </w:pPr>
      <w:r>
        <w:rPr>
          <w:rFonts w:hint="eastAsia" w:ascii="Times New Roman" w:hAnsi="Times New Roman" w:eastAsia="宋体" w:cs="Times New Roman"/>
          <w:szCs w:val="28"/>
          <w:lang w:val="en-US" w:eastAsia="zh-CN"/>
        </w:rPr>
        <w:t>垃圾回收率按2028年75%，2029年80%，2030年85%，2031年及以后90%计。</w:t>
      </w:r>
    </w:p>
    <w:p w14:paraId="78D2DF1D">
      <w:pPr>
        <w:pStyle w:val="21"/>
        <w:numPr>
          <w:ilvl w:val="0"/>
          <w:numId w:val="3"/>
        </w:numPr>
        <w:ind w:firstLineChars="0"/>
        <w:rPr>
          <w:b/>
          <w:bCs/>
        </w:rPr>
      </w:pPr>
      <w:bookmarkStart w:id="230" w:name="_Toc127041737"/>
      <w:r>
        <w:rPr>
          <w:rFonts w:hint="eastAsia"/>
          <w:b/>
          <w:bCs/>
        </w:rPr>
        <w:t>收入预测结果</w:t>
      </w:r>
      <w:bookmarkEnd w:id="230"/>
    </w:p>
    <w:p w14:paraId="45B3E388">
      <w:pPr>
        <w:ind w:firstLine="560"/>
      </w:pPr>
      <w:r>
        <w:rPr>
          <w:rFonts w:hint="eastAsia"/>
        </w:rPr>
        <w:t>项目预期收入测算详见“债券存续期内总收入预测表”与“债券存续期内总收入预测明细表”。项目含税总收入共计22,219.43万元。</w:t>
      </w:r>
    </w:p>
    <w:p w14:paraId="067B9CBC">
      <w:pPr>
        <w:ind w:firstLine="560"/>
        <w:sectPr>
          <w:pgSz w:w="11906" w:h="16838"/>
          <w:pgMar w:top="1247" w:right="1361" w:bottom="1247" w:left="1361" w:header="624" w:footer="624" w:gutter="0"/>
          <w:cols w:space="425" w:num="1"/>
          <w:docGrid w:type="lines" w:linePitch="381" w:charSpace="0"/>
        </w:sectPr>
      </w:pPr>
    </w:p>
    <w:p w14:paraId="429E8A84">
      <w:pPr>
        <w:ind w:firstLine="560"/>
        <w:jc w:val="center"/>
      </w:pPr>
      <w:r>
        <w:rPr>
          <w:rFonts w:hint="eastAsia"/>
        </w:rPr>
        <w:t>总收入预测表（税后）</w:t>
      </w:r>
    </w:p>
    <w:p w14:paraId="14EDE4C6">
      <w:pPr>
        <w:pStyle w:val="13"/>
      </w:pPr>
    </w:p>
    <w:p w14:paraId="738B67FF">
      <w:pPr>
        <w:widowControl/>
        <w:spacing w:line="240" w:lineRule="auto"/>
        <w:ind w:firstLine="0" w:firstLineChars="0"/>
        <w:jc w:val="left"/>
      </w:pPr>
      <w:r>
        <w:drawing>
          <wp:inline distT="0" distB="0" distL="114300" distR="114300">
            <wp:extent cx="9256395" cy="1477645"/>
            <wp:effectExtent l="0" t="0" r="1905" b="8255"/>
            <wp:docPr id="103" name="图片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 name="图片 83"/>
                    <pic:cNvPicPr>
                      <a:picLocks noChangeAspect="1"/>
                    </pic:cNvPicPr>
                  </pic:nvPicPr>
                  <pic:blipFill>
                    <a:blip r:embed="rId73"/>
                    <a:stretch>
                      <a:fillRect/>
                    </a:stretch>
                  </pic:blipFill>
                  <pic:spPr>
                    <a:xfrm>
                      <a:off x="0" y="0"/>
                      <a:ext cx="9256395" cy="1477645"/>
                    </a:xfrm>
                    <a:prstGeom prst="rect">
                      <a:avLst/>
                    </a:prstGeom>
                    <a:noFill/>
                    <a:ln>
                      <a:noFill/>
                    </a:ln>
                  </pic:spPr>
                </pic:pic>
              </a:graphicData>
            </a:graphic>
          </wp:inline>
        </w:drawing>
      </w:r>
      <w:r>
        <w:br w:type="page"/>
      </w:r>
    </w:p>
    <w:p w14:paraId="10AE5150">
      <w:pPr>
        <w:ind w:firstLine="560"/>
        <w:jc w:val="center"/>
        <w:rPr>
          <w:rFonts w:hint="eastAsia" w:eastAsia="宋体"/>
          <w:lang w:eastAsia="zh-CN"/>
        </w:rPr>
      </w:pPr>
      <w:r>
        <w:rPr>
          <w:rFonts w:hint="eastAsia"/>
        </w:rPr>
        <w:t>总收入预测明细表</w:t>
      </w:r>
      <w:r>
        <w:rPr>
          <w:rFonts w:hint="eastAsia"/>
          <w:lang w:eastAsia="zh-CN"/>
        </w:rPr>
        <w:t>（</w:t>
      </w:r>
      <w:r>
        <w:rPr>
          <w:rFonts w:hint="eastAsia"/>
          <w:lang w:val="en-US" w:eastAsia="zh-CN"/>
        </w:rPr>
        <w:t>税前</w:t>
      </w:r>
      <w:r>
        <w:rPr>
          <w:rFonts w:hint="eastAsia"/>
          <w:lang w:eastAsia="zh-CN"/>
        </w:rPr>
        <w:t>）</w:t>
      </w:r>
    </w:p>
    <w:p w14:paraId="78D6F3C2">
      <w:pPr>
        <w:pStyle w:val="13"/>
        <w:rPr>
          <w:rFonts w:hint="eastAsia"/>
        </w:rPr>
      </w:pPr>
      <w:r>
        <w:drawing>
          <wp:inline distT="0" distB="0" distL="114300" distR="114300">
            <wp:extent cx="9420225" cy="5161915"/>
            <wp:effectExtent l="0" t="0" r="3175" b="6985"/>
            <wp:docPr id="104" name="图片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 name="图片 84"/>
                    <pic:cNvPicPr>
                      <a:picLocks noChangeAspect="1"/>
                    </pic:cNvPicPr>
                  </pic:nvPicPr>
                  <pic:blipFill>
                    <a:blip r:embed="rId74"/>
                    <a:stretch>
                      <a:fillRect/>
                    </a:stretch>
                  </pic:blipFill>
                  <pic:spPr>
                    <a:xfrm>
                      <a:off x="0" y="0"/>
                      <a:ext cx="9420225" cy="5161915"/>
                    </a:xfrm>
                    <a:prstGeom prst="rect">
                      <a:avLst/>
                    </a:prstGeom>
                    <a:noFill/>
                    <a:ln>
                      <a:noFill/>
                    </a:ln>
                  </pic:spPr>
                </pic:pic>
              </a:graphicData>
            </a:graphic>
          </wp:inline>
        </w:drawing>
      </w:r>
    </w:p>
    <w:p w14:paraId="29AE6C91">
      <w:pPr>
        <w:ind w:left="0" w:leftChars="0" w:firstLine="0" w:firstLineChars="0"/>
        <w:sectPr>
          <w:headerReference r:id="rId13" w:type="first"/>
          <w:footerReference r:id="rId15" w:type="first"/>
          <w:headerReference r:id="rId11" w:type="default"/>
          <w:headerReference r:id="rId12" w:type="even"/>
          <w:footerReference r:id="rId14" w:type="even"/>
          <w:pgSz w:w="16838" w:h="11906" w:orient="landscape"/>
          <w:pgMar w:top="1361" w:right="1247" w:bottom="1361" w:left="1247" w:header="624" w:footer="624" w:gutter="0"/>
          <w:cols w:space="425" w:num="1"/>
          <w:docGrid w:type="lines" w:linePitch="381" w:charSpace="0"/>
        </w:sectPr>
      </w:pPr>
    </w:p>
    <w:p w14:paraId="317BDB92">
      <w:pPr>
        <w:pStyle w:val="5"/>
      </w:pPr>
      <w:r>
        <w:rPr>
          <w:rFonts w:hint="eastAsia"/>
        </w:rPr>
        <w:t>4</w:t>
      </w:r>
      <w:r>
        <w:t>.1.2 项目成本</w:t>
      </w:r>
    </w:p>
    <w:p w14:paraId="5BB8815C">
      <w:pPr>
        <w:ind w:firstLine="560"/>
        <w:rPr>
          <w:rFonts w:hint="eastAsia"/>
        </w:rPr>
      </w:pPr>
      <w:r>
        <w:rPr>
          <w:rFonts w:ascii="Times New Roman" w:hAnsi="Times New Roman"/>
          <w:sz w:val="30"/>
          <w:szCs w:val="30"/>
        </w:rPr>
        <w:t>1.项目财务费用</w:t>
      </w:r>
    </w:p>
    <w:p w14:paraId="31CDF134">
      <w:pPr>
        <w:ind w:firstLine="560"/>
      </w:pPr>
      <w:r>
        <w:rPr>
          <w:rFonts w:hint="eastAsia"/>
        </w:rPr>
        <w:t>项目专项债券拟发行20年期专项债券，年利率2.70%。本项目专项债券按半年付息，到期一次性还本的方式进行偿还。债券存续期内累计需支付利息 3,746.25 万元，其中：专项债建设期利息计 315.00 万元入总投资，专项债券在运营期间产生的利息费用 3,431.25 万元。</w:t>
      </w:r>
    </w:p>
    <w:p w14:paraId="492944A6">
      <w:pPr>
        <w:spacing w:before="311" w:after="311"/>
        <w:ind w:firstLine="686"/>
        <w:outlineLvl w:val="9"/>
        <w:rPr>
          <w:rFonts w:ascii="Times New Roman" w:hAnsi="Times New Roman"/>
          <w:sz w:val="30"/>
          <w:szCs w:val="30"/>
        </w:rPr>
      </w:pPr>
      <w:bookmarkStart w:id="231" w:name="_Toc516021994"/>
      <w:bookmarkStart w:id="232" w:name="_Toc127041743"/>
      <w:r>
        <w:rPr>
          <w:rFonts w:ascii="Times New Roman" w:hAnsi="Times New Roman"/>
          <w:sz w:val="30"/>
          <w:szCs w:val="30"/>
        </w:rPr>
        <w:t>2.项目经营成本费用</w:t>
      </w:r>
      <w:bookmarkEnd w:id="231"/>
    </w:p>
    <w:p w14:paraId="765D09BB">
      <w:pPr>
        <w:ind w:firstLine="646"/>
        <w:rPr>
          <w:rFonts w:ascii="Times New Roman" w:hAnsi="Times New Roman"/>
          <w:b/>
          <w:bCs/>
          <w:szCs w:val="28"/>
        </w:rPr>
      </w:pPr>
      <w:r>
        <w:rPr>
          <w:rFonts w:hint="eastAsia" w:ascii="Times New Roman" w:hAnsi="Times New Roman"/>
          <w:b/>
          <w:bCs/>
          <w:szCs w:val="28"/>
        </w:rPr>
        <w:t>2.1运营成本</w:t>
      </w:r>
    </w:p>
    <w:p w14:paraId="3FF379E3">
      <w:pPr>
        <w:ind w:firstLine="644"/>
        <w:rPr>
          <w:rFonts w:ascii="Times New Roman" w:hAnsi="Times New Roman"/>
          <w:szCs w:val="28"/>
        </w:rPr>
      </w:pPr>
      <w:r>
        <w:rPr>
          <w:rFonts w:hint="eastAsia" w:ascii="Times New Roman" w:hAnsi="Times New Roman"/>
          <w:szCs w:val="28"/>
        </w:rPr>
        <w:t>项目运营管理费用主要指企业行政管理部门为组织和管理生产经营活动而发生的各种费用。主要包括:企业行政管理部门在企业经营管理中发生的，应当由企业统一负担的公司经费、 工会经费、待业保险费、劳动保险费、咨询费、诉讼费、业务招待费、办公费、差旅费、邮电费等。项目运营成本按运营收入的</w:t>
      </w:r>
      <w:r>
        <w:rPr>
          <w:rFonts w:hint="eastAsia" w:ascii="Times New Roman" w:hAnsi="Times New Roman"/>
          <w:szCs w:val="28"/>
          <w:lang w:val="en-US" w:eastAsia="zh-CN"/>
        </w:rPr>
        <w:t>1</w:t>
      </w:r>
      <w:r>
        <w:rPr>
          <w:rFonts w:hint="eastAsia" w:ascii="Times New Roman" w:hAnsi="Times New Roman"/>
          <w:szCs w:val="28"/>
        </w:rPr>
        <w:t>%测算。</w:t>
      </w:r>
    </w:p>
    <w:p w14:paraId="6C112C09">
      <w:pPr>
        <w:ind w:firstLine="646"/>
        <w:rPr>
          <w:rFonts w:ascii="Times New Roman" w:hAnsi="Times New Roman"/>
          <w:b/>
          <w:bCs/>
          <w:szCs w:val="28"/>
        </w:rPr>
      </w:pPr>
      <w:r>
        <w:rPr>
          <w:rFonts w:hint="eastAsia" w:ascii="Times New Roman" w:hAnsi="Times New Roman"/>
          <w:b/>
          <w:bCs/>
          <w:szCs w:val="28"/>
        </w:rPr>
        <w:t>2.2工资及福利费</w:t>
      </w:r>
    </w:p>
    <w:p w14:paraId="0051CF0F">
      <w:pPr>
        <w:ind w:firstLine="644"/>
        <w:rPr>
          <w:rFonts w:ascii="Times New Roman" w:hAnsi="Times New Roman"/>
          <w:szCs w:val="28"/>
        </w:rPr>
      </w:pPr>
      <w:r>
        <w:rPr>
          <w:rFonts w:hint="eastAsia" w:ascii="Times New Roman" w:hAnsi="Times New Roman"/>
          <w:szCs w:val="28"/>
        </w:rPr>
        <w:t>企业职工福利费是指企业为职工提供的除职工工资、奖金、津贴、纳入工资总额管理的补贴、职工教育经费、社会保险费和补充养老保险费（年金）、补充医疗保险费及住房公积金以外的福利待遇支出，包括发放给职工或为职工支付的以下各项现金补贴和非货币性集体福利</w:t>
      </w:r>
    </w:p>
    <w:p w14:paraId="69CE9BBA">
      <w:pPr>
        <w:ind w:firstLine="644"/>
        <w:rPr>
          <w:rFonts w:ascii="Times New Roman" w:hAnsi="Times New Roman"/>
          <w:szCs w:val="28"/>
        </w:rPr>
      </w:pPr>
      <w:r>
        <w:rPr>
          <w:rFonts w:hint="eastAsia" w:ascii="Times New Roman" w:hAnsi="Times New Roman"/>
          <w:szCs w:val="28"/>
        </w:rPr>
        <w:t>本项目中管理人员</w:t>
      </w:r>
      <w:r>
        <w:rPr>
          <w:rFonts w:hint="eastAsia" w:ascii="Times New Roman" w:hAnsi="Times New Roman"/>
          <w:szCs w:val="28"/>
          <w:lang w:val="en-US" w:eastAsia="zh-CN"/>
        </w:rPr>
        <w:t>2</w:t>
      </w:r>
      <w:r>
        <w:rPr>
          <w:rFonts w:hint="eastAsia" w:ascii="Times New Roman" w:hAnsi="Times New Roman"/>
          <w:szCs w:val="28"/>
        </w:rPr>
        <w:t>人，人均年工资</w:t>
      </w:r>
      <w:r>
        <w:rPr>
          <w:rFonts w:hint="eastAsia" w:ascii="Times New Roman" w:hAnsi="Times New Roman"/>
          <w:szCs w:val="28"/>
          <w:lang w:val="en-US" w:eastAsia="zh-CN"/>
        </w:rPr>
        <w:t>6</w:t>
      </w:r>
      <w:r>
        <w:rPr>
          <w:rFonts w:hint="eastAsia" w:ascii="Times New Roman" w:hAnsi="Times New Roman"/>
          <w:szCs w:val="28"/>
        </w:rPr>
        <w:t>万元；普通工作人员</w:t>
      </w:r>
      <w:r>
        <w:rPr>
          <w:rFonts w:hint="eastAsia" w:ascii="Times New Roman" w:hAnsi="Times New Roman"/>
          <w:szCs w:val="28"/>
          <w:lang w:val="en-US" w:eastAsia="zh-CN"/>
        </w:rPr>
        <w:t>25</w:t>
      </w:r>
      <w:r>
        <w:rPr>
          <w:rFonts w:hint="eastAsia" w:ascii="Times New Roman" w:hAnsi="Times New Roman"/>
          <w:szCs w:val="28"/>
        </w:rPr>
        <w:t>人，人均年工资</w:t>
      </w:r>
      <w:r>
        <w:rPr>
          <w:rFonts w:ascii="Times New Roman" w:hAnsi="Times New Roman"/>
          <w:szCs w:val="28"/>
        </w:rPr>
        <w:t>4.5</w:t>
      </w:r>
      <w:r>
        <w:rPr>
          <w:rFonts w:hint="eastAsia" w:ascii="Times New Roman" w:hAnsi="Times New Roman"/>
          <w:szCs w:val="28"/>
        </w:rPr>
        <w:t>万元。社保费按工资的18%计取，福利费按工资的3%计取。单价增涨按每</w:t>
      </w:r>
      <w:r>
        <w:rPr>
          <w:rFonts w:hint="eastAsia" w:ascii="Times New Roman" w:hAnsi="Times New Roman"/>
          <w:szCs w:val="28"/>
          <w:lang w:val="en-US" w:eastAsia="zh-CN"/>
        </w:rPr>
        <w:t>5</w:t>
      </w:r>
      <w:r>
        <w:rPr>
          <w:rFonts w:hint="eastAsia" w:ascii="Times New Roman" w:hAnsi="Times New Roman"/>
          <w:szCs w:val="28"/>
        </w:rPr>
        <w:t>年增涨3%测算。</w:t>
      </w:r>
    </w:p>
    <w:p w14:paraId="632AB151">
      <w:pPr>
        <w:ind w:firstLine="646"/>
        <w:rPr>
          <w:rFonts w:ascii="Times New Roman" w:hAnsi="Times New Roman"/>
          <w:b/>
          <w:bCs/>
          <w:szCs w:val="28"/>
        </w:rPr>
      </w:pPr>
      <w:r>
        <w:rPr>
          <w:rFonts w:hint="eastAsia" w:ascii="Times New Roman" w:hAnsi="Times New Roman"/>
          <w:b/>
          <w:bCs/>
          <w:szCs w:val="28"/>
        </w:rPr>
        <w:t>2.</w:t>
      </w:r>
      <w:r>
        <w:rPr>
          <w:rFonts w:ascii="Times New Roman" w:hAnsi="Times New Roman"/>
          <w:b/>
          <w:bCs/>
          <w:szCs w:val="28"/>
        </w:rPr>
        <w:t>3</w:t>
      </w:r>
      <w:r>
        <w:rPr>
          <w:rFonts w:hint="eastAsia" w:ascii="Times New Roman" w:hAnsi="Times New Roman"/>
          <w:b/>
          <w:bCs/>
          <w:szCs w:val="28"/>
        </w:rPr>
        <w:t>修理费</w:t>
      </w:r>
    </w:p>
    <w:p w14:paraId="2590A17A">
      <w:pPr>
        <w:ind w:firstLine="644"/>
        <w:rPr>
          <w:rFonts w:ascii="Times New Roman" w:hAnsi="Times New Roman"/>
          <w:szCs w:val="28"/>
        </w:rPr>
      </w:pPr>
      <w:r>
        <w:rPr>
          <w:rFonts w:hint="eastAsia" w:ascii="Times New Roman" w:hAnsi="Times New Roman"/>
          <w:szCs w:val="28"/>
        </w:rPr>
        <w:t>修理费主要指项目在项目运营过程中每年对本项目所涉及设备进行的维护管理，修理费按折旧费的5%</w:t>
      </w:r>
      <w:r>
        <w:rPr>
          <w:rFonts w:hint="eastAsia" w:ascii="Times New Roman" w:hAnsi="Times New Roman"/>
          <w:szCs w:val="28"/>
          <w:lang w:val="en-US" w:eastAsia="zh-CN"/>
        </w:rPr>
        <w:t>计</w:t>
      </w:r>
      <w:r>
        <w:rPr>
          <w:rFonts w:hint="eastAsia" w:ascii="Times New Roman" w:hAnsi="Times New Roman"/>
          <w:szCs w:val="28"/>
        </w:rPr>
        <w:t>。</w:t>
      </w:r>
    </w:p>
    <w:p w14:paraId="06D6ECAE">
      <w:pPr>
        <w:ind w:firstLine="646"/>
        <w:rPr>
          <w:rFonts w:ascii="Times New Roman" w:hAnsi="Times New Roman"/>
          <w:b/>
          <w:bCs/>
          <w:szCs w:val="28"/>
        </w:rPr>
      </w:pPr>
      <w:r>
        <w:rPr>
          <w:rFonts w:hint="eastAsia" w:ascii="Times New Roman" w:hAnsi="Times New Roman"/>
          <w:b/>
          <w:bCs/>
          <w:szCs w:val="28"/>
        </w:rPr>
        <w:t>2.</w:t>
      </w:r>
      <w:r>
        <w:rPr>
          <w:rFonts w:ascii="Times New Roman" w:hAnsi="Times New Roman"/>
          <w:b/>
          <w:bCs/>
          <w:szCs w:val="28"/>
        </w:rPr>
        <w:t>4</w:t>
      </w:r>
      <w:r>
        <w:rPr>
          <w:rFonts w:hint="eastAsia" w:ascii="Times New Roman" w:hAnsi="Times New Roman"/>
          <w:b/>
          <w:bCs/>
          <w:szCs w:val="28"/>
        </w:rPr>
        <w:t>外购燃料动力费</w:t>
      </w:r>
    </w:p>
    <w:p w14:paraId="5BED2F3F">
      <w:pPr>
        <w:ind w:firstLine="644"/>
        <w:rPr>
          <w:rFonts w:ascii="Times New Roman" w:hAnsi="Times New Roman" w:eastAsia="宋体" w:cs="Times New Roman"/>
          <w:sz w:val="28"/>
          <w:szCs w:val="28"/>
        </w:rPr>
      </w:pPr>
      <w:r>
        <w:rPr>
          <w:rFonts w:hint="eastAsia" w:ascii="Times New Roman" w:hAnsi="Times New Roman" w:eastAsia="宋体" w:cs="Times New Roman"/>
          <w:sz w:val="28"/>
          <w:szCs w:val="28"/>
        </w:rPr>
        <w:t>四川省电费收费标准：</w:t>
      </w:r>
    </w:p>
    <w:p w14:paraId="69D1152D">
      <w:pPr>
        <w:ind w:left="0" w:leftChars="0" w:firstLine="0" w:firstLineChars="0"/>
        <w:rPr>
          <w:rFonts w:hint="eastAsia" w:eastAsia="宋体"/>
          <w:lang w:eastAsia="zh-CN"/>
        </w:rPr>
      </w:pPr>
      <w:r>
        <w:rPr>
          <w:rFonts w:hint="eastAsia" w:eastAsia="宋体"/>
          <w:lang w:eastAsia="zh-CN"/>
        </w:rPr>
        <w:drawing>
          <wp:inline distT="0" distB="0" distL="114300" distR="114300">
            <wp:extent cx="5751830" cy="2444115"/>
            <wp:effectExtent l="0" t="0" r="1270" b="6985"/>
            <wp:docPr id="106" name="图片 85" descr="a64c11422826bc7f300fb383174770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 name="图片 85" descr="a64c11422826bc7f300fb383174770b"/>
                    <pic:cNvPicPr>
                      <a:picLocks noChangeAspect="1"/>
                    </pic:cNvPicPr>
                  </pic:nvPicPr>
                  <pic:blipFill>
                    <a:blip r:embed="rId75"/>
                    <a:stretch>
                      <a:fillRect/>
                    </a:stretch>
                  </pic:blipFill>
                  <pic:spPr>
                    <a:xfrm>
                      <a:off x="0" y="0"/>
                      <a:ext cx="5751830" cy="2444115"/>
                    </a:xfrm>
                    <a:prstGeom prst="rect">
                      <a:avLst/>
                    </a:prstGeom>
                    <a:noFill/>
                    <a:ln>
                      <a:noFill/>
                    </a:ln>
                  </pic:spPr>
                </pic:pic>
              </a:graphicData>
            </a:graphic>
          </wp:inline>
        </w:drawing>
      </w:r>
    </w:p>
    <w:p w14:paraId="6C2BD756">
      <w:pPr>
        <w:ind w:firstLine="644"/>
        <w:jc w:val="left"/>
        <w:rPr>
          <w:rFonts w:hint="eastAsia"/>
        </w:rPr>
      </w:pPr>
      <w:r>
        <w:rPr>
          <w:rFonts w:hint="eastAsia" w:ascii="Times New Roman" w:hAnsi="Times New Roman" w:eastAsia="宋体" w:cs="Times New Roman"/>
          <w:sz w:val="28"/>
          <w:szCs w:val="28"/>
          <w:lang w:val="en-US" w:eastAsia="zh-CN"/>
        </w:rPr>
        <w:t>依据资发改物价规〔2023〕16号</w:t>
      </w:r>
      <w:r>
        <w:rPr>
          <w:rFonts w:hint="eastAsia" w:ascii="Times New Roman" w:hAnsi="Times New Roman" w:eastAsia="宋体" w:cs="Times New Roman"/>
          <w:sz w:val="28"/>
          <w:szCs w:val="28"/>
        </w:rPr>
        <w:t>：</w:t>
      </w:r>
    </w:p>
    <w:p w14:paraId="25E59929">
      <w:pPr>
        <w:ind w:firstLine="173" w:firstLineChars="62"/>
        <w:jc w:val="center"/>
        <w:rPr>
          <w:rFonts w:hint="eastAsia" w:ascii="Times New Roman" w:hAnsi="Times New Roman" w:eastAsia="宋体"/>
          <w:szCs w:val="28"/>
          <w:lang w:eastAsia="zh-CN"/>
        </w:rPr>
      </w:pPr>
      <w:r>
        <w:rPr>
          <w:rFonts w:hint="eastAsia" w:ascii="Times New Roman" w:hAnsi="Times New Roman" w:eastAsia="宋体"/>
          <w:szCs w:val="28"/>
          <w:lang w:eastAsia="zh-CN"/>
        </w:rPr>
        <w:drawing>
          <wp:inline distT="0" distB="0" distL="114300" distR="114300">
            <wp:extent cx="5756275" cy="5563870"/>
            <wp:effectExtent l="0" t="0" r="9525" b="11430"/>
            <wp:docPr id="105" name="图片 86" descr="16880852390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 name="图片 86" descr="1688085239066"/>
                    <pic:cNvPicPr>
                      <a:picLocks noChangeAspect="1"/>
                    </pic:cNvPicPr>
                  </pic:nvPicPr>
                  <pic:blipFill>
                    <a:blip r:embed="rId76"/>
                    <a:stretch>
                      <a:fillRect/>
                    </a:stretch>
                  </pic:blipFill>
                  <pic:spPr>
                    <a:xfrm>
                      <a:off x="0" y="0"/>
                      <a:ext cx="5756275" cy="5563870"/>
                    </a:xfrm>
                    <a:prstGeom prst="rect">
                      <a:avLst/>
                    </a:prstGeom>
                    <a:noFill/>
                    <a:ln>
                      <a:noFill/>
                    </a:ln>
                  </pic:spPr>
                </pic:pic>
              </a:graphicData>
            </a:graphic>
          </wp:inline>
        </w:drawing>
      </w:r>
    </w:p>
    <w:p w14:paraId="543D6E65">
      <w:pPr>
        <w:ind w:firstLine="644"/>
        <w:rPr>
          <w:rFonts w:ascii="Times New Roman" w:hAnsi="Times New Roman" w:eastAsia="宋体" w:cs="Times New Roman"/>
          <w:sz w:val="28"/>
          <w:szCs w:val="28"/>
        </w:rPr>
      </w:pPr>
      <w:r>
        <w:rPr>
          <w:rFonts w:hint="eastAsia" w:ascii="Times New Roman" w:hAnsi="Times New Roman" w:eastAsia="宋体" w:cs="Times New Roman"/>
          <w:sz w:val="28"/>
          <w:szCs w:val="28"/>
        </w:rPr>
        <w:t>1、居民生活用水收费标准为：</w:t>
      </w:r>
      <w:r>
        <w:rPr>
          <w:rFonts w:hint="eastAsia" w:ascii="Times New Roman" w:hAnsi="Times New Roman" w:eastAsia="宋体" w:cs="Times New Roman"/>
          <w:sz w:val="28"/>
          <w:szCs w:val="28"/>
          <w:lang w:val="en-US" w:eastAsia="zh-CN"/>
        </w:rPr>
        <w:t>2</w:t>
      </w:r>
      <w:r>
        <w:rPr>
          <w:rFonts w:hint="eastAsia" w:ascii="Times New Roman" w:hAnsi="Times New Roman" w:eastAsia="宋体" w:cs="Times New Roman"/>
          <w:sz w:val="28"/>
          <w:szCs w:val="28"/>
        </w:rPr>
        <w:t>.</w:t>
      </w:r>
      <w:r>
        <w:rPr>
          <w:rFonts w:hint="eastAsia" w:ascii="Times New Roman" w:hAnsi="Times New Roman" w:eastAsia="宋体" w:cs="Times New Roman"/>
          <w:sz w:val="28"/>
          <w:szCs w:val="28"/>
          <w:lang w:val="en-US" w:eastAsia="zh-CN"/>
        </w:rPr>
        <w:t>01</w:t>
      </w:r>
      <w:r>
        <w:rPr>
          <w:rFonts w:hint="eastAsia" w:ascii="Times New Roman" w:hAnsi="Times New Roman" w:eastAsia="宋体" w:cs="Times New Roman"/>
          <w:sz w:val="28"/>
          <w:szCs w:val="28"/>
        </w:rPr>
        <w:t>元/立方米。</w:t>
      </w:r>
    </w:p>
    <w:p w14:paraId="163258FD">
      <w:pPr>
        <w:ind w:firstLine="644"/>
        <w:rPr>
          <w:rFonts w:ascii="Times New Roman" w:hAnsi="Times New Roman" w:eastAsia="宋体" w:cs="Times New Roman"/>
          <w:sz w:val="28"/>
          <w:szCs w:val="28"/>
        </w:rPr>
      </w:pPr>
      <w:r>
        <w:rPr>
          <w:rFonts w:hint="eastAsia" w:ascii="Times New Roman" w:hAnsi="Times New Roman" w:eastAsia="宋体" w:cs="Times New Roman"/>
          <w:sz w:val="28"/>
          <w:szCs w:val="28"/>
        </w:rPr>
        <w:t>2、非居民用水收费标准：</w:t>
      </w:r>
      <w:r>
        <w:rPr>
          <w:rFonts w:hint="eastAsia" w:ascii="Times New Roman" w:hAnsi="Times New Roman" w:eastAsia="宋体" w:cs="Times New Roman"/>
          <w:sz w:val="28"/>
          <w:szCs w:val="28"/>
          <w:lang w:val="en-US" w:eastAsia="zh-CN"/>
        </w:rPr>
        <w:t>2</w:t>
      </w:r>
      <w:r>
        <w:rPr>
          <w:rFonts w:hint="eastAsia" w:ascii="Times New Roman" w:hAnsi="Times New Roman" w:eastAsia="宋体" w:cs="Times New Roman"/>
          <w:sz w:val="28"/>
          <w:szCs w:val="28"/>
        </w:rPr>
        <w:t>.</w:t>
      </w:r>
      <w:r>
        <w:rPr>
          <w:rFonts w:hint="eastAsia" w:ascii="Times New Roman" w:hAnsi="Times New Roman" w:eastAsia="宋体" w:cs="Times New Roman"/>
          <w:sz w:val="28"/>
          <w:szCs w:val="28"/>
          <w:lang w:val="en-US" w:eastAsia="zh-CN"/>
        </w:rPr>
        <w:t>60</w:t>
      </w:r>
      <w:r>
        <w:rPr>
          <w:rFonts w:hint="eastAsia" w:ascii="Times New Roman" w:hAnsi="Times New Roman" w:eastAsia="宋体" w:cs="Times New Roman"/>
          <w:sz w:val="28"/>
          <w:szCs w:val="28"/>
        </w:rPr>
        <w:t>元/立方米。</w:t>
      </w:r>
    </w:p>
    <w:p w14:paraId="7E3C148E">
      <w:pPr>
        <w:ind w:firstLine="644"/>
        <w:rPr>
          <w:rFonts w:hint="default" w:ascii="Times New Roman" w:hAnsi="Times New Roman" w:eastAsia="宋体" w:cs="Times New Roman"/>
          <w:sz w:val="28"/>
          <w:szCs w:val="28"/>
          <w:lang w:val="en-US" w:eastAsia="zh-CN"/>
        </w:rPr>
      </w:pPr>
      <w:r>
        <w:rPr>
          <w:rFonts w:hint="eastAsia" w:ascii="Times New Roman" w:hAnsi="Times New Roman" w:eastAsia="宋体" w:cs="Times New Roman"/>
          <w:sz w:val="28"/>
          <w:szCs w:val="28"/>
        </w:rPr>
        <w:t>3、</w:t>
      </w:r>
      <w:r>
        <w:rPr>
          <w:rFonts w:hint="eastAsia" w:ascii="Times New Roman" w:hAnsi="Times New Roman" w:eastAsia="宋体" w:cs="Times New Roman"/>
          <w:sz w:val="28"/>
          <w:szCs w:val="28"/>
          <w:lang w:val="en-US" w:eastAsia="zh-CN"/>
        </w:rPr>
        <w:t>特一用水收费标准：5.40元/立方米。</w:t>
      </w:r>
    </w:p>
    <w:p w14:paraId="3545472A">
      <w:pPr>
        <w:ind w:firstLine="644"/>
        <w:rPr>
          <w:rFonts w:ascii="Times New Roman" w:hAnsi="Times New Roman" w:eastAsia="宋体" w:cs="Times New Roman"/>
          <w:sz w:val="28"/>
          <w:szCs w:val="28"/>
        </w:rPr>
      </w:pPr>
      <w:r>
        <w:rPr>
          <w:rFonts w:hint="eastAsia" w:ascii="Times New Roman" w:hAnsi="Times New Roman" w:eastAsia="宋体" w:cs="Times New Roman"/>
          <w:sz w:val="28"/>
          <w:szCs w:val="28"/>
          <w:lang w:val="en-US" w:eastAsia="zh-CN"/>
        </w:rPr>
        <w:t>4、特二</w:t>
      </w:r>
      <w:r>
        <w:rPr>
          <w:rFonts w:hint="eastAsia" w:ascii="Times New Roman" w:hAnsi="Times New Roman" w:eastAsia="宋体" w:cs="Times New Roman"/>
          <w:sz w:val="28"/>
          <w:szCs w:val="28"/>
        </w:rPr>
        <w:t>用水收费标准为：</w:t>
      </w:r>
      <w:r>
        <w:rPr>
          <w:rFonts w:hint="eastAsia" w:ascii="Times New Roman" w:hAnsi="Times New Roman" w:eastAsia="宋体" w:cs="Times New Roman"/>
          <w:sz w:val="28"/>
          <w:szCs w:val="28"/>
          <w:lang w:val="en-US" w:eastAsia="zh-CN"/>
        </w:rPr>
        <w:t>3</w:t>
      </w:r>
      <w:r>
        <w:rPr>
          <w:rFonts w:hint="eastAsia" w:ascii="Times New Roman" w:hAnsi="Times New Roman" w:eastAsia="宋体" w:cs="Times New Roman"/>
          <w:sz w:val="28"/>
          <w:szCs w:val="28"/>
        </w:rPr>
        <w:t>.</w:t>
      </w:r>
      <w:r>
        <w:rPr>
          <w:rFonts w:hint="eastAsia" w:ascii="Times New Roman" w:hAnsi="Times New Roman" w:eastAsia="宋体" w:cs="Times New Roman"/>
          <w:sz w:val="28"/>
          <w:szCs w:val="28"/>
          <w:lang w:val="en-US" w:eastAsia="zh-CN"/>
        </w:rPr>
        <w:t>10</w:t>
      </w:r>
      <w:r>
        <w:rPr>
          <w:rFonts w:hint="eastAsia" w:ascii="Times New Roman" w:hAnsi="Times New Roman" w:eastAsia="宋体" w:cs="Times New Roman"/>
          <w:sz w:val="28"/>
          <w:szCs w:val="28"/>
        </w:rPr>
        <w:t>元/立方米。</w:t>
      </w:r>
    </w:p>
    <w:p w14:paraId="39E03EE5">
      <w:pPr>
        <w:ind w:left="0" w:leftChars="0" w:firstLine="560" w:firstLineChars="200"/>
        <w:rPr>
          <w:rFonts w:hint="eastAsia" w:ascii="Times New Roman" w:hAnsi="Times New Roman"/>
          <w:szCs w:val="28"/>
        </w:rPr>
      </w:pPr>
      <w:r>
        <w:rPr>
          <w:rFonts w:ascii="Times New Roman" w:hAnsi="Times New Roman" w:eastAsia="宋体" w:cs="Times New Roman"/>
          <w:sz w:val="28"/>
          <w:szCs w:val="28"/>
        </w:rPr>
        <w:t>结合当地收费标准</w:t>
      </w:r>
      <w:r>
        <w:rPr>
          <w:rFonts w:hint="eastAsia" w:ascii="Times New Roman" w:hAnsi="Times New Roman" w:eastAsia="宋体" w:cs="Times New Roman"/>
          <w:sz w:val="28"/>
          <w:szCs w:val="28"/>
        </w:rPr>
        <w:t>，</w:t>
      </w:r>
      <w:r>
        <w:rPr>
          <w:rFonts w:ascii="Times New Roman" w:hAnsi="Times New Roman" w:eastAsia="宋体" w:cs="Times New Roman"/>
          <w:sz w:val="28"/>
          <w:szCs w:val="28"/>
        </w:rPr>
        <w:t>按谨慎原则</w:t>
      </w:r>
      <w:r>
        <w:rPr>
          <w:rFonts w:hint="eastAsia" w:ascii="Times New Roman" w:hAnsi="Times New Roman" w:eastAsia="宋体" w:cs="Times New Roman"/>
          <w:sz w:val="28"/>
          <w:szCs w:val="28"/>
        </w:rPr>
        <w:t>，</w:t>
      </w:r>
      <w:r>
        <w:rPr>
          <w:rFonts w:ascii="Times New Roman" w:hAnsi="Times New Roman" w:eastAsia="宋体" w:cs="Times New Roman"/>
          <w:sz w:val="28"/>
          <w:szCs w:val="28"/>
        </w:rPr>
        <w:t>燃料动力费中，电费单价按0.8元/度，水费单价按</w:t>
      </w:r>
      <w:r>
        <w:rPr>
          <w:rFonts w:hint="eastAsia" w:ascii="Times New Roman" w:hAnsi="Times New Roman" w:eastAsia="宋体" w:cs="Times New Roman"/>
          <w:sz w:val="28"/>
          <w:szCs w:val="28"/>
          <w:lang w:val="en-US" w:eastAsia="zh-CN"/>
        </w:rPr>
        <w:t>3.5</w:t>
      </w:r>
      <w:r>
        <w:rPr>
          <w:rFonts w:ascii="Times New Roman" w:hAnsi="Times New Roman" w:eastAsia="宋体" w:cs="Times New Roman"/>
          <w:sz w:val="28"/>
          <w:szCs w:val="28"/>
        </w:rPr>
        <w:t>元/立方米</w:t>
      </w:r>
      <w:r>
        <w:rPr>
          <w:rFonts w:hint="eastAsia" w:ascii="Times New Roman" w:hAnsi="Times New Roman"/>
          <w:szCs w:val="28"/>
        </w:rPr>
        <w:t>，每年燃料动力费</w:t>
      </w:r>
      <w:r>
        <w:rPr>
          <w:rFonts w:hint="eastAsia" w:ascii="Times New Roman" w:hAnsi="Times New Roman"/>
          <w:szCs w:val="28"/>
          <w:lang w:val="en-US" w:eastAsia="zh-CN"/>
        </w:rPr>
        <w:t>3</w:t>
      </w:r>
      <w:r>
        <w:rPr>
          <w:rFonts w:ascii="Times New Roman" w:hAnsi="Times New Roman"/>
          <w:szCs w:val="28"/>
        </w:rPr>
        <w:t>0</w:t>
      </w:r>
      <w:r>
        <w:rPr>
          <w:rFonts w:hint="eastAsia" w:ascii="Times New Roman" w:hAnsi="Times New Roman"/>
          <w:szCs w:val="28"/>
        </w:rPr>
        <w:t>万元</w:t>
      </w:r>
      <w:r>
        <w:rPr>
          <w:rFonts w:hint="eastAsia" w:ascii="Times New Roman" w:hAnsi="Times New Roman"/>
          <w:szCs w:val="28"/>
          <w:lang w:val="en-US" w:eastAsia="zh-CN"/>
        </w:rPr>
        <w:t>估算</w:t>
      </w:r>
      <w:r>
        <w:rPr>
          <w:rFonts w:ascii="Times New Roman" w:hAnsi="Times New Roman" w:eastAsia="宋体" w:cs="Times New Roman"/>
          <w:sz w:val="28"/>
          <w:szCs w:val="28"/>
        </w:rPr>
        <w:t>。</w:t>
      </w:r>
    </w:p>
    <w:p w14:paraId="3BDB9046">
      <w:pPr>
        <w:ind w:firstLine="646"/>
        <w:rPr>
          <w:rFonts w:ascii="Times New Roman" w:hAnsi="Times New Roman"/>
          <w:b/>
          <w:bCs/>
          <w:szCs w:val="28"/>
        </w:rPr>
      </w:pPr>
      <w:r>
        <w:rPr>
          <w:rFonts w:hint="eastAsia" w:ascii="Times New Roman" w:hAnsi="Times New Roman"/>
          <w:b/>
          <w:bCs/>
          <w:szCs w:val="28"/>
        </w:rPr>
        <w:t>2.</w:t>
      </w:r>
      <w:r>
        <w:rPr>
          <w:rFonts w:ascii="Times New Roman" w:hAnsi="Times New Roman"/>
          <w:b/>
          <w:bCs/>
          <w:szCs w:val="28"/>
        </w:rPr>
        <w:t>5</w:t>
      </w:r>
      <w:r>
        <w:rPr>
          <w:rFonts w:hint="eastAsia" w:ascii="Times New Roman" w:hAnsi="Times New Roman"/>
          <w:b/>
          <w:bCs/>
          <w:szCs w:val="28"/>
        </w:rPr>
        <w:t>垃圾分类处理运营成本</w:t>
      </w:r>
    </w:p>
    <w:p w14:paraId="79D19321">
      <w:pPr>
        <w:ind w:firstLine="644"/>
        <w:rPr>
          <w:rFonts w:hint="eastAsia" w:ascii="Times New Roman" w:hAnsi="Times New Roman" w:eastAsia="宋体" w:cs="Times New Roman"/>
          <w:sz w:val="28"/>
          <w:szCs w:val="28"/>
        </w:rPr>
      </w:pPr>
      <w:r>
        <w:rPr>
          <w:rFonts w:hint="eastAsia" w:ascii="Times New Roman" w:hAnsi="Times New Roman" w:eastAsia="宋体" w:cs="Times New Roman"/>
          <w:sz w:val="28"/>
          <w:szCs w:val="28"/>
        </w:rPr>
        <w:t>垃圾分类处理运营成本主要指机械成本、耗材成本(占收入3%)和大件垃圾处置体系成本(占收入6%)及有害垃圾处置体系成本(占收入12%)以及各类生活垃圾与其他垃圾处置体系成本(占总收入9%)等，垃圾分类处理运营</w:t>
      </w:r>
      <w:r>
        <w:rPr>
          <w:rFonts w:hint="eastAsia" w:ascii="Times New Roman" w:hAnsi="Times New Roman" w:eastAsia="宋体" w:cs="Times New Roman"/>
          <w:sz w:val="28"/>
          <w:szCs w:val="28"/>
          <w:lang w:val="en-US" w:eastAsia="zh-CN"/>
        </w:rPr>
        <w:t>总</w:t>
      </w:r>
      <w:r>
        <w:rPr>
          <w:rFonts w:hint="eastAsia" w:ascii="Times New Roman" w:hAnsi="Times New Roman" w:eastAsia="宋体" w:cs="Times New Roman"/>
          <w:sz w:val="28"/>
          <w:szCs w:val="28"/>
        </w:rPr>
        <w:t>成本按收入的30%</w:t>
      </w:r>
      <w:r>
        <w:rPr>
          <w:rFonts w:hint="eastAsia" w:ascii="Times New Roman" w:hAnsi="Times New Roman" w:eastAsia="宋体" w:cs="Times New Roman"/>
          <w:sz w:val="28"/>
          <w:szCs w:val="28"/>
          <w:lang w:val="en-US" w:eastAsia="zh-CN"/>
        </w:rPr>
        <w:t>计</w:t>
      </w:r>
      <w:r>
        <w:rPr>
          <w:rFonts w:hint="eastAsia" w:ascii="Times New Roman" w:hAnsi="Times New Roman" w:eastAsia="宋体" w:cs="Times New Roman"/>
          <w:sz w:val="28"/>
          <w:szCs w:val="28"/>
        </w:rPr>
        <w:t>。</w:t>
      </w:r>
    </w:p>
    <w:p w14:paraId="5858DEA3">
      <w:pPr>
        <w:spacing w:before="311" w:after="311"/>
        <w:ind w:firstLine="686"/>
        <w:outlineLvl w:val="9"/>
        <w:rPr>
          <w:rFonts w:ascii="Times New Roman" w:hAnsi="Times New Roman" w:eastAsia="宋体"/>
          <w:sz w:val="30"/>
          <w:szCs w:val="30"/>
        </w:rPr>
      </w:pPr>
      <w:r>
        <w:rPr>
          <w:rFonts w:hint="eastAsia" w:ascii="Times New Roman" w:hAnsi="Times New Roman" w:eastAsia="宋体"/>
          <w:sz w:val="30"/>
          <w:szCs w:val="30"/>
          <w:lang w:val="en-US" w:eastAsia="zh-CN"/>
        </w:rPr>
        <w:t>3.</w:t>
      </w:r>
      <w:r>
        <w:rPr>
          <w:rFonts w:hint="eastAsia" w:ascii="Times New Roman" w:hAnsi="Times New Roman" w:eastAsia="宋体"/>
          <w:sz w:val="30"/>
          <w:szCs w:val="30"/>
        </w:rPr>
        <w:t>增值税及附加费</w:t>
      </w:r>
      <w:bookmarkEnd w:id="232"/>
    </w:p>
    <w:p w14:paraId="51FBABFB">
      <w:pPr>
        <w:ind w:firstLine="560"/>
      </w:pPr>
      <w:r>
        <w:drawing>
          <wp:inline distT="0" distB="0" distL="114300" distR="114300">
            <wp:extent cx="3322320" cy="3733800"/>
            <wp:effectExtent l="0" t="0" r="5080" b="0"/>
            <wp:docPr id="107" name="图片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 name="图片 87"/>
                    <pic:cNvPicPr>
                      <a:picLocks noChangeAspect="1"/>
                    </pic:cNvPicPr>
                  </pic:nvPicPr>
                  <pic:blipFill>
                    <a:blip r:embed="rId77"/>
                    <a:stretch>
                      <a:fillRect/>
                    </a:stretch>
                  </pic:blipFill>
                  <pic:spPr>
                    <a:xfrm>
                      <a:off x="0" y="0"/>
                      <a:ext cx="3322320" cy="3733800"/>
                    </a:xfrm>
                    <a:prstGeom prst="rect">
                      <a:avLst/>
                    </a:prstGeom>
                    <a:noFill/>
                    <a:ln>
                      <a:noFill/>
                    </a:ln>
                  </pic:spPr>
                </pic:pic>
              </a:graphicData>
            </a:graphic>
          </wp:inline>
        </w:drawing>
      </w:r>
    </w:p>
    <w:p w14:paraId="7E7735CA">
      <w:pPr>
        <w:pStyle w:val="21"/>
        <w:numPr>
          <w:ilvl w:val="0"/>
          <w:numId w:val="6"/>
        </w:numPr>
        <w:ind w:firstLineChars="0"/>
        <w:rPr>
          <w:b/>
          <w:bCs/>
        </w:rPr>
      </w:pPr>
      <w:bookmarkStart w:id="233" w:name="_Toc127041744"/>
      <w:r>
        <w:rPr>
          <w:rFonts w:hint="eastAsia"/>
          <w:b/>
          <w:bCs/>
        </w:rPr>
        <w:t>成本测算结果</w:t>
      </w:r>
      <w:bookmarkEnd w:id="233"/>
    </w:p>
    <w:p w14:paraId="769822AB">
      <w:pPr>
        <w:ind w:firstLine="560"/>
      </w:pPr>
      <w:r>
        <w:rPr>
          <w:rFonts w:hint="eastAsia"/>
        </w:rPr>
        <w:t>本次发债项目根据相关项目的可研数据及上述计算结果，测算的项目总成本费用为 22,733.35 万元（其中包含经营成本 10,105.66 万元、折旧摊销费 9,196.44 万元、财务费用 3,431.25 万元）。总成本费用包括经营成本、折旧及摊销费、财务费用。</w:t>
      </w:r>
    </w:p>
    <w:p w14:paraId="06BE954E">
      <w:pPr>
        <w:ind w:firstLine="560"/>
      </w:pPr>
      <w:r>
        <w:rPr>
          <w:rFonts w:hint="eastAsia"/>
        </w:rPr>
        <w:t>详细测算情况见下表：</w:t>
      </w:r>
    </w:p>
    <w:p w14:paraId="51EFB483">
      <w:pPr>
        <w:ind w:firstLine="560"/>
      </w:pPr>
    </w:p>
    <w:p w14:paraId="5E664997">
      <w:pPr>
        <w:ind w:firstLine="560"/>
        <w:sectPr>
          <w:pgSz w:w="11906" w:h="16838"/>
          <w:pgMar w:top="1247" w:right="1361" w:bottom="1247" w:left="1361" w:header="624" w:footer="624" w:gutter="0"/>
          <w:cols w:space="425" w:num="1"/>
          <w:docGrid w:type="lines" w:linePitch="381" w:charSpace="0"/>
        </w:sectPr>
      </w:pPr>
    </w:p>
    <w:p w14:paraId="15B7DBFF">
      <w:pPr>
        <w:pStyle w:val="13"/>
      </w:pPr>
      <w:r>
        <w:rPr>
          <w:rFonts w:hint="eastAsia"/>
        </w:rPr>
        <w:t>总成本预测表（税后）</w:t>
      </w:r>
    </w:p>
    <w:p w14:paraId="4C488C9F">
      <w:pPr>
        <w:widowControl/>
        <w:spacing w:line="240" w:lineRule="auto"/>
        <w:ind w:firstLine="0" w:firstLineChars="0"/>
        <w:jc w:val="left"/>
        <w:rPr>
          <w:rFonts w:eastAsia="仿宋" w:asciiTheme="minorHAnsi" w:hAnsiTheme="minorHAnsi" w:cstheme="minorBidi"/>
          <w:sz w:val="21"/>
          <w:szCs w:val="21"/>
        </w:rPr>
      </w:pPr>
      <w:r>
        <w:drawing>
          <wp:inline distT="0" distB="0" distL="114300" distR="114300">
            <wp:extent cx="9340850" cy="2524760"/>
            <wp:effectExtent l="0" t="0" r="6350" b="2540"/>
            <wp:docPr id="108" name="图片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 name="图片 88"/>
                    <pic:cNvPicPr>
                      <a:picLocks noChangeAspect="1"/>
                    </pic:cNvPicPr>
                  </pic:nvPicPr>
                  <pic:blipFill>
                    <a:blip r:embed="rId78"/>
                    <a:stretch>
                      <a:fillRect/>
                    </a:stretch>
                  </pic:blipFill>
                  <pic:spPr>
                    <a:xfrm>
                      <a:off x="0" y="0"/>
                      <a:ext cx="9340850" cy="2524760"/>
                    </a:xfrm>
                    <a:prstGeom prst="rect">
                      <a:avLst/>
                    </a:prstGeom>
                    <a:noFill/>
                    <a:ln>
                      <a:noFill/>
                    </a:ln>
                  </pic:spPr>
                </pic:pic>
              </a:graphicData>
            </a:graphic>
          </wp:inline>
        </w:drawing>
      </w:r>
      <w:r>
        <w:br w:type="page"/>
      </w:r>
    </w:p>
    <w:p w14:paraId="4AAE9185">
      <w:pPr>
        <w:ind w:firstLine="560"/>
        <w:jc w:val="center"/>
      </w:pPr>
      <w:r>
        <w:rPr>
          <w:rFonts w:hint="eastAsia"/>
        </w:rPr>
        <w:t>总成本预测明细表（税前）</w:t>
      </w:r>
    </w:p>
    <w:p w14:paraId="1BCC4C5E">
      <w:pPr>
        <w:pStyle w:val="13"/>
      </w:pPr>
      <w:r>
        <w:drawing>
          <wp:inline distT="0" distB="0" distL="114300" distR="114300">
            <wp:extent cx="9315450" cy="5117465"/>
            <wp:effectExtent l="0" t="0" r="6350" b="635"/>
            <wp:docPr id="109" name="图片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 name="图片 89"/>
                    <pic:cNvPicPr>
                      <a:picLocks noChangeAspect="1"/>
                    </pic:cNvPicPr>
                  </pic:nvPicPr>
                  <pic:blipFill>
                    <a:blip r:embed="rId79"/>
                    <a:stretch>
                      <a:fillRect/>
                    </a:stretch>
                  </pic:blipFill>
                  <pic:spPr>
                    <a:xfrm>
                      <a:off x="0" y="0"/>
                      <a:ext cx="9315450" cy="5117465"/>
                    </a:xfrm>
                    <a:prstGeom prst="rect">
                      <a:avLst/>
                    </a:prstGeom>
                    <a:noFill/>
                    <a:ln>
                      <a:noFill/>
                    </a:ln>
                  </pic:spPr>
                </pic:pic>
              </a:graphicData>
            </a:graphic>
          </wp:inline>
        </w:drawing>
      </w:r>
    </w:p>
    <w:p w14:paraId="377400B0">
      <w:pPr>
        <w:ind w:firstLine="560"/>
        <w:sectPr>
          <w:pgSz w:w="16838" w:h="11906" w:orient="landscape"/>
          <w:pgMar w:top="720" w:right="720" w:bottom="720" w:left="720" w:header="454" w:footer="397" w:gutter="0"/>
          <w:cols w:space="425" w:num="1"/>
          <w:docGrid w:type="lines" w:linePitch="381" w:charSpace="0"/>
        </w:sectPr>
      </w:pPr>
    </w:p>
    <w:p w14:paraId="25139FE4">
      <w:pPr>
        <w:pStyle w:val="4"/>
        <w:rPr>
          <w:rFonts w:hint="eastAsia"/>
        </w:rPr>
      </w:pPr>
      <w:bookmarkStart w:id="234" w:name="_Toc127041745"/>
      <w:r>
        <w:rPr>
          <w:rFonts w:hint="eastAsia"/>
        </w:rPr>
        <w:t>4</w:t>
      </w:r>
      <w:r>
        <w:t xml:space="preserve">.2 </w:t>
      </w:r>
      <w:r>
        <w:rPr>
          <w:rFonts w:hint="eastAsia"/>
        </w:rPr>
        <w:t>项目资金测算平衡情况</w:t>
      </w:r>
    </w:p>
    <w:p w14:paraId="1AE1342F">
      <w:pPr>
        <w:pStyle w:val="5"/>
      </w:pPr>
      <w:r>
        <w:t xml:space="preserve">4.2.1 </w:t>
      </w:r>
      <w:r>
        <w:rPr>
          <w:rFonts w:hint="eastAsia"/>
        </w:rPr>
        <w:t>项目损益</w:t>
      </w:r>
      <w:bookmarkEnd w:id="234"/>
    </w:p>
    <w:p w14:paraId="39FD3133">
      <w:pPr>
        <w:ind w:firstLine="560"/>
        <w:rPr>
          <w:rFonts w:hint="eastAsia"/>
        </w:rPr>
      </w:pPr>
      <w:r>
        <w:rPr>
          <w:rFonts w:hint="eastAsia"/>
        </w:rPr>
        <w:t>根据《中华人民共和国增值税暂行条例》（国务院令第691号）第六条规定，销售额为纳税人发生应税销售行为收取的全部价款和价外费用，但是不包括收取的销项税额。</w:t>
      </w:r>
    </w:p>
    <w:p w14:paraId="0B25FB73">
      <w:pPr>
        <w:ind w:firstLine="560"/>
        <w:rPr>
          <w:rFonts w:hint="eastAsia"/>
        </w:rPr>
      </w:pPr>
      <w:r>
        <w:rPr>
          <w:rFonts w:hint="eastAsia"/>
        </w:rPr>
        <w:t>本项目“应税营业收入”为不含税价，即应税营业收入不含销项税额；同理，本项目“其他直接费用”为不含税价，即其他直接费用不含进项税额。即增值税（销项税额和进项税额）均为“价外税”。</w:t>
      </w:r>
    </w:p>
    <w:p w14:paraId="76CA1763">
      <w:pPr>
        <w:ind w:firstLine="560"/>
      </w:pPr>
      <w:r>
        <w:rPr>
          <w:rFonts w:hint="eastAsia"/>
        </w:rPr>
        <w:t>根据项目的发债年限，测算未来发债所含项目的盈利状况，项目的运营利润详细测算结果见下表：</w:t>
      </w:r>
    </w:p>
    <w:p w14:paraId="0FD4AF8E">
      <w:pPr>
        <w:ind w:firstLine="560"/>
        <w:sectPr>
          <w:pgSz w:w="11906" w:h="16838"/>
          <w:pgMar w:top="1247" w:right="1361" w:bottom="1247" w:left="1361" w:header="624" w:footer="624" w:gutter="0"/>
          <w:cols w:space="425" w:num="1"/>
          <w:docGrid w:type="lines" w:linePitch="381" w:charSpace="0"/>
        </w:sectPr>
      </w:pPr>
    </w:p>
    <w:p w14:paraId="398F38C4">
      <w:pPr>
        <w:ind w:firstLine="560"/>
        <w:jc w:val="center"/>
      </w:pPr>
      <w:r>
        <w:rPr>
          <w:rFonts w:hint="eastAsia"/>
        </w:rPr>
        <w:t>项目利润表</w:t>
      </w:r>
    </w:p>
    <w:p w14:paraId="4A5BA675">
      <w:pPr>
        <w:pStyle w:val="13"/>
      </w:pPr>
      <w:r>
        <w:drawing>
          <wp:inline distT="0" distB="0" distL="114300" distR="114300">
            <wp:extent cx="9650730" cy="3641090"/>
            <wp:effectExtent l="0" t="0" r="1270" b="3810"/>
            <wp:docPr id="110" name="图片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 name="图片 90"/>
                    <pic:cNvPicPr>
                      <a:picLocks noChangeAspect="1"/>
                    </pic:cNvPicPr>
                  </pic:nvPicPr>
                  <pic:blipFill>
                    <a:blip r:embed="rId80"/>
                    <a:stretch>
                      <a:fillRect/>
                    </a:stretch>
                  </pic:blipFill>
                  <pic:spPr>
                    <a:xfrm>
                      <a:off x="0" y="0"/>
                      <a:ext cx="9650730" cy="3641090"/>
                    </a:xfrm>
                    <a:prstGeom prst="rect">
                      <a:avLst/>
                    </a:prstGeom>
                    <a:noFill/>
                    <a:ln>
                      <a:noFill/>
                    </a:ln>
                  </pic:spPr>
                </pic:pic>
              </a:graphicData>
            </a:graphic>
          </wp:inline>
        </w:drawing>
      </w:r>
    </w:p>
    <w:p w14:paraId="4F28338A">
      <w:pPr>
        <w:ind w:firstLine="560"/>
        <w:sectPr>
          <w:pgSz w:w="16838" w:h="11906" w:orient="landscape"/>
          <w:pgMar w:top="720" w:right="720" w:bottom="720" w:left="720" w:header="397" w:footer="397" w:gutter="0"/>
          <w:cols w:space="425" w:num="1"/>
          <w:docGrid w:type="lines" w:linePitch="381" w:charSpace="0"/>
        </w:sectPr>
      </w:pPr>
    </w:p>
    <w:p w14:paraId="52258A58">
      <w:pPr>
        <w:pStyle w:val="5"/>
      </w:pPr>
      <w:bookmarkStart w:id="235" w:name="_Toc127041746"/>
      <w:r>
        <w:t>4.2.2</w:t>
      </w:r>
      <w:r>
        <w:rPr>
          <w:rFonts w:hint="eastAsia"/>
        </w:rPr>
        <w:t xml:space="preserve"> 资金测算平衡</w:t>
      </w:r>
      <w:bookmarkEnd w:id="235"/>
      <w:r>
        <w:rPr>
          <w:rFonts w:hint="eastAsia"/>
        </w:rPr>
        <w:t>情况</w:t>
      </w:r>
    </w:p>
    <w:p w14:paraId="5F02AB8B">
      <w:pPr>
        <w:pStyle w:val="21"/>
        <w:numPr>
          <w:ilvl w:val="0"/>
          <w:numId w:val="7"/>
        </w:numPr>
        <w:ind w:firstLineChars="0"/>
        <w:rPr>
          <w:b/>
          <w:bCs/>
        </w:rPr>
      </w:pPr>
      <w:bookmarkStart w:id="236" w:name="_Toc127041747"/>
      <w:r>
        <w:rPr>
          <w:rFonts w:hint="eastAsia"/>
          <w:b/>
          <w:bCs/>
        </w:rPr>
        <w:t>资金测算平衡</w:t>
      </w:r>
      <w:bookmarkEnd w:id="236"/>
      <w:r>
        <w:rPr>
          <w:rFonts w:hint="eastAsia"/>
          <w:b/>
          <w:bCs/>
        </w:rPr>
        <w:t>表</w:t>
      </w:r>
    </w:p>
    <w:p w14:paraId="18CF26E5">
      <w:pPr>
        <w:ind w:firstLine="560"/>
      </w:pPr>
      <w:r>
        <w:rPr>
          <w:rFonts w:hint="eastAsia"/>
        </w:rPr>
        <w:t>根据融资平衡测算分析，在满足假设条件的前提下，本项目计算期内经营期息前现金净流量11,396.34万元，项目本息覆盖倍数=经营期息前现金净流量÷存续期债务本息和=1.06。</w:t>
      </w:r>
    </w:p>
    <w:p w14:paraId="5AE66105">
      <w:pPr>
        <w:ind w:firstLine="560"/>
      </w:pPr>
      <w:r>
        <w:rPr>
          <w:rFonts w:hint="eastAsia"/>
        </w:rPr>
        <w:t>详细测算情况见项目资金测算平衡情况如下：</w:t>
      </w:r>
    </w:p>
    <w:p w14:paraId="6E9866DF">
      <w:pPr>
        <w:ind w:firstLine="560"/>
      </w:pPr>
    </w:p>
    <w:p w14:paraId="72AAFCF7">
      <w:pPr>
        <w:ind w:firstLine="560"/>
        <w:sectPr>
          <w:pgSz w:w="11906" w:h="16838"/>
          <w:pgMar w:top="1247" w:right="1361" w:bottom="1247" w:left="1361" w:header="624" w:footer="624" w:gutter="0"/>
          <w:cols w:space="425" w:num="1"/>
          <w:docGrid w:type="lines" w:linePitch="381" w:charSpace="0"/>
        </w:sectPr>
      </w:pPr>
    </w:p>
    <w:p w14:paraId="4CD884A3">
      <w:pPr>
        <w:ind w:firstLine="560"/>
        <w:jc w:val="center"/>
      </w:pPr>
      <w:r>
        <w:rPr>
          <w:rFonts w:hint="eastAsia"/>
        </w:rPr>
        <w:t>专项债券资金测算平衡情况表</w:t>
      </w:r>
    </w:p>
    <w:p w14:paraId="5F384478">
      <w:pPr>
        <w:pStyle w:val="13"/>
      </w:pPr>
      <w:r>
        <w:drawing>
          <wp:inline distT="0" distB="0" distL="114300" distR="114300">
            <wp:extent cx="9619615" cy="4895215"/>
            <wp:effectExtent l="0" t="0" r="6985" b="6985"/>
            <wp:docPr id="111" name="图片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 name="图片 91"/>
                    <pic:cNvPicPr>
                      <a:picLocks noChangeAspect="1"/>
                    </pic:cNvPicPr>
                  </pic:nvPicPr>
                  <pic:blipFill>
                    <a:blip r:embed="rId81"/>
                    <a:stretch>
                      <a:fillRect/>
                    </a:stretch>
                  </pic:blipFill>
                  <pic:spPr>
                    <a:xfrm>
                      <a:off x="0" y="0"/>
                      <a:ext cx="9619615" cy="4895215"/>
                    </a:xfrm>
                    <a:prstGeom prst="rect">
                      <a:avLst/>
                    </a:prstGeom>
                    <a:noFill/>
                    <a:ln>
                      <a:noFill/>
                    </a:ln>
                  </pic:spPr>
                </pic:pic>
              </a:graphicData>
            </a:graphic>
          </wp:inline>
        </w:drawing>
      </w:r>
    </w:p>
    <w:p w14:paraId="37B6E030">
      <w:pPr>
        <w:widowControl/>
        <w:spacing w:line="240" w:lineRule="auto"/>
        <w:ind w:firstLine="0" w:firstLineChars="0"/>
        <w:jc w:val="left"/>
      </w:pPr>
    </w:p>
    <w:p w14:paraId="1C9E9AF7">
      <w:pPr>
        <w:ind w:firstLine="560"/>
        <w:sectPr>
          <w:pgSz w:w="16838" w:h="11906" w:orient="landscape"/>
          <w:pgMar w:top="720" w:right="720" w:bottom="720" w:left="720" w:header="454" w:footer="454" w:gutter="0"/>
          <w:cols w:space="425" w:num="1"/>
          <w:docGrid w:type="lines" w:linePitch="381" w:charSpace="0"/>
        </w:sectPr>
      </w:pPr>
    </w:p>
    <w:p w14:paraId="64722EFC">
      <w:pPr>
        <w:pStyle w:val="21"/>
        <w:numPr>
          <w:ilvl w:val="0"/>
          <w:numId w:val="7"/>
        </w:numPr>
        <w:ind w:firstLineChars="0"/>
        <w:rPr>
          <w:b/>
          <w:bCs/>
        </w:rPr>
      </w:pPr>
      <w:bookmarkStart w:id="237" w:name="_Toc127041748"/>
      <w:r>
        <w:rPr>
          <w:rFonts w:hint="eastAsia"/>
          <w:b/>
          <w:bCs/>
        </w:rPr>
        <w:t>偿债能力分析</w:t>
      </w:r>
      <w:bookmarkEnd w:id="237"/>
    </w:p>
    <w:p w14:paraId="7FD63F98">
      <w:pPr>
        <w:ind w:firstLine="560"/>
      </w:pPr>
      <w:r>
        <w:rPr>
          <w:rFonts w:hint="eastAsia"/>
        </w:rPr>
        <w:t>以本息覆盖倍数作为项目偿债能力衡量的指标。债务本息偿付保障倍数大于1，就说明项目具有偿债能力，该指标越高，说明项目的偿债能力越强；否则，如果该指标小于1，则说明项目无力偿还到期债务；指标越低，项目偿债能力越差。</w:t>
      </w:r>
    </w:p>
    <w:p w14:paraId="01A90599">
      <w:pPr>
        <w:ind w:firstLine="560"/>
      </w:pPr>
      <w:r>
        <w:rPr>
          <w:rFonts w:hint="eastAsia"/>
        </w:rPr>
        <w:t>经测算，项目专项债融资本息覆盖倍数1.</w:t>
      </w:r>
      <w:r>
        <w:rPr>
          <w:rFonts w:hint="eastAsia"/>
          <w:lang w:val="en-US" w:eastAsia="zh-CN"/>
        </w:rPr>
        <w:t>06</w:t>
      </w:r>
      <w:r>
        <w:rPr>
          <w:rFonts w:hint="eastAsia"/>
        </w:rPr>
        <w:t xml:space="preserve"> ，表明项目偿债能力强。</w:t>
      </w:r>
    </w:p>
    <w:p w14:paraId="69D0C072">
      <w:pPr>
        <w:ind w:firstLine="560"/>
      </w:pPr>
      <w:r>
        <w:rPr>
          <w:rFonts w:hint="eastAsia"/>
        </w:rPr>
        <w:t>详细测算情况见下表：</w:t>
      </w:r>
    </w:p>
    <w:p w14:paraId="30815C1A">
      <w:pPr>
        <w:ind w:firstLine="560"/>
      </w:pPr>
    </w:p>
    <w:p w14:paraId="4F505FCF">
      <w:pPr>
        <w:ind w:firstLine="560"/>
        <w:sectPr>
          <w:pgSz w:w="11906" w:h="16838"/>
          <w:pgMar w:top="1247" w:right="1361" w:bottom="1247" w:left="1361" w:header="624" w:footer="624" w:gutter="0"/>
          <w:cols w:space="425" w:num="1"/>
          <w:docGrid w:type="lines" w:linePitch="381" w:charSpace="0"/>
        </w:sectPr>
      </w:pPr>
    </w:p>
    <w:p w14:paraId="55410ED1">
      <w:pPr>
        <w:ind w:firstLine="560"/>
        <w:jc w:val="center"/>
      </w:pPr>
      <w:r>
        <w:rPr>
          <w:rFonts w:hint="eastAsia"/>
        </w:rPr>
        <w:t>专项债券本息覆盖倍数计算表</w:t>
      </w:r>
    </w:p>
    <w:p w14:paraId="6C0FB482">
      <w:pPr>
        <w:pStyle w:val="13"/>
      </w:pPr>
      <w:r>
        <w:drawing>
          <wp:inline distT="0" distB="0" distL="114300" distR="114300">
            <wp:extent cx="9601835" cy="1497965"/>
            <wp:effectExtent l="0" t="0" r="12065" b="635"/>
            <wp:docPr id="112" name="图片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 name="图片 92"/>
                    <pic:cNvPicPr>
                      <a:picLocks noChangeAspect="1"/>
                    </pic:cNvPicPr>
                  </pic:nvPicPr>
                  <pic:blipFill>
                    <a:blip r:embed="rId82"/>
                    <a:stretch>
                      <a:fillRect/>
                    </a:stretch>
                  </pic:blipFill>
                  <pic:spPr>
                    <a:xfrm>
                      <a:off x="0" y="0"/>
                      <a:ext cx="9601835" cy="1497965"/>
                    </a:xfrm>
                    <a:prstGeom prst="rect">
                      <a:avLst/>
                    </a:prstGeom>
                    <a:noFill/>
                    <a:ln>
                      <a:noFill/>
                    </a:ln>
                  </pic:spPr>
                </pic:pic>
              </a:graphicData>
            </a:graphic>
          </wp:inline>
        </w:drawing>
      </w:r>
    </w:p>
    <w:p w14:paraId="57516238">
      <w:pPr>
        <w:ind w:firstLine="560"/>
        <w:sectPr>
          <w:pgSz w:w="16838" w:h="11906" w:orient="landscape"/>
          <w:pgMar w:top="720" w:right="720" w:bottom="720" w:left="720" w:header="510" w:footer="454" w:gutter="0"/>
          <w:cols w:space="425" w:num="1"/>
          <w:docGrid w:type="lines" w:linePitch="381" w:charSpace="0"/>
        </w:sectPr>
      </w:pPr>
    </w:p>
    <w:p w14:paraId="4D4EDA51">
      <w:pPr>
        <w:pStyle w:val="3"/>
      </w:pPr>
      <w:bookmarkStart w:id="238" w:name="_Toc127041821"/>
      <w:r>
        <w:rPr>
          <w:rFonts w:hint="eastAsia"/>
        </w:rPr>
        <w:t>第五章 全面绩效管理</w:t>
      </w:r>
      <w:bookmarkEnd w:id="238"/>
    </w:p>
    <w:p w14:paraId="5DEF6273">
      <w:pPr>
        <w:ind w:firstLine="645" w:firstLineChars="0"/>
      </w:pPr>
      <w:r>
        <w:rPr>
          <w:rFonts w:hint="eastAsia"/>
        </w:rPr>
        <w:t>本项目绩效目标与部门的长期规划目标、年度工作目标相一致，结合相关历史数据、行业标准、计划标准等因素，本项目制定了定性定量的绩效目标。项目绩效目标可行、合理。</w:t>
      </w:r>
    </w:p>
    <w:p w14:paraId="08ADEE6B">
      <w:pPr>
        <w:ind w:firstLine="645" w:firstLineChars="0"/>
      </w:pPr>
      <w:r>
        <w:rPr>
          <w:rFonts w:hint="eastAsia"/>
        </w:rPr>
        <w:t>通过对本项目的功能特性进行梳理，结合项目的经济效益、社会效益、生态效益、可持续影响和群众满意度等指标分析，项目预期提供的产品、服务、效益或其他目标明确细化，可衡量。项目绩效目标明确。</w:t>
      </w:r>
    </w:p>
    <w:p w14:paraId="3B433330">
      <w:pPr>
        <w:pStyle w:val="3"/>
        <w:rPr>
          <w:sz w:val="30"/>
          <w:szCs w:val="30"/>
        </w:rPr>
      </w:pPr>
      <w:r>
        <w:rPr>
          <w:rFonts w:hint="eastAsia"/>
          <w:sz w:val="30"/>
          <w:szCs w:val="30"/>
        </w:rPr>
        <w:t xml:space="preserve">第六章 </w:t>
      </w:r>
      <w:r>
        <w:rPr>
          <w:sz w:val="30"/>
          <w:szCs w:val="30"/>
        </w:rPr>
        <w:t>潜在影响项目的风险评估</w:t>
      </w:r>
    </w:p>
    <w:p w14:paraId="4F2E1F24">
      <w:pPr>
        <w:ind w:firstLine="645" w:firstLineChars="0"/>
      </w:pPr>
      <w:r>
        <w:t>此项目主要存在工程建设风险，项目收益与融资平衡风险及管理措施收益不确定性风险，通过实施单位采取合理可控的风险控制措施能够有效地规避、减轻相关风险的发生，经评估项目风险可控。</w:t>
      </w:r>
    </w:p>
    <w:p w14:paraId="703758AD">
      <w:pPr>
        <w:pStyle w:val="3"/>
        <w:rPr>
          <w:rFonts w:hint="eastAsia"/>
          <w:sz w:val="30"/>
          <w:szCs w:val="30"/>
        </w:rPr>
      </w:pPr>
      <w:r>
        <w:rPr>
          <w:rFonts w:hint="eastAsia"/>
          <w:szCs w:val="30"/>
        </w:rPr>
        <w:t xml:space="preserve">第七章 </w:t>
      </w:r>
      <w:r>
        <w:rPr>
          <w:sz w:val="30"/>
          <w:szCs w:val="30"/>
        </w:rPr>
        <w:t>还款保障</w:t>
      </w:r>
      <w:r>
        <w:rPr>
          <w:szCs w:val="32"/>
        </w:rPr>
        <w:t>措施</w:t>
      </w:r>
    </w:p>
    <w:p w14:paraId="5AB98F56">
      <w:pPr>
        <w:ind w:firstLine="645" w:firstLineChars="0"/>
      </w:pPr>
      <w:r>
        <w:t>按照《国务院办公厅关于印发地方政府性债务风险应急处置预案的通知》（国办函〔2016〕88号）规定，本级政府对地方政府债券依法承担全部偿还责任。本级财政将按照《财政部关于印发&lt;地方政府专项债务预算管理办法&gt;的通知》（财预〔2016〕155号）规定，及时按照转贷协议约定逐级向省财政缴纳本级应当承担的还本付息资金，由省财政按照合同约定及时偿还专项债券到期本息。如偿债出现困难，将通过调减投资计划、处置可变现资产、调整预算支出结构等方式筹集资金偿还债务。未按时足额向省财政缴纳专项债券还本付息资金的,省财政采取适当方式扣回。</w:t>
      </w:r>
    </w:p>
    <w:p w14:paraId="53719AB6">
      <w:pPr>
        <w:pStyle w:val="3"/>
        <w:rPr>
          <w:sz w:val="30"/>
          <w:szCs w:val="30"/>
        </w:rPr>
      </w:pPr>
      <w:r>
        <w:rPr>
          <w:rFonts w:hint="eastAsia"/>
          <w:sz w:val="30"/>
          <w:szCs w:val="30"/>
        </w:rPr>
        <w:t xml:space="preserve">第八章 </w:t>
      </w:r>
      <w:r>
        <w:rPr>
          <w:sz w:val="30"/>
          <w:szCs w:val="30"/>
        </w:rPr>
        <w:t>主管部门职责</w:t>
      </w:r>
    </w:p>
    <w:p w14:paraId="2B4D5146">
      <w:pPr>
        <w:pStyle w:val="4"/>
        <w:rPr>
          <w:rFonts w:hint="eastAsia"/>
        </w:rPr>
      </w:pPr>
      <w:r>
        <w:rPr>
          <w:rFonts w:hint="eastAsia"/>
        </w:rPr>
        <w:t>8</w:t>
      </w:r>
      <w:r>
        <w:t xml:space="preserve">.1 </w:t>
      </w:r>
      <w:r>
        <w:rPr>
          <w:rFonts w:hint="eastAsia"/>
        </w:rPr>
        <w:t>主管部门职责</w:t>
      </w:r>
    </w:p>
    <w:p w14:paraId="6A0D6B8A">
      <w:pPr>
        <w:ind w:firstLine="560"/>
        <w:rPr>
          <w:rFonts w:hint="eastAsia"/>
        </w:rPr>
      </w:pPr>
      <w:r>
        <w:rPr>
          <w:rFonts w:hint="eastAsia"/>
        </w:rPr>
        <w:t>1、认真履行项目建设、运营和维护责任，确保项目如期建设、如期投入运营，早日实现持续稳定的收益。</w:t>
      </w:r>
    </w:p>
    <w:p w14:paraId="36A58414">
      <w:pPr>
        <w:ind w:firstLine="560"/>
        <w:rPr>
          <w:rFonts w:hint="eastAsia"/>
        </w:rPr>
      </w:pPr>
      <w:r>
        <w:rPr>
          <w:rFonts w:hint="eastAsia"/>
        </w:rPr>
        <w:t>2、监督指导建设运营主体规范使用本专项债券资金，对发现的违法违规资金使用进行严肃处理和责任追究。</w:t>
      </w:r>
    </w:p>
    <w:p w14:paraId="0377CD9A">
      <w:pPr>
        <w:ind w:firstLine="560"/>
        <w:rPr>
          <w:rFonts w:hint="eastAsia"/>
        </w:rPr>
      </w:pPr>
      <w:r>
        <w:rPr>
          <w:rFonts w:hint="eastAsia"/>
        </w:rPr>
        <w:t>3、配合做好债券对应项目形成资产的登记管理工作，做好日常统计和动态监控；确保项目资产独立性和确认资产权益归属，严禁专项债券对应资产和权益用于为融资平台公司等企业融资提供担保和抵押，不对项目资产进行转移和划拨注入企业。</w:t>
      </w:r>
    </w:p>
    <w:p w14:paraId="68C234EE">
      <w:pPr>
        <w:ind w:firstLine="560"/>
        <w:rPr>
          <w:rFonts w:hint="eastAsia"/>
        </w:rPr>
      </w:pPr>
      <w:r>
        <w:rPr>
          <w:rFonts w:hint="eastAsia"/>
        </w:rPr>
        <w:t>4、在门户网站等及时披露专项债券对应的项目概况、项目预期收益和融资平衡方案、专项债券规模和期限、发行计划安排、还本付息等信息。</w:t>
      </w:r>
    </w:p>
    <w:p w14:paraId="5D6A6D9C">
      <w:pPr>
        <w:pStyle w:val="4"/>
        <w:rPr>
          <w:rFonts w:hint="eastAsia"/>
        </w:rPr>
      </w:pPr>
      <w:r>
        <w:rPr>
          <w:rFonts w:hint="eastAsia"/>
        </w:rPr>
        <w:t>8</w:t>
      </w:r>
      <w:r>
        <w:t xml:space="preserve">.2 </w:t>
      </w:r>
      <w:r>
        <w:rPr>
          <w:rFonts w:hint="eastAsia"/>
        </w:rPr>
        <w:t>项目单位职责</w:t>
      </w:r>
    </w:p>
    <w:p w14:paraId="3C234915">
      <w:pPr>
        <w:ind w:firstLine="560"/>
        <w:rPr>
          <w:rFonts w:hint="eastAsia"/>
        </w:rPr>
      </w:pPr>
      <w:r>
        <w:rPr>
          <w:rFonts w:hint="eastAsia"/>
        </w:rPr>
        <w:t>1、注重政策信息的收集和分析研究，及时了解和判断政策的变化，对项目的运营策略做出正确的调整，确保项目的稳健发展。</w:t>
      </w:r>
    </w:p>
    <w:p w14:paraId="1B2726E4">
      <w:pPr>
        <w:ind w:firstLine="560"/>
        <w:rPr>
          <w:rFonts w:hint="eastAsia"/>
        </w:rPr>
      </w:pPr>
      <w:r>
        <w:rPr>
          <w:rFonts w:hint="eastAsia"/>
        </w:rPr>
        <w:t>2、不断提高管理水平和经营业绩，优化产业结构，提升项目单位的盈利能力和市场竞争力，从而抵御经济周期性波动对实施单位业务和盈利的不利影响。</w:t>
      </w:r>
    </w:p>
    <w:p w14:paraId="47D78D38">
      <w:pPr>
        <w:ind w:firstLine="560"/>
        <w:rPr>
          <w:rFonts w:hint="eastAsia"/>
        </w:rPr>
      </w:pPr>
      <w:r>
        <w:rPr>
          <w:rFonts w:hint="eastAsia"/>
        </w:rPr>
        <w:t>3、项目单位应全面统筹安排，对运营方的能力进行多方面评估，谨慎选择运营方。</w:t>
      </w:r>
    </w:p>
    <w:p w14:paraId="65ECA100">
      <w:pPr>
        <w:ind w:firstLine="560"/>
        <w:rPr>
          <w:rFonts w:hint="eastAsia"/>
        </w:rPr>
      </w:pPr>
      <w:r>
        <w:rPr>
          <w:rFonts w:hint="eastAsia"/>
        </w:rPr>
        <w:t>4、项目单位应制定完善的资金管理制度，对募集资金实行集中管理和统一调配。使用本期债券募集资金的投资项目将根据项目进度情况和项目资金预算情况统一纳入公司的年度投资计划进行管理。</w:t>
      </w:r>
    </w:p>
    <w:p w14:paraId="23782F97">
      <w:pPr>
        <w:ind w:firstLine="560"/>
        <w:rPr>
          <w:rFonts w:hint="eastAsia"/>
        </w:rPr>
      </w:pPr>
      <w:r>
        <w:rPr>
          <w:rFonts w:hint="eastAsia"/>
        </w:rPr>
        <w:t>5、每年将项目运营收益根据还款协议及相关还款要求及时向本级财政偿还本项目还本付息资金。如偿债出现困难，将通过调减投资计划、处置实施单位可变现资产、调整预算支出结构等方式筹集资金偿还债务。未按时足额向省财政缴纳专项债券还本付息资金的，省财政采取适当方式扣回。</w:t>
      </w:r>
    </w:p>
    <w:p w14:paraId="771DB141">
      <w:pPr>
        <w:pStyle w:val="3"/>
        <w:rPr>
          <w:rFonts w:hint="eastAsia"/>
          <w:sz w:val="30"/>
          <w:szCs w:val="30"/>
        </w:rPr>
      </w:pPr>
      <w:r>
        <w:rPr>
          <w:rFonts w:hint="eastAsia"/>
          <w:sz w:val="30"/>
          <w:szCs w:val="30"/>
        </w:rPr>
        <w:t>第九章 补充说明</w:t>
      </w:r>
    </w:p>
    <w:p w14:paraId="67B928A1">
      <w:pPr>
        <w:ind w:firstLine="560"/>
      </w:pPr>
      <w:r>
        <w:rPr>
          <w:rFonts w:hint="eastAsia"/>
        </w:rPr>
        <w:t>根据发行计划及额度安排，此项目</w:t>
      </w:r>
      <w:r>
        <w:rPr>
          <w:rFonts w:hint="eastAsia"/>
          <w:lang w:val="en-US" w:eastAsia="zh-CN"/>
        </w:rPr>
        <w:t>2026年拟申请发行3000万元，本次拟发行500万元，期限20年。</w:t>
      </w:r>
      <w:bookmarkStart w:id="239" w:name="_GoBack"/>
      <w:bookmarkEnd w:id="239"/>
    </w:p>
    <w:sectPr>
      <w:pgSz w:w="11906" w:h="16838"/>
      <w:pgMar w:top="1247" w:right="1361" w:bottom="1247" w:left="1361" w:header="624" w:footer="624" w:gutter="0"/>
      <w:cols w:space="425" w:num="1"/>
      <w:docGrid w:type="lines" w:linePitch="381"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ind w:firstLine="560"/>
      </w:pPr>
      <w:r>
        <w:separator/>
      </w:r>
    </w:p>
  </w:endnote>
  <w:endnote w:type="continuationSeparator" w:id="1">
    <w:p>
      <w:pPr>
        <w:spacing w:line="240" w:lineRule="auto"/>
        <w:ind w:firstLine="56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50"/>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方正仿宋_GBK">
    <w:panose1 w:val="03000509000000000000"/>
    <w:charset w:val="86"/>
    <w:family w:val="auto"/>
    <w:pitch w:val="default"/>
    <w:sig w:usb0="00000001" w:usb1="080E0000" w:usb2="00000000" w:usb3="00000000" w:csb0="00040000" w:csb1="00000000"/>
  </w:font>
  <w:font w:name="方正小标宋_GBK">
    <w:panose1 w:val="03000509000000000000"/>
    <w:charset w:val="86"/>
    <w:family w:val="auto"/>
    <w:pitch w:val="default"/>
    <w:sig w:usb0="00000001" w:usb1="080E0000" w:usb2="00000000" w:usb3="00000000" w:csb0="00040000" w:csb1="00000000"/>
  </w:font>
  <w:font w:name="方正黑体_GBK">
    <w:panose1 w:val="03000509000000000000"/>
    <w:charset w:val="86"/>
    <w:family w:val="auto"/>
    <w:pitch w:val="default"/>
    <w:sig w:usb0="00000001" w:usb1="080E0000" w:usb2="00000000" w:usb3="00000000" w:csb0="00040000" w:csb1="00000000"/>
  </w:font>
  <w:font w:name="方正楷体_GBK">
    <w:panose1 w:val="03000509000000000000"/>
    <w:charset w:val="86"/>
    <w:family w:val="auto"/>
    <w:pitch w:val="default"/>
    <w:sig w:usb0="00000001" w:usb1="080E0000" w:usb2="00000000" w:usb3="00000000" w:csb0="00040000" w:csb1="00000000"/>
  </w:font>
  <w:font w:name="Calibri">
    <w:panose1 w:val="020F0502020204030204"/>
    <w:charset w:val="00"/>
    <w:family w:val="swiss"/>
    <w:pitch w:val="default"/>
    <w:sig w:usb0="E4002EFF" w:usb1="C000247B" w:usb2="00000009" w:usb3="00000000" w:csb0="200001FF" w:csb1="00000000"/>
  </w:font>
  <w:font w:name="仿宋">
    <w:panose1 w:val="02010609060101010101"/>
    <w:charset w:val="86"/>
    <w:family w:val="modern"/>
    <w:pitch w:val="default"/>
    <w:sig w:usb0="800002BF" w:usb1="38CF7CFA" w:usb2="00000016" w:usb3="00000000" w:csb0="00040001" w:csb1="00000000"/>
  </w:font>
  <w:font w:name="华文楷体">
    <w:altName w:val="方正楷体_GBK"/>
    <w:panose1 w:val="02010600040101010101"/>
    <w:charset w:val="86"/>
    <w:family w:val="auto"/>
    <w:pitch w:val="default"/>
    <w:sig w:usb0="00000000" w:usb1="00000000" w:usb2="00000000" w:usb3="00000000" w:csb0="0004009F" w:csb1="DFD70000"/>
  </w:font>
  <w:font w:name="LF_Kai">
    <w:altName w:val="宋体"/>
    <w:panose1 w:val="00000000000000000000"/>
    <w:charset w:val="86"/>
    <w:family w:val="script"/>
    <w:pitch w:val="default"/>
    <w:sig w:usb0="00000000" w:usb1="00000000" w:usb2="00000010" w:usb3="00000000" w:csb0="00040000" w:csb1="00000000"/>
  </w:font>
  <w:font w:name="Calibri Light">
    <w:panose1 w:val="020F0302020204030204"/>
    <w:charset w:val="00"/>
    <w:family w:val="swiss"/>
    <w:pitch w:val="default"/>
    <w:sig w:usb0="E4002EFF" w:usb1="C000247B" w:usb2="00000009" w:usb3="00000000" w:csb0="200001FF" w:csb1="00000000"/>
  </w:font>
  <w:font w:name="楷体">
    <w:panose1 w:val="02010609060101010101"/>
    <w:charset w:val="86"/>
    <w:family w:val="modern"/>
    <w:pitch w:val="default"/>
    <w:sig w:usb0="800002BF" w:usb1="38CF7CFA" w:usb2="00000016" w:usb3="00000000" w:csb0="00040001" w:csb1="00000000"/>
  </w:font>
  <w:font w:name="Calibri">
    <w:panose1 w:val="020F0502020204030204"/>
    <w:charset w:val="01"/>
    <w:family w:val="auto"/>
    <w:pitch w:val="default"/>
    <w:sig w:usb0="E4002EFF" w:usb1="C000247B" w:usb2="00000009" w:usb3="00000000" w:csb0="2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1"/>
      <w:docPartObj>
        <w:docPartGallery w:val="autotext"/>
      </w:docPartObj>
    </w:sdtPr>
    <w:sdtEndPr>
      <w:rPr>
        <w:b/>
        <w:bCs/>
        <w:sz w:val="24"/>
        <w:szCs w:val="24"/>
      </w:rPr>
    </w:sdtEndPr>
    <w:sdtContent>
      <w:p w14:paraId="52F38943">
        <w:pPr>
          <w:pStyle w:val="7"/>
          <w:ind w:firstLine="0" w:firstLineChars="0"/>
          <w:jc w:val="center"/>
          <w:rPr>
            <w:b/>
            <w:bCs/>
            <w:sz w:val="24"/>
            <w:szCs w:val="24"/>
          </w:rPr>
        </w:pPr>
        <w:r>
          <w:rPr>
            <w:b/>
            <w:bCs/>
            <w:sz w:val="24"/>
            <w:szCs w:val="24"/>
          </w:rPr>
          <w:fldChar w:fldCharType="begin"/>
        </w:r>
        <w:r>
          <w:rPr>
            <w:b/>
            <w:bCs/>
            <w:sz w:val="24"/>
            <w:szCs w:val="24"/>
          </w:rPr>
          <w:instrText xml:space="preserve">PAGE   \* MERGEFORMAT</w:instrText>
        </w:r>
        <w:r>
          <w:rPr>
            <w:b/>
            <w:bCs/>
            <w:sz w:val="24"/>
            <w:szCs w:val="24"/>
          </w:rPr>
          <w:fldChar w:fldCharType="separate"/>
        </w:r>
        <w:r>
          <w:rPr>
            <w:b/>
            <w:bCs/>
            <w:sz w:val="24"/>
            <w:szCs w:val="24"/>
            <w:lang w:val="zh-CN"/>
          </w:rPr>
          <w:t>2</w:t>
        </w:r>
        <w:r>
          <w:rPr>
            <w:b/>
            <w:bCs/>
            <w:sz w:val="24"/>
            <w:szCs w:val="24"/>
          </w:rPr>
          <w:fldChar w:fldCharType="end"/>
        </w:r>
      </w:p>
    </w:sdtContent>
  </w:sdt>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C4594F8">
    <w:pPr>
      <w:pStyle w:val="7"/>
      <w:ind w:firstLine="360"/>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EBAF2DB">
    <w:pPr>
      <w:pStyle w:val="7"/>
      <w:ind w:firstLine="360"/>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1519BDB">
    <w:pPr>
      <w:pStyle w:val="7"/>
      <w:ind w:firstLine="360"/>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9272907">
    <w:pPr>
      <w:pStyle w:val="7"/>
      <w:ind w:firstLine="36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line="360" w:lineRule="auto"/>
        <w:ind w:firstLine="560"/>
      </w:pPr>
      <w:r>
        <w:separator/>
      </w:r>
    </w:p>
  </w:footnote>
  <w:footnote w:type="continuationSeparator" w:id="1">
    <w:p>
      <w:pPr>
        <w:spacing w:line="360" w:lineRule="auto"/>
        <w:ind w:firstLine="56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AEDDC17">
    <w:pPr>
      <w:pStyle w:val="8"/>
      <w:ind w:firstLine="360"/>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096BA21">
    <w:pPr>
      <w:pStyle w:val="8"/>
      <w:ind w:firstLine="360"/>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122E463">
    <w:pPr>
      <w:pStyle w:val="8"/>
      <w:ind w:firstLine="360"/>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96A2683">
    <w:pPr>
      <w:pStyle w:val="8"/>
      <w:ind w:firstLine="0" w:firstLineChars="0"/>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674645D">
    <w:pPr>
      <w:pStyle w:val="8"/>
      <w:ind w:firstLine="360"/>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7C161C0">
    <w:pPr>
      <w:pStyle w:val="8"/>
      <w:ind w:firstLine="360"/>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E8BB30E2"/>
    <w:multiLevelType w:val="singleLevel"/>
    <w:tmpl w:val="E8BB30E2"/>
    <w:lvl w:ilvl="0" w:tentative="0">
      <w:start w:val="5"/>
      <w:numFmt w:val="decimal"/>
      <w:suff w:val="nothing"/>
      <w:lvlText w:val="（%1）"/>
      <w:lvlJc w:val="left"/>
    </w:lvl>
  </w:abstractNum>
  <w:abstractNum w:abstractNumId="1">
    <w:nsid w:val="09716166"/>
    <w:multiLevelType w:val="multilevel"/>
    <w:tmpl w:val="09716166"/>
    <w:lvl w:ilvl="0" w:tentative="0">
      <w:start w:val="1"/>
      <w:numFmt w:val="chineseCountingThousand"/>
      <w:lvlText w:val="(%1)"/>
      <w:lvlJc w:val="left"/>
      <w:pPr>
        <w:ind w:left="980" w:hanging="420"/>
      </w:pPr>
    </w:lvl>
    <w:lvl w:ilvl="1" w:tentative="0">
      <w:start w:val="1"/>
      <w:numFmt w:val="lowerLetter"/>
      <w:lvlText w:val="%2)"/>
      <w:lvlJc w:val="left"/>
      <w:pPr>
        <w:ind w:left="1400" w:hanging="420"/>
      </w:pPr>
    </w:lvl>
    <w:lvl w:ilvl="2" w:tentative="0">
      <w:start w:val="1"/>
      <w:numFmt w:val="lowerRoman"/>
      <w:lvlText w:val="%3."/>
      <w:lvlJc w:val="right"/>
      <w:pPr>
        <w:ind w:left="1820" w:hanging="420"/>
      </w:pPr>
    </w:lvl>
    <w:lvl w:ilvl="3" w:tentative="0">
      <w:start w:val="1"/>
      <w:numFmt w:val="decimal"/>
      <w:lvlText w:val="%4."/>
      <w:lvlJc w:val="left"/>
      <w:pPr>
        <w:ind w:left="2240" w:hanging="420"/>
      </w:pPr>
    </w:lvl>
    <w:lvl w:ilvl="4" w:tentative="0">
      <w:start w:val="1"/>
      <w:numFmt w:val="lowerLetter"/>
      <w:lvlText w:val="%5)"/>
      <w:lvlJc w:val="left"/>
      <w:pPr>
        <w:ind w:left="2660" w:hanging="420"/>
      </w:pPr>
    </w:lvl>
    <w:lvl w:ilvl="5" w:tentative="0">
      <w:start w:val="1"/>
      <w:numFmt w:val="lowerRoman"/>
      <w:lvlText w:val="%6."/>
      <w:lvlJc w:val="right"/>
      <w:pPr>
        <w:ind w:left="3080" w:hanging="420"/>
      </w:pPr>
    </w:lvl>
    <w:lvl w:ilvl="6" w:tentative="0">
      <w:start w:val="1"/>
      <w:numFmt w:val="decimal"/>
      <w:lvlText w:val="%7."/>
      <w:lvlJc w:val="left"/>
      <w:pPr>
        <w:ind w:left="3500" w:hanging="420"/>
      </w:pPr>
    </w:lvl>
    <w:lvl w:ilvl="7" w:tentative="0">
      <w:start w:val="1"/>
      <w:numFmt w:val="lowerLetter"/>
      <w:lvlText w:val="%8)"/>
      <w:lvlJc w:val="left"/>
      <w:pPr>
        <w:ind w:left="3920" w:hanging="420"/>
      </w:pPr>
    </w:lvl>
    <w:lvl w:ilvl="8" w:tentative="0">
      <w:start w:val="1"/>
      <w:numFmt w:val="lowerRoman"/>
      <w:lvlText w:val="%9."/>
      <w:lvlJc w:val="right"/>
      <w:pPr>
        <w:ind w:left="4340" w:hanging="420"/>
      </w:pPr>
    </w:lvl>
  </w:abstractNum>
  <w:abstractNum w:abstractNumId="2">
    <w:nsid w:val="0CA13ADA"/>
    <w:multiLevelType w:val="multilevel"/>
    <w:tmpl w:val="0CA13ADA"/>
    <w:lvl w:ilvl="0" w:tentative="0">
      <w:start w:val="1"/>
      <w:numFmt w:val="chineseCountingThousand"/>
      <w:lvlText w:val="(%1)"/>
      <w:lvlJc w:val="left"/>
      <w:pPr>
        <w:ind w:left="980" w:hanging="420"/>
      </w:pPr>
    </w:lvl>
    <w:lvl w:ilvl="1" w:tentative="0">
      <w:start w:val="1"/>
      <w:numFmt w:val="lowerLetter"/>
      <w:lvlText w:val="%2)"/>
      <w:lvlJc w:val="left"/>
      <w:pPr>
        <w:ind w:left="1400" w:hanging="420"/>
      </w:pPr>
    </w:lvl>
    <w:lvl w:ilvl="2" w:tentative="0">
      <w:start w:val="1"/>
      <w:numFmt w:val="lowerRoman"/>
      <w:lvlText w:val="%3."/>
      <w:lvlJc w:val="right"/>
      <w:pPr>
        <w:ind w:left="1820" w:hanging="420"/>
      </w:pPr>
    </w:lvl>
    <w:lvl w:ilvl="3" w:tentative="0">
      <w:start w:val="1"/>
      <w:numFmt w:val="decimal"/>
      <w:lvlText w:val="%4."/>
      <w:lvlJc w:val="left"/>
      <w:pPr>
        <w:ind w:left="2240" w:hanging="420"/>
      </w:pPr>
    </w:lvl>
    <w:lvl w:ilvl="4" w:tentative="0">
      <w:start w:val="1"/>
      <w:numFmt w:val="lowerLetter"/>
      <w:lvlText w:val="%5)"/>
      <w:lvlJc w:val="left"/>
      <w:pPr>
        <w:ind w:left="2660" w:hanging="420"/>
      </w:pPr>
    </w:lvl>
    <w:lvl w:ilvl="5" w:tentative="0">
      <w:start w:val="1"/>
      <w:numFmt w:val="lowerRoman"/>
      <w:lvlText w:val="%6."/>
      <w:lvlJc w:val="right"/>
      <w:pPr>
        <w:ind w:left="3080" w:hanging="420"/>
      </w:pPr>
    </w:lvl>
    <w:lvl w:ilvl="6" w:tentative="0">
      <w:start w:val="1"/>
      <w:numFmt w:val="decimal"/>
      <w:lvlText w:val="%7."/>
      <w:lvlJc w:val="left"/>
      <w:pPr>
        <w:ind w:left="3500" w:hanging="420"/>
      </w:pPr>
    </w:lvl>
    <w:lvl w:ilvl="7" w:tentative="0">
      <w:start w:val="1"/>
      <w:numFmt w:val="lowerLetter"/>
      <w:lvlText w:val="%8)"/>
      <w:lvlJc w:val="left"/>
      <w:pPr>
        <w:ind w:left="3920" w:hanging="420"/>
      </w:pPr>
    </w:lvl>
    <w:lvl w:ilvl="8" w:tentative="0">
      <w:start w:val="1"/>
      <w:numFmt w:val="lowerRoman"/>
      <w:lvlText w:val="%9."/>
      <w:lvlJc w:val="right"/>
      <w:pPr>
        <w:ind w:left="4340" w:hanging="420"/>
      </w:pPr>
    </w:lvl>
  </w:abstractNum>
  <w:abstractNum w:abstractNumId="3">
    <w:nsid w:val="26E901BE"/>
    <w:multiLevelType w:val="multilevel"/>
    <w:tmpl w:val="26E901BE"/>
    <w:lvl w:ilvl="0" w:tentative="0">
      <w:start w:val="1"/>
      <w:numFmt w:val="chineseCountingThousand"/>
      <w:suff w:val="space"/>
      <w:lvlText w:val="第%1章"/>
      <w:lvlJc w:val="left"/>
      <w:pPr>
        <w:ind w:left="0" w:firstLine="0"/>
      </w:pPr>
      <w:rPr>
        <w:rFonts w:hint="eastAsia"/>
      </w:rPr>
    </w:lvl>
    <w:lvl w:ilvl="1" w:tentative="0">
      <w:start w:val="1"/>
      <w:numFmt w:val="decimal"/>
      <w:isLgl/>
      <w:suff w:val="space"/>
      <w:lvlText w:val="%1.%2"/>
      <w:lvlJc w:val="left"/>
      <w:pPr>
        <w:ind w:left="0" w:firstLine="0"/>
      </w:pPr>
      <w:rPr>
        <w:rFonts w:hint="eastAsia"/>
      </w:rPr>
    </w:lvl>
    <w:lvl w:ilvl="2" w:tentative="0">
      <w:start w:val="1"/>
      <w:numFmt w:val="decimal"/>
      <w:isLgl/>
      <w:suff w:val="space"/>
      <w:lvlText w:val="%1.%2.%3"/>
      <w:lvlJc w:val="left"/>
      <w:pPr>
        <w:ind w:left="0" w:firstLine="0"/>
      </w:pPr>
      <w:rPr>
        <w:rFonts w:hint="eastAsia"/>
      </w:rPr>
    </w:lvl>
    <w:lvl w:ilvl="3" w:tentative="0">
      <w:start w:val="1"/>
      <w:numFmt w:val="decimal"/>
      <w:lvlText w:val="%1.%2.%3.%4"/>
      <w:lvlJc w:val="left"/>
      <w:pPr>
        <w:ind w:left="0" w:firstLine="0"/>
      </w:pPr>
      <w:rPr>
        <w:rFonts w:hint="eastAsia"/>
      </w:rPr>
    </w:lvl>
    <w:lvl w:ilvl="4" w:tentative="0">
      <w:start w:val="1"/>
      <w:numFmt w:val="decimal"/>
      <w:lvlText w:val="%1.%2.%3.%4.%5"/>
      <w:lvlJc w:val="left"/>
      <w:pPr>
        <w:ind w:left="0" w:firstLine="0"/>
      </w:pPr>
      <w:rPr>
        <w:rFonts w:hint="eastAsia"/>
      </w:rPr>
    </w:lvl>
    <w:lvl w:ilvl="5" w:tentative="0">
      <w:start w:val="1"/>
      <w:numFmt w:val="decimal"/>
      <w:lvlText w:val="%1.%2.%3.%4.%5.%6"/>
      <w:lvlJc w:val="left"/>
      <w:pPr>
        <w:ind w:left="0" w:firstLine="0"/>
      </w:pPr>
      <w:rPr>
        <w:rFonts w:hint="eastAsia"/>
      </w:rPr>
    </w:lvl>
    <w:lvl w:ilvl="6" w:tentative="0">
      <w:start w:val="1"/>
      <w:numFmt w:val="decimal"/>
      <w:lvlText w:val="%1.%2.%3.%4.%5.%6.%7"/>
      <w:lvlJc w:val="left"/>
      <w:pPr>
        <w:ind w:left="0" w:firstLine="0"/>
      </w:pPr>
      <w:rPr>
        <w:rFonts w:hint="eastAsia"/>
      </w:rPr>
    </w:lvl>
    <w:lvl w:ilvl="7" w:tentative="0">
      <w:start w:val="1"/>
      <w:numFmt w:val="decimal"/>
      <w:lvlRestart w:val="1"/>
      <w:pStyle w:val="25"/>
      <w:isLgl/>
      <w:suff w:val="space"/>
      <w:lvlText w:val="表%1.%8"/>
      <w:lvlJc w:val="left"/>
      <w:pPr>
        <w:ind w:left="0" w:firstLine="0"/>
      </w:pPr>
      <w:rPr>
        <w:rFonts w:hint="eastAsia"/>
      </w:rPr>
    </w:lvl>
    <w:lvl w:ilvl="8" w:tentative="0">
      <w:start w:val="1"/>
      <w:numFmt w:val="decimal"/>
      <w:lvlRestart w:val="1"/>
      <w:pStyle w:val="24"/>
      <w:isLgl/>
      <w:suff w:val="space"/>
      <w:lvlText w:val="图%1.%9"/>
      <w:lvlJc w:val="left"/>
      <w:pPr>
        <w:ind w:left="0" w:firstLine="0"/>
      </w:pPr>
      <w:rPr>
        <w:rFonts w:hint="eastAsia"/>
      </w:rPr>
    </w:lvl>
  </w:abstractNum>
  <w:abstractNum w:abstractNumId="4">
    <w:nsid w:val="2AB057AD"/>
    <w:multiLevelType w:val="multilevel"/>
    <w:tmpl w:val="2AB057AD"/>
    <w:lvl w:ilvl="0" w:tentative="0">
      <w:start w:val="1"/>
      <w:numFmt w:val="chineseCountingThousand"/>
      <w:lvlText w:val="(%1)"/>
      <w:lvlJc w:val="left"/>
      <w:pPr>
        <w:ind w:left="980" w:hanging="420"/>
      </w:pPr>
    </w:lvl>
    <w:lvl w:ilvl="1" w:tentative="0">
      <w:start w:val="1"/>
      <w:numFmt w:val="lowerLetter"/>
      <w:lvlText w:val="%2)"/>
      <w:lvlJc w:val="left"/>
      <w:pPr>
        <w:ind w:left="1400" w:hanging="420"/>
      </w:pPr>
    </w:lvl>
    <w:lvl w:ilvl="2" w:tentative="0">
      <w:start w:val="1"/>
      <w:numFmt w:val="lowerRoman"/>
      <w:lvlText w:val="%3."/>
      <w:lvlJc w:val="right"/>
      <w:pPr>
        <w:ind w:left="1820" w:hanging="420"/>
      </w:pPr>
    </w:lvl>
    <w:lvl w:ilvl="3" w:tentative="0">
      <w:start w:val="1"/>
      <w:numFmt w:val="decimal"/>
      <w:lvlText w:val="%4."/>
      <w:lvlJc w:val="left"/>
      <w:pPr>
        <w:ind w:left="2240" w:hanging="420"/>
      </w:pPr>
    </w:lvl>
    <w:lvl w:ilvl="4" w:tentative="0">
      <w:start w:val="1"/>
      <w:numFmt w:val="lowerLetter"/>
      <w:lvlText w:val="%5)"/>
      <w:lvlJc w:val="left"/>
      <w:pPr>
        <w:ind w:left="2660" w:hanging="420"/>
      </w:pPr>
    </w:lvl>
    <w:lvl w:ilvl="5" w:tentative="0">
      <w:start w:val="1"/>
      <w:numFmt w:val="lowerRoman"/>
      <w:lvlText w:val="%6."/>
      <w:lvlJc w:val="right"/>
      <w:pPr>
        <w:ind w:left="3080" w:hanging="420"/>
      </w:pPr>
    </w:lvl>
    <w:lvl w:ilvl="6" w:tentative="0">
      <w:start w:val="1"/>
      <w:numFmt w:val="decimal"/>
      <w:lvlText w:val="%7."/>
      <w:lvlJc w:val="left"/>
      <w:pPr>
        <w:ind w:left="3500" w:hanging="420"/>
      </w:pPr>
    </w:lvl>
    <w:lvl w:ilvl="7" w:tentative="0">
      <w:start w:val="1"/>
      <w:numFmt w:val="lowerLetter"/>
      <w:lvlText w:val="%8)"/>
      <w:lvlJc w:val="left"/>
      <w:pPr>
        <w:ind w:left="3920" w:hanging="420"/>
      </w:pPr>
    </w:lvl>
    <w:lvl w:ilvl="8" w:tentative="0">
      <w:start w:val="1"/>
      <w:numFmt w:val="lowerRoman"/>
      <w:lvlText w:val="%9."/>
      <w:lvlJc w:val="right"/>
      <w:pPr>
        <w:ind w:left="4340" w:hanging="420"/>
      </w:pPr>
    </w:lvl>
  </w:abstractNum>
  <w:abstractNum w:abstractNumId="5">
    <w:nsid w:val="723BEBA5"/>
    <w:multiLevelType w:val="singleLevel"/>
    <w:tmpl w:val="723BEBA5"/>
    <w:lvl w:ilvl="0" w:tentative="0">
      <w:start w:val="2"/>
      <w:numFmt w:val="decimal"/>
      <w:suff w:val="nothing"/>
      <w:lvlText w:val="（%1）"/>
      <w:lvlJc w:val="left"/>
    </w:lvl>
  </w:abstractNum>
  <w:abstractNum w:abstractNumId="6">
    <w:nsid w:val="7E8B611B"/>
    <w:multiLevelType w:val="multilevel"/>
    <w:tmpl w:val="7E8B611B"/>
    <w:lvl w:ilvl="0" w:tentative="0">
      <w:start w:val="1"/>
      <w:numFmt w:val="chineseCountingThousand"/>
      <w:lvlText w:val="(%1)"/>
      <w:lvlJc w:val="left"/>
      <w:pPr>
        <w:ind w:left="980" w:hanging="420"/>
      </w:pPr>
    </w:lvl>
    <w:lvl w:ilvl="1" w:tentative="0">
      <w:start w:val="1"/>
      <w:numFmt w:val="lowerLetter"/>
      <w:lvlText w:val="%2)"/>
      <w:lvlJc w:val="left"/>
      <w:pPr>
        <w:ind w:left="1400" w:hanging="420"/>
      </w:pPr>
    </w:lvl>
    <w:lvl w:ilvl="2" w:tentative="0">
      <w:start w:val="1"/>
      <w:numFmt w:val="lowerRoman"/>
      <w:lvlText w:val="%3."/>
      <w:lvlJc w:val="right"/>
      <w:pPr>
        <w:ind w:left="1820" w:hanging="420"/>
      </w:pPr>
    </w:lvl>
    <w:lvl w:ilvl="3" w:tentative="0">
      <w:start w:val="1"/>
      <w:numFmt w:val="decimal"/>
      <w:lvlText w:val="%4."/>
      <w:lvlJc w:val="left"/>
      <w:pPr>
        <w:ind w:left="2240" w:hanging="420"/>
      </w:pPr>
    </w:lvl>
    <w:lvl w:ilvl="4" w:tentative="0">
      <w:start w:val="1"/>
      <w:numFmt w:val="lowerLetter"/>
      <w:lvlText w:val="%5)"/>
      <w:lvlJc w:val="left"/>
      <w:pPr>
        <w:ind w:left="2660" w:hanging="420"/>
      </w:pPr>
    </w:lvl>
    <w:lvl w:ilvl="5" w:tentative="0">
      <w:start w:val="1"/>
      <w:numFmt w:val="lowerRoman"/>
      <w:lvlText w:val="%6."/>
      <w:lvlJc w:val="right"/>
      <w:pPr>
        <w:ind w:left="3080" w:hanging="420"/>
      </w:pPr>
    </w:lvl>
    <w:lvl w:ilvl="6" w:tentative="0">
      <w:start w:val="1"/>
      <w:numFmt w:val="decimal"/>
      <w:lvlText w:val="%7."/>
      <w:lvlJc w:val="left"/>
      <w:pPr>
        <w:ind w:left="3500" w:hanging="420"/>
      </w:pPr>
    </w:lvl>
    <w:lvl w:ilvl="7" w:tentative="0">
      <w:start w:val="1"/>
      <w:numFmt w:val="lowerLetter"/>
      <w:lvlText w:val="%8)"/>
      <w:lvlJc w:val="left"/>
      <w:pPr>
        <w:ind w:left="3920" w:hanging="420"/>
      </w:pPr>
    </w:lvl>
    <w:lvl w:ilvl="8" w:tentative="0">
      <w:start w:val="1"/>
      <w:numFmt w:val="lowerRoman"/>
      <w:lvlText w:val="%9."/>
      <w:lvlJc w:val="right"/>
      <w:pPr>
        <w:ind w:left="4340" w:hanging="420"/>
      </w:pPr>
    </w:lvl>
  </w:abstractNum>
  <w:num w:numId="1">
    <w:abstractNumId w:val="3"/>
  </w:num>
  <w:num w:numId="2">
    <w:abstractNumId w:val="6"/>
  </w:num>
  <w:num w:numId="3">
    <w:abstractNumId w:val="1"/>
  </w:num>
  <w:num w:numId="4">
    <w:abstractNumId w:val="5"/>
  </w:num>
  <w:num w:numId="5">
    <w:abstractNumId w:val="0"/>
  </w:num>
  <w:num w:numId="6">
    <w:abstractNumId w:val="4"/>
  </w:num>
  <w:num w:numId="7">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90"/>
  <w:bordersDoNotSurroundHeader w:val="1"/>
  <w:bordersDoNotSurroundFooter w:val="1"/>
  <w:documentProtection w:enforcement="0"/>
  <w:defaultTabStop w:val="420"/>
  <w:drawingGridHorizontalSpacing w:val="140"/>
  <w:drawingGridVerticalSpacing w:val="381"/>
  <w:displayHorizontalDrawingGridEvery w:val="0"/>
  <w:characterSpacingControl w:val="compressPunctuation"/>
  <w:footnotePr>
    <w:footnote w:id="0"/>
    <w:footnote w:id="1"/>
  </w:footnotePr>
  <w:endnotePr>
    <w:endnote w:id="0"/>
    <w:endnote w:id="1"/>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ZDJkZDZmYjdmN2MwOGQ3ZWU4NDJiOTRkZTJkYTQ3OTkifQ=="/>
  </w:docVars>
  <w:rsids>
    <w:rsidRoot w:val="00D323FB"/>
    <w:rsid w:val="000240E6"/>
    <w:rsid w:val="00073491"/>
    <w:rsid w:val="000B76E8"/>
    <w:rsid w:val="000D36A0"/>
    <w:rsid w:val="001103E9"/>
    <w:rsid w:val="00206D11"/>
    <w:rsid w:val="00253134"/>
    <w:rsid w:val="002B2D5C"/>
    <w:rsid w:val="003532BE"/>
    <w:rsid w:val="00391D29"/>
    <w:rsid w:val="003F1C1E"/>
    <w:rsid w:val="004F0B51"/>
    <w:rsid w:val="00554CB2"/>
    <w:rsid w:val="00583657"/>
    <w:rsid w:val="00596479"/>
    <w:rsid w:val="005E34DC"/>
    <w:rsid w:val="00634A6B"/>
    <w:rsid w:val="00641E3F"/>
    <w:rsid w:val="00713FC8"/>
    <w:rsid w:val="00762E93"/>
    <w:rsid w:val="007A52C0"/>
    <w:rsid w:val="00837E48"/>
    <w:rsid w:val="00881DA3"/>
    <w:rsid w:val="00924201"/>
    <w:rsid w:val="00942991"/>
    <w:rsid w:val="009D1449"/>
    <w:rsid w:val="00A452C6"/>
    <w:rsid w:val="00BB4B21"/>
    <w:rsid w:val="00BF376F"/>
    <w:rsid w:val="00C33710"/>
    <w:rsid w:val="00D323FB"/>
    <w:rsid w:val="00D67C26"/>
    <w:rsid w:val="00DA13E1"/>
    <w:rsid w:val="00DA3044"/>
    <w:rsid w:val="00E045F5"/>
    <w:rsid w:val="00E051B3"/>
    <w:rsid w:val="00E73DB5"/>
    <w:rsid w:val="00ED3D78"/>
    <w:rsid w:val="00F41864"/>
    <w:rsid w:val="00FD4906"/>
    <w:rsid w:val="04333FF8"/>
    <w:rsid w:val="04A40A52"/>
    <w:rsid w:val="0D9A0C44"/>
    <w:rsid w:val="0DF06AB6"/>
    <w:rsid w:val="11737A36"/>
    <w:rsid w:val="14CF1B1B"/>
    <w:rsid w:val="1A3B0898"/>
    <w:rsid w:val="1A646862"/>
    <w:rsid w:val="238C0BD7"/>
    <w:rsid w:val="23A83C63"/>
    <w:rsid w:val="27007912"/>
    <w:rsid w:val="29FD638B"/>
    <w:rsid w:val="37E1109A"/>
    <w:rsid w:val="3AF13CEA"/>
    <w:rsid w:val="3B6B584A"/>
    <w:rsid w:val="3C8F7316"/>
    <w:rsid w:val="3DBC63C8"/>
    <w:rsid w:val="43225652"/>
    <w:rsid w:val="46EE5581"/>
    <w:rsid w:val="4BA344F8"/>
    <w:rsid w:val="4D186EB4"/>
    <w:rsid w:val="544B377D"/>
    <w:rsid w:val="548E0C37"/>
    <w:rsid w:val="57A23F4A"/>
    <w:rsid w:val="5D3F13B8"/>
    <w:rsid w:val="627C73E7"/>
    <w:rsid w:val="62E73159"/>
    <w:rsid w:val="63BD2ED6"/>
    <w:rsid w:val="65A417D5"/>
    <w:rsid w:val="661E3335"/>
    <w:rsid w:val="67C4023B"/>
    <w:rsid w:val="68F91CA5"/>
    <w:rsid w:val="6B7B2FD8"/>
    <w:rsid w:val="6EE13152"/>
    <w:rsid w:val="70EA05E1"/>
    <w:rsid w:val="739E5895"/>
    <w:rsid w:val="740B2A1F"/>
    <w:rsid w:val="74477EFB"/>
    <w:rsid w:val="745A3315"/>
    <w:rsid w:val="76504D7D"/>
    <w:rsid w:val="7671663C"/>
    <w:rsid w:val="7AE85868"/>
    <w:rsid w:val="7B2B1D58"/>
    <w:rsid w:val="7D807FDA"/>
    <w:rsid w:val="7D8E26F7"/>
    <w:rsid w:val="FBFFC78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2"/>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semiHidden="0" w:name="heading 2"/>
    <w:lsdException w:qFormat="1" w:uiPriority="9" w:semiHidden="0"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semiHidden="0" w:name="header"/>
    <w:lsdException w:qFormat="1" w:uiPriority="99" w:semiHidden="0" w:name="footer"/>
    <w:lsdException w:uiPriority="99" w:name="index heading"/>
    <w:lsdException w:qFormat="1" w:unhideWhenUsed="0" w:uiPriority="0" w:semiHidden="0"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qFormat="1" w:unhideWhenUsed="0" w:uiPriority="0" w:semiHidden="0"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unhideWhenUsed="0" w:uiPriority="39" w:semiHidden="0" w:name="Table Grid"/>
    <w:lsdException w:uiPriority="99"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spacing w:line="360" w:lineRule="auto"/>
      <w:ind w:firstLine="200" w:firstLineChars="200"/>
      <w:jc w:val="both"/>
    </w:pPr>
    <w:rPr>
      <w:rFonts w:ascii="Times New Roman" w:hAnsi="Times New Roman" w:eastAsia="宋体" w:cs="仿宋"/>
      <w:kern w:val="2"/>
      <w:sz w:val="28"/>
      <w:szCs w:val="28"/>
      <w:lang w:val="en-US" w:eastAsia="zh-CN" w:bidi="ar-SA"/>
    </w:rPr>
  </w:style>
  <w:style w:type="paragraph" w:styleId="3">
    <w:name w:val="heading 1"/>
    <w:basedOn w:val="1"/>
    <w:next w:val="1"/>
    <w:link w:val="14"/>
    <w:autoRedefine/>
    <w:qFormat/>
    <w:uiPriority w:val="9"/>
    <w:pPr>
      <w:spacing w:before="190" w:beforeLines="50" w:after="190" w:afterLines="50" w:line="240" w:lineRule="auto"/>
      <w:ind w:firstLine="0" w:firstLineChars="0"/>
      <w:jc w:val="left"/>
      <w:outlineLvl w:val="0"/>
    </w:pPr>
    <w:rPr>
      <w:rFonts w:eastAsia="黑体"/>
      <w:b/>
      <w:sz w:val="32"/>
    </w:rPr>
  </w:style>
  <w:style w:type="paragraph" w:styleId="4">
    <w:name w:val="heading 2"/>
    <w:basedOn w:val="1"/>
    <w:next w:val="1"/>
    <w:link w:val="15"/>
    <w:autoRedefine/>
    <w:unhideWhenUsed/>
    <w:qFormat/>
    <w:uiPriority w:val="9"/>
    <w:pPr>
      <w:keepNext/>
      <w:keepLines/>
      <w:spacing w:before="120" w:after="120" w:line="240" w:lineRule="auto"/>
      <w:ind w:firstLine="0" w:firstLineChars="0"/>
      <w:outlineLvl w:val="1"/>
    </w:pPr>
    <w:rPr>
      <w:b/>
      <w:bCs/>
      <w:sz w:val="30"/>
      <w:szCs w:val="32"/>
    </w:rPr>
  </w:style>
  <w:style w:type="paragraph" w:styleId="5">
    <w:name w:val="heading 3"/>
    <w:basedOn w:val="1"/>
    <w:next w:val="1"/>
    <w:link w:val="17"/>
    <w:autoRedefine/>
    <w:unhideWhenUsed/>
    <w:qFormat/>
    <w:uiPriority w:val="9"/>
    <w:pPr>
      <w:keepNext/>
      <w:keepLines/>
      <w:ind w:firstLine="0" w:firstLineChars="0"/>
      <w:outlineLvl w:val="2"/>
    </w:pPr>
    <w:rPr>
      <w:b/>
      <w:bCs/>
      <w:szCs w:val="30"/>
    </w:rPr>
  </w:style>
  <w:style w:type="character" w:default="1" w:styleId="12">
    <w:name w:val="Default Paragraph Font"/>
    <w:semiHidden/>
    <w:unhideWhenUsed/>
    <w:qFormat/>
    <w:uiPriority w:val="1"/>
  </w:style>
  <w:style w:type="table" w:default="1" w:styleId="11">
    <w:name w:val="Normal Table"/>
    <w:semiHidden/>
    <w:unhideWhenUsed/>
    <w:qFormat/>
    <w:uiPriority w:val="99"/>
    <w:tblPr>
      <w:tblCellMar>
        <w:top w:w="0" w:type="dxa"/>
        <w:left w:w="108" w:type="dxa"/>
        <w:bottom w:w="0" w:type="dxa"/>
        <w:right w:w="108" w:type="dxa"/>
      </w:tblCellMar>
    </w:tblPr>
  </w:style>
  <w:style w:type="paragraph" w:styleId="2">
    <w:name w:val="Body Text"/>
    <w:basedOn w:val="1"/>
    <w:qFormat/>
    <w:uiPriority w:val="0"/>
    <w:pPr>
      <w:widowControl/>
      <w:spacing w:before="150" w:after="150" w:line="264" w:lineRule="auto"/>
      <w:ind w:firstLine="567"/>
    </w:pPr>
    <w:rPr>
      <w:rFonts w:ascii="华文楷体" w:hAnsi="华文楷体" w:eastAsia="LF_Kai"/>
      <w:kern w:val="0"/>
      <w:sz w:val="24"/>
      <w:szCs w:val="20"/>
      <w:lang w:val="en-GB"/>
    </w:rPr>
  </w:style>
  <w:style w:type="paragraph" w:styleId="6">
    <w:name w:val="caption"/>
    <w:basedOn w:val="1"/>
    <w:next w:val="1"/>
    <w:qFormat/>
    <w:uiPriority w:val="0"/>
    <w:pPr>
      <w:keepNext/>
      <w:widowControl/>
      <w:spacing w:after="200"/>
      <w:ind w:firstLine="400" w:firstLineChars="200"/>
      <w:jc w:val="center"/>
    </w:pPr>
    <w:rPr>
      <w:rFonts w:ascii="华文楷体" w:hAnsi="华文楷体" w:eastAsia="仿宋"/>
      <w:iCs/>
      <w:kern w:val="0"/>
      <w:sz w:val="20"/>
      <w:szCs w:val="20"/>
    </w:rPr>
  </w:style>
  <w:style w:type="paragraph" w:styleId="7">
    <w:name w:val="footer"/>
    <w:basedOn w:val="1"/>
    <w:link w:val="19"/>
    <w:unhideWhenUsed/>
    <w:qFormat/>
    <w:uiPriority w:val="99"/>
    <w:pPr>
      <w:tabs>
        <w:tab w:val="center" w:pos="4153"/>
        <w:tab w:val="right" w:pos="8306"/>
      </w:tabs>
      <w:snapToGrid w:val="0"/>
      <w:spacing w:line="240" w:lineRule="auto"/>
      <w:jc w:val="left"/>
    </w:pPr>
    <w:rPr>
      <w:sz w:val="18"/>
      <w:szCs w:val="18"/>
    </w:rPr>
  </w:style>
  <w:style w:type="paragraph" w:styleId="8">
    <w:name w:val="header"/>
    <w:basedOn w:val="1"/>
    <w:link w:val="18"/>
    <w:unhideWhenUsed/>
    <w:qFormat/>
    <w:uiPriority w:val="99"/>
    <w:pPr>
      <w:tabs>
        <w:tab w:val="center" w:pos="4153"/>
        <w:tab w:val="right" w:pos="8306"/>
      </w:tabs>
      <w:snapToGrid w:val="0"/>
      <w:spacing w:line="240" w:lineRule="auto"/>
      <w:jc w:val="center"/>
    </w:pPr>
    <w:rPr>
      <w:sz w:val="18"/>
      <w:szCs w:val="18"/>
    </w:rPr>
  </w:style>
  <w:style w:type="paragraph" w:styleId="9">
    <w:name w:val="Subtitle"/>
    <w:basedOn w:val="1"/>
    <w:next w:val="1"/>
    <w:link w:val="20"/>
    <w:autoRedefine/>
    <w:qFormat/>
    <w:uiPriority w:val="11"/>
    <w:pPr>
      <w:spacing w:before="240" w:after="60" w:line="312" w:lineRule="auto"/>
      <w:ind w:firstLine="0" w:firstLineChars="0"/>
      <w:jc w:val="center"/>
      <w:outlineLvl w:val="1"/>
    </w:pPr>
    <w:rPr>
      <w:rFonts w:asciiTheme="minorHAnsi" w:hAnsiTheme="minorHAnsi" w:eastAsiaTheme="minorEastAsia" w:cstheme="minorBidi"/>
      <w:b/>
      <w:bCs/>
      <w:kern w:val="28"/>
      <w:sz w:val="32"/>
      <w:szCs w:val="32"/>
    </w:rPr>
  </w:style>
  <w:style w:type="paragraph" w:styleId="10">
    <w:name w:val="Title"/>
    <w:basedOn w:val="1"/>
    <w:next w:val="1"/>
    <w:link w:val="16"/>
    <w:autoRedefine/>
    <w:qFormat/>
    <w:uiPriority w:val="10"/>
    <w:pPr>
      <w:spacing w:before="120" w:after="240"/>
      <w:ind w:firstLine="0" w:firstLineChars="0"/>
      <w:jc w:val="center"/>
      <w:outlineLvl w:val="0"/>
    </w:pPr>
    <w:rPr>
      <w:rFonts w:eastAsia="黑体" w:asciiTheme="majorHAnsi" w:hAnsiTheme="majorHAnsi" w:cstheme="majorBidi"/>
      <w:b/>
      <w:bCs/>
      <w:sz w:val="44"/>
      <w:szCs w:val="32"/>
    </w:rPr>
  </w:style>
  <w:style w:type="paragraph" w:styleId="13">
    <w:name w:val="No Spacing"/>
    <w:autoRedefine/>
    <w:qFormat/>
    <w:uiPriority w:val="1"/>
    <w:pPr>
      <w:widowControl w:val="0"/>
      <w:jc w:val="center"/>
    </w:pPr>
    <w:rPr>
      <w:rFonts w:eastAsia="仿宋" w:asciiTheme="minorHAnsi" w:hAnsiTheme="minorHAnsi" w:cstheme="minorBidi"/>
      <w:kern w:val="2"/>
      <w:sz w:val="21"/>
      <w:szCs w:val="21"/>
      <w:lang w:val="en-US" w:eastAsia="zh-CN" w:bidi="ar-SA"/>
    </w:rPr>
  </w:style>
  <w:style w:type="character" w:customStyle="1" w:styleId="14">
    <w:name w:val="标题 1 字符"/>
    <w:basedOn w:val="12"/>
    <w:link w:val="3"/>
    <w:qFormat/>
    <w:uiPriority w:val="9"/>
    <w:rPr>
      <w:rFonts w:ascii="Times New Roman" w:hAnsi="Times New Roman" w:eastAsia="黑体" w:cs="仿宋"/>
      <w:b/>
      <w:sz w:val="32"/>
      <w:szCs w:val="28"/>
    </w:rPr>
  </w:style>
  <w:style w:type="character" w:customStyle="1" w:styleId="15">
    <w:name w:val="标题 2 字符"/>
    <w:basedOn w:val="12"/>
    <w:link w:val="4"/>
    <w:qFormat/>
    <w:uiPriority w:val="9"/>
    <w:rPr>
      <w:rFonts w:ascii="Times New Roman" w:hAnsi="Times New Roman" w:eastAsia="宋体" w:cs="仿宋"/>
      <w:b/>
      <w:bCs/>
      <w:sz w:val="30"/>
      <w:szCs w:val="32"/>
    </w:rPr>
  </w:style>
  <w:style w:type="character" w:customStyle="1" w:styleId="16">
    <w:name w:val="标题 字符"/>
    <w:basedOn w:val="12"/>
    <w:link w:val="10"/>
    <w:qFormat/>
    <w:uiPriority w:val="10"/>
    <w:rPr>
      <w:rFonts w:eastAsia="黑体" w:asciiTheme="majorHAnsi" w:hAnsiTheme="majorHAnsi" w:cstheme="majorBidi"/>
      <w:b/>
      <w:bCs/>
      <w:sz w:val="44"/>
      <w:szCs w:val="32"/>
    </w:rPr>
  </w:style>
  <w:style w:type="character" w:customStyle="1" w:styleId="17">
    <w:name w:val="标题 3 字符"/>
    <w:basedOn w:val="12"/>
    <w:link w:val="5"/>
    <w:qFormat/>
    <w:uiPriority w:val="9"/>
    <w:rPr>
      <w:rFonts w:ascii="Times New Roman" w:hAnsi="Times New Roman" w:eastAsia="宋体" w:cs="仿宋"/>
      <w:b/>
      <w:bCs/>
      <w:sz w:val="28"/>
      <w:szCs w:val="30"/>
    </w:rPr>
  </w:style>
  <w:style w:type="character" w:customStyle="1" w:styleId="18">
    <w:name w:val="页眉 字符"/>
    <w:basedOn w:val="12"/>
    <w:link w:val="8"/>
    <w:autoRedefine/>
    <w:qFormat/>
    <w:uiPriority w:val="99"/>
    <w:rPr>
      <w:rFonts w:eastAsia="楷体"/>
      <w:sz w:val="18"/>
      <w:szCs w:val="18"/>
    </w:rPr>
  </w:style>
  <w:style w:type="character" w:customStyle="1" w:styleId="19">
    <w:name w:val="页脚 字符"/>
    <w:basedOn w:val="12"/>
    <w:link w:val="7"/>
    <w:qFormat/>
    <w:uiPriority w:val="99"/>
    <w:rPr>
      <w:rFonts w:eastAsia="楷体"/>
      <w:sz w:val="18"/>
      <w:szCs w:val="18"/>
    </w:rPr>
  </w:style>
  <w:style w:type="character" w:customStyle="1" w:styleId="20">
    <w:name w:val="副标题 字符"/>
    <w:basedOn w:val="12"/>
    <w:link w:val="9"/>
    <w:qFormat/>
    <w:uiPriority w:val="11"/>
    <w:rPr>
      <w:b/>
      <w:bCs/>
      <w:kern w:val="28"/>
      <w:sz w:val="32"/>
      <w:szCs w:val="32"/>
    </w:rPr>
  </w:style>
  <w:style w:type="paragraph" w:styleId="21">
    <w:name w:val="List Paragraph"/>
    <w:basedOn w:val="1"/>
    <w:qFormat/>
    <w:uiPriority w:val="34"/>
    <w:pPr>
      <w:ind w:firstLine="420"/>
    </w:pPr>
  </w:style>
  <w:style w:type="paragraph" w:customStyle="1" w:styleId="22">
    <w:name w:val="可研-正文"/>
    <w:basedOn w:val="1"/>
    <w:qFormat/>
    <w:uiPriority w:val="0"/>
    <w:pPr>
      <w:adjustRightInd w:val="0"/>
      <w:snapToGrid w:val="0"/>
      <w:spacing w:line="360" w:lineRule="auto"/>
      <w:ind w:firstLine="200" w:firstLineChars="200"/>
    </w:pPr>
    <w:rPr>
      <w:rFonts w:ascii="Times New Roman" w:hAnsi="Times New Roman" w:eastAsia="宋体"/>
      <w:color w:val="000000"/>
      <w:sz w:val="28"/>
      <w:szCs w:val="28"/>
    </w:rPr>
  </w:style>
  <w:style w:type="paragraph" w:customStyle="1" w:styleId="23">
    <w:name w:val="ÕýÎÄ"/>
    <w:qFormat/>
    <w:uiPriority w:val="0"/>
    <w:pPr>
      <w:widowControl w:val="0"/>
      <w:overflowPunct w:val="0"/>
      <w:autoSpaceDE w:val="0"/>
      <w:autoSpaceDN w:val="0"/>
      <w:adjustRightInd w:val="0"/>
      <w:spacing w:line="357" w:lineRule="atLeast"/>
      <w:jc w:val="both"/>
      <w:textAlignment w:val="baseline"/>
    </w:pPr>
    <w:rPr>
      <w:rFonts w:ascii="Times New Roman" w:hAnsi="Times New Roman" w:eastAsia="宋体" w:cs="Times New Roman"/>
      <w:color w:val="000000"/>
      <w:sz w:val="21"/>
      <w:lang w:val="en-US" w:eastAsia="zh-CN" w:bidi="ar-SA"/>
    </w:rPr>
  </w:style>
  <w:style w:type="paragraph" w:customStyle="1" w:styleId="24">
    <w:name w:val="可研-兔头"/>
    <w:basedOn w:val="6"/>
    <w:next w:val="22"/>
    <w:qFormat/>
    <w:uiPriority w:val="0"/>
    <w:pPr>
      <w:numPr>
        <w:ilvl w:val="8"/>
        <w:numId w:val="1"/>
      </w:numPr>
      <w:adjustRightInd w:val="0"/>
      <w:snapToGrid w:val="0"/>
      <w:spacing w:line="360" w:lineRule="auto"/>
      <w:jc w:val="center"/>
    </w:pPr>
    <w:rPr>
      <w:rFonts w:ascii="Times New Roman" w:hAnsi="Times New Roman" w:eastAsia="宋体"/>
      <w:b/>
      <w:color w:val="000000"/>
      <w:sz w:val="24"/>
    </w:rPr>
  </w:style>
  <w:style w:type="paragraph" w:customStyle="1" w:styleId="25">
    <w:name w:val="可研-表头"/>
    <w:basedOn w:val="6"/>
    <w:next w:val="22"/>
    <w:qFormat/>
    <w:uiPriority w:val="0"/>
    <w:pPr>
      <w:numPr>
        <w:ilvl w:val="7"/>
        <w:numId w:val="1"/>
      </w:numPr>
      <w:adjustRightInd w:val="0"/>
      <w:snapToGrid w:val="0"/>
      <w:spacing w:line="360" w:lineRule="auto"/>
      <w:jc w:val="center"/>
    </w:pPr>
    <w:rPr>
      <w:rFonts w:ascii="Times New Roman" w:hAnsi="Times New Roman" w:eastAsia="宋体" w:cs="宋体"/>
      <w:b/>
      <w:color w:val="000000"/>
      <w:sz w:val="21"/>
      <w:szCs w:val="28"/>
    </w:rPr>
  </w:style>
</w:styles>
</file>

<file path=word/_rels/document.xml.rels><?xml version="1.0" encoding="UTF-8" standalone="yes"?>
<Relationships xmlns="http://schemas.openxmlformats.org/package/2006/relationships"><Relationship Id="rId9" Type="http://schemas.openxmlformats.org/officeDocument/2006/relationships/footer" Target="footer2.xml"/><Relationship Id="rId86" Type="http://schemas.openxmlformats.org/officeDocument/2006/relationships/fontTable" Target="fontTable.xml"/><Relationship Id="rId85" Type="http://schemas.openxmlformats.org/officeDocument/2006/relationships/customXml" Target="../customXml/item2.xml"/><Relationship Id="rId84" Type="http://schemas.openxmlformats.org/officeDocument/2006/relationships/numbering" Target="numbering.xml"/><Relationship Id="rId83" Type="http://schemas.openxmlformats.org/officeDocument/2006/relationships/customXml" Target="../customXml/item1.xml"/><Relationship Id="rId82" Type="http://schemas.openxmlformats.org/officeDocument/2006/relationships/image" Target="media/image61.png"/><Relationship Id="rId81" Type="http://schemas.openxmlformats.org/officeDocument/2006/relationships/image" Target="media/image60.png"/><Relationship Id="rId80" Type="http://schemas.openxmlformats.org/officeDocument/2006/relationships/image" Target="media/image59.png"/><Relationship Id="rId8" Type="http://schemas.openxmlformats.org/officeDocument/2006/relationships/footer" Target="footer1.xml"/><Relationship Id="rId79" Type="http://schemas.openxmlformats.org/officeDocument/2006/relationships/image" Target="media/image58.png"/><Relationship Id="rId78" Type="http://schemas.openxmlformats.org/officeDocument/2006/relationships/image" Target="media/image57.png"/><Relationship Id="rId77" Type="http://schemas.openxmlformats.org/officeDocument/2006/relationships/image" Target="media/image56.png"/><Relationship Id="rId76" Type="http://schemas.openxmlformats.org/officeDocument/2006/relationships/image" Target="media/image55.png"/><Relationship Id="rId75" Type="http://schemas.openxmlformats.org/officeDocument/2006/relationships/image" Target="media/image54.jpeg"/><Relationship Id="rId74" Type="http://schemas.openxmlformats.org/officeDocument/2006/relationships/image" Target="media/image53.png"/><Relationship Id="rId73" Type="http://schemas.openxmlformats.org/officeDocument/2006/relationships/image" Target="media/image52.png"/><Relationship Id="rId72" Type="http://schemas.openxmlformats.org/officeDocument/2006/relationships/image" Target="media/image51.png"/><Relationship Id="rId71" Type="http://schemas.openxmlformats.org/officeDocument/2006/relationships/image" Target="media/image50.png"/><Relationship Id="rId70" Type="http://schemas.openxmlformats.org/officeDocument/2006/relationships/image" Target="media/image49.png"/><Relationship Id="rId7" Type="http://schemas.openxmlformats.org/officeDocument/2006/relationships/header" Target="header3.xml"/><Relationship Id="rId69" Type="http://schemas.openxmlformats.org/officeDocument/2006/relationships/image" Target="media/image48.png"/><Relationship Id="rId68" Type="http://schemas.openxmlformats.org/officeDocument/2006/relationships/image" Target="media/image47.png"/><Relationship Id="rId67" Type="http://schemas.openxmlformats.org/officeDocument/2006/relationships/image" Target="media/image46.png"/><Relationship Id="rId66" Type="http://schemas.openxmlformats.org/officeDocument/2006/relationships/image" Target="media/image45.png"/><Relationship Id="rId65" Type="http://schemas.openxmlformats.org/officeDocument/2006/relationships/image" Target="media/image44.png"/><Relationship Id="rId64" Type="http://schemas.openxmlformats.org/officeDocument/2006/relationships/image" Target="media/image43.png"/><Relationship Id="rId63" Type="http://schemas.openxmlformats.org/officeDocument/2006/relationships/image" Target="media/image42.png"/><Relationship Id="rId62" Type="http://schemas.openxmlformats.org/officeDocument/2006/relationships/image" Target="media/image41.png"/><Relationship Id="rId61" Type="http://schemas.openxmlformats.org/officeDocument/2006/relationships/image" Target="media/image40.jpeg"/><Relationship Id="rId60" Type="http://schemas.openxmlformats.org/officeDocument/2006/relationships/image" Target="media/image39.png"/><Relationship Id="rId6" Type="http://schemas.openxmlformats.org/officeDocument/2006/relationships/header" Target="header2.xml"/><Relationship Id="rId59" Type="http://schemas.openxmlformats.org/officeDocument/2006/relationships/image" Target="media/image38.png"/><Relationship Id="rId58" Type="http://schemas.openxmlformats.org/officeDocument/2006/relationships/image" Target="media/image37.png"/><Relationship Id="rId57" Type="http://schemas.openxmlformats.org/officeDocument/2006/relationships/image" Target="media/image36.png"/><Relationship Id="rId56" Type="http://schemas.openxmlformats.org/officeDocument/2006/relationships/image" Target="media/image35.png"/><Relationship Id="rId55" Type="http://schemas.openxmlformats.org/officeDocument/2006/relationships/image" Target="media/image34.png"/><Relationship Id="rId54" Type="http://schemas.openxmlformats.org/officeDocument/2006/relationships/image" Target="media/image33.png"/><Relationship Id="rId53" Type="http://schemas.openxmlformats.org/officeDocument/2006/relationships/image" Target="media/image32.png"/><Relationship Id="rId52" Type="http://schemas.openxmlformats.org/officeDocument/2006/relationships/image" Target="media/image31.png"/><Relationship Id="rId51" Type="http://schemas.openxmlformats.org/officeDocument/2006/relationships/image" Target="media/image30.png"/><Relationship Id="rId50" Type="http://schemas.openxmlformats.org/officeDocument/2006/relationships/image" Target="media/image29.png"/><Relationship Id="rId5" Type="http://schemas.openxmlformats.org/officeDocument/2006/relationships/header" Target="header1.xml"/><Relationship Id="rId49" Type="http://schemas.openxmlformats.org/officeDocument/2006/relationships/image" Target="media/image28.png"/><Relationship Id="rId48" Type="http://schemas.openxmlformats.org/officeDocument/2006/relationships/image" Target="media/image27.png"/><Relationship Id="rId47" Type="http://schemas.openxmlformats.org/officeDocument/2006/relationships/image" Target="media/image26.png"/><Relationship Id="rId46" Type="http://schemas.openxmlformats.org/officeDocument/2006/relationships/image" Target="media/image25.png"/><Relationship Id="rId45" Type="http://schemas.openxmlformats.org/officeDocument/2006/relationships/image" Target="media/image24.png"/><Relationship Id="rId44" Type="http://schemas.openxmlformats.org/officeDocument/2006/relationships/image" Target="media/image23.png"/><Relationship Id="rId43" Type="http://schemas.openxmlformats.org/officeDocument/2006/relationships/image" Target="media/image22.png"/><Relationship Id="rId42" Type="http://schemas.openxmlformats.org/officeDocument/2006/relationships/image" Target="media/image21.png"/><Relationship Id="rId41" Type="http://schemas.openxmlformats.org/officeDocument/2006/relationships/image" Target="media/image20.png"/><Relationship Id="rId40" Type="http://schemas.openxmlformats.org/officeDocument/2006/relationships/image" Target="media/image19.png"/><Relationship Id="rId4" Type="http://schemas.openxmlformats.org/officeDocument/2006/relationships/endnotes" Target="endnotes.xml"/><Relationship Id="rId39" Type="http://schemas.openxmlformats.org/officeDocument/2006/relationships/image" Target="media/image18.jpeg"/><Relationship Id="rId38" Type="http://schemas.openxmlformats.org/officeDocument/2006/relationships/image" Target="media/image17.png"/><Relationship Id="rId37" Type="http://schemas.openxmlformats.org/officeDocument/2006/relationships/image" Target="media/image16.jpeg"/><Relationship Id="rId36" Type="http://schemas.openxmlformats.org/officeDocument/2006/relationships/image" Target="media/image15.png"/><Relationship Id="rId35" Type="http://schemas.openxmlformats.org/officeDocument/2006/relationships/image" Target="media/image14.png"/><Relationship Id="rId34" Type="http://schemas.openxmlformats.org/officeDocument/2006/relationships/image" Target="media/image13.jpeg"/><Relationship Id="rId33" Type="http://schemas.openxmlformats.org/officeDocument/2006/relationships/image" Target="media/image12.png"/><Relationship Id="rId32" Type="http://schemas.openxmlformats.org/officeDocument/2006/relationships/image" Target="media/image11.png"/><Relationship Id="rId31" Type="http://schemas.openxmlformats.org/officeDocument/2006/relationships/image" Target="media/image10.png"/><Relationship Id="rId30" Type="http://schemas.openxmlformats.org/officeDocument/2006/relationships/image" Target="media/image9.jpeg"/><Relationship Id="rId3" Type="http://schemas.openxmlformats.org/officeDocument/2006/relationships/footnotes" Target="footnotes.xml"/><Relationship Id="rId29" Type="http://schemas.openxmlformats.org/officeDocument/2006/relationships/image" Target="media/image8.png"/><Relationship Id="rId28" Type="http://schemas.openxmlformats.org/officeDocument/2006/relationships/image" Target="media/image7.png"/><Relationship Id="rId27" Type="http://schemas.openxmlformats.org/officeDocument/2006/relationships/image" Target="media/image6.png"/><Relationship Id="rId26" Type="http://schemas.openxmlformats.org/officeDocument/2006/relationships/image" Target="media/image5.png"/><Relationship Id="rId25" Type="http://schemas.microsoft.com/office/2007/relationships/diagramDrawing" Target="diagrams/drawing1.xml"/><Relationship Id="rId24" Type="http://schemas.openxmlformats.org/officeDocument/2006/relationships/diagramColors" Target="diagrams/colors1.xml"/><Relationship Id="rId23" Type="http://schemas.openxmlformats.org/officeDocument/2006/relationships/diagramQuickStyle" Target="diagrams/quickStyle1.xml"/><Relationship Id="rId22" Type="http://schemas.openxmlformats.org/officeDocument/2006/relationships/diagramLayout" Target="diagrams/layout1.xml"/><Relationship Id="rId21" Type="http://schemas.openxmlformats.org/officeDocument/2006/relationships/diagramData" Target="diagrams/data1.xml"/><Relationship Id="rId20" Type="http://schemas.openxmlformats.org/officeDocument/2006/relationships/image" Target="media/image4.png"/><Relationship Id="rId2" Type="http://schemas.openxmlformats.org/officeDocument/2006/relationships/settings" Target="settings.xml"/><Relationship Id="rId19" Type="http://schemas.openxmlformats.org/officeDocument/2006/relationships/image" Target="media/image3.jpeg"/><Relationship Id="rId18" Type="http://schemas.openxmlformats.org/officeDocument/2006/relationships/image" Target="media/image2.png"/><Relationship Id="rId17" Type="http://schemas.openxmlformats.org/officeDocument/2006/relationships/image" Target="media/image1.png"/><Relationship Id="rId16" Type="http://schemas.openxmlformats.org/officeDocument/2006/relationships/theme" Target="theme/theme1.xml"/><Relationship Id="rId15" Type="http://schemas.openxmlformats.org/officeDocument/2006/relationships/footer" Target="footer5.xml"/><Relationship Id="rId14" Type="http://schemas.openxmlformats.org/officeDocument/2006/relationships/footer" Target="footer4.xml"/><Relationship Id="rId13" Type="http://schemas.openxmlformats.org/officeDocument/2006/relationships/header" Target="header6.xml"/><Relationship Id="rId12" Type="http://schemas.openxmlformats.org/officeDocument/2006/relationships/header" Target="header5.xml"/><Relationship Id="rId11" Type="http://schemas.openxmlformats.org/officeDocument/2006/relationships/header" Target="header4.xml"/><Relationship Id="rId10" Type="http://schemas.openxmlformats.org/officeDocument/2006/relationships/footer" Target="footer3.xml"/><Relationship Id="rId1" Type="http://schemas.openxmlformats.org/officeDocument/2006/relationships/styles" Target="styles.xml"/></Relationships>
</file>

<file path=word/diagrams/colors1.xml><?xml version="1.0" encoding="utf-8"?>
<dgm:colorsDef xmlns:dgm="http://schemas.openxmlformats.org/drawingml/2006/diagram" xmlns:a="http://schemas.openxmlformats.org/drawingml/2006/main" uniqueId="urn:microsoft.com/office/officeart/2005/8/colors/accent1_2#1">
  <dgm:title val=""/>
  <dgm:desc val=""/>
  <dgm:catLst>
    <dgm:cat type="accent1" pri="11200"/>
  </dgm:catLst>
  <dgm:styleLbl name="alignAcc1">
    <dgm:fillClrLst meth="repeat">
      <a:srgbClr val="FFFFFF">
        <a:alpha val="90000"/>
      </a:srgbClr>
    </dgm:fillClrLst>
    <dgm:linClrLst meth="repeat">
      <a:srgbClr val="4F81BD"/>
    </dgm:linClrLst>
    <dgm:effectClrLst/>
    <dgm:txLinClrLst/>
    <dgm:txFillClrLst meth="repeat">
      <a:srgbClr val="000000"/>
    </dgm:txFillClrLst>
    <dgm:txEffectClrLst/>
  </dgm:styleLbl>
  <dgm:styleLbl name="alignAccFollowNode1">
    <dgm:fillClrLst meth="repeat">
      <a:srgbClr val="D0D8E8">
        <a:alpha val="90000"/>
        <a:tint val="40000"/>
      </a:srgbClr>
    </dgm:fillClrLst>
    <dgm:linClrLst meth="repeat">
      <a:srgbClr val="D0D8E8">
        <a:alpha val="90000"/>
        <a:tint val="40000"/>
      </a:srgbClr>
    </dgm:linClrLst>
    <dgm:effectClrLst/>
    <dgm:txLinClrLst/>
    <dgm:txFillClrLst meth="repeat">
      <a:srgbClr val="000000"/>
    </dgm:txFillClrLst>
    <dgm:txEffectClrLst/>
  </dgm:styleLbl>
  <dgm:styleLbl name="alignImgPlace1">
    <dgm:fillClrLst meth="repeat">
      <a:srgbClr val="C2CDE1">
        <a:tint val="50000"/>
      </a:srgbClr>
    </dgm:fillClrLst>
    <dgm:linClrLst meth="repeat">
      <a:srgbClr val="FFFFFF"/>
    </dgm:linClrLst>
    <dgm:effectClrLst/>
    <dgm:txLinClrLst/>
    <dgm:txFillClrLst meth="repeat">
      <a:srgbClr val="FFFFFF"/>
    </dgm:txFillClrLst>
    <dgm:txEffectClrLst/>
  </dgm:styleLbl>
  <dgm:styleLbl name="alignNode1">
    <dgm:fillClrLst meth="repeat">
      <a:srgbClr val="4F81BD"/>
    </dgm:fillClrLst>
    <dgm:linClrLst meth="repeat">
      <a:srgbClr val="4F81BD"/>
    </dgm:linClrLst>
    <dgm:effectClrLst/>
    <dgm:txLinClrLst/>
    <dgm:txFillClrLst/>
    <dgm:txEffectClrLst/>
  </dgm:styleLbl>
  <dgm:styleLbl name="asst0">
    <dgm:fillClrLst meth="repeat">
      <a:srgbClr val="4F81BD"/>
    </dgm:fillClrLst>
    <dgm:linClrLst meth="repeat">
      <a:srgbClr val="FFFFFF"/>
    </dgm:linClrLst>
    <dgm:effectClrLst/>
    <dgm:txLinClrLst/>
    <dgm:txFillClrLst/>
    <dgm:txEffectClrLst/>
  </dgm:styleLbl>
  <dgm:styleLbl name="asst1">
    <dgm:fillClrLst meth="repeat">
      <a:srgbClr val="4F81BD"/>
    </dgm:fillClrLst>
    <dgm:linClrLst meth="repeat">
      <a:srgbClr val="FFFFFF"/>
    </dgm:linClrLst>
    <dgm:effectClrLst/>
    <dgm:txLinClrLst/>
    <dgm:txFillClrLst/>
    <dgm:txEffectClrLst/>
  </dgm:styleLbl>
  <dgm:styleLbl name="asst2">
    <dgm:fillClrLst meth="repeat">
      <a:srgbClr val="4F81BD"/>
    </dgm:fillClrLst>
    <dgm:linClrLst meth="repeat">
      <a:srgbClr val="FFFFFF"/>
    </dgm:linClrLst>
    <dgm:effectClrLst/>
    <dgm:txLinClrLst/>
    <dgm:txFillClrLst/>
    <dgm:txEffectClrLst/>
  </dgm:styleLbl>
  <dgm:styleLbl name="asst3">
    <dgm:fillClrLst meth="repeat">
      <a:srgbClr val="4F81BD"/>
    </dgm:fillClrLst>
    <dgm:linClrLst meth="repeat">
      <a:srgbClr val="FFFFFF"/>
    </dgm:linClrLst>
    <dgm:effectClrLst/>
    <dgm:txLinClrLst/>
    <dgm:txFillClrLst/>
    <dgm:txEffectClrLst/>
  </dgm:styleLbl>
  <dgm:styleLbl name="asst4">
    <dgm:fillClrLst meth="repeat">
      <a:srgbClr val="4F81BD"/>
    </dgm:fillClrLst>
    <dgm:linClrLst meth="repeat">
      <a:srgbClr val="FFFFFF"/>
    </dgm:linClrLst>
    <dgm:effectClrLst/>
    <dgm:txLinClrLst/>
    <dgm:txFillClrLst/>
    <dgm:txEffectClrLst/>
  </dgm:styleLbl>
  <dgm:styleLbl name="bgAcc1">
    <dgm:fillClrLst meth="repeat">
      <a:srgbClr val="FFFFFF">
        <a:alpha val="90000"/>
      </a:srgbClr>
    </dgm:fillClrLst>
    <dgm:linClrLst meth="repeat">
      <a:srgbClr val="4F81BD"/>
    </dgm:linClrLst>
    <dgm:effectClrLst/>
    <dgm:txLinClrLst/>
    <dgm:txFillClrLst meth="repeat">
      <a:srgbClr val="000000"/>
    </dgm:txFillClrLst>
    <dgm:txEffectClrLst/>
  </dgm:styleLbl>
  <dgm:styleLbl name="bgAccFollowNode1">
    <dgm:fillClrLst meth="repeat">
      <a:srgbClr val="D0D8E8">
        <a:alpha val="90000"/>
        <a:tint val="40000"/>
      </a:srgbClr>
    </dgm:fillClrLst>
    <dgm:linClrLst meth="repeat">
      <a:srgbClr val="D0D8E8">
        <a:alpha val="90000"/>
        <a:tint val="40000"/>
      </a:srgbClr>
    </dgm:linClrLst>
    <dgm:effectClrLst/>
    <dgm:txLinClrLst/>
    <dgm:txFillClrLst meth="repeat">
      <a:srgbClr val="000000"/>
    </dgm:txFillClrLst>
    <dgm:txEffectClrLst/>
  </dgm:styleLbl>
  <dgm:styleLbl name="bgImgPlace1">
    <dgm:fillClrLst meth="repeat">
      <a:srgbClr val="C2CDE1">
        <a:tint val="50000"/>
      </a:srgbClr>
    </dgm:fillClrLst>
    <dgm:linClrLst meth="repeat">
      <a:srgbClr val="FFFFFF"/>
    </dgm:linClrLst>
    <dgm:effectClrLst/>
    <dgm:txLinClrLst/>
    <dgm:txFillClrLst meth="repeat">
      <a:srgbClr val="FFFFFF"/>
    </dgm:txFillClrLst>
    <dgm:txEffectClrLst/>
  </dgm:styleLbl>
  <dgm:styleLbl name="bgShp">
    <dgm:fillClrLst meth="repeat">
      <a:srgbClr val="D0D8E8">
        <a:tint val="40000"/>
      </a:srgbClr>
    </dgm:fillClrLst>
    <dgm:linClrLst meth="repeat">
      <a:srgbClr val="4F81BD"/>
    </dgm:linClrLst>
    <dgm:effectClrLst/>
    <dgm:txLinClrLst/>
    <dgm:txFillClrLst meth="repeat">
      <a:srgbClr val="000000"/>
    </dgm:txFillClrLst>
    <dgm:txEffectClrLst/>
  </dgm:styleLbl>
  <dgm:styleLbl name="bgSibTrans2D1">
    <dgm:fillClrLst meth="repeat">
      <a:srgbClr val="B2C1DB">
        <a:tint val="60000"/>
      </a:srgbClr>
    </dgm:fillClrLst>
    <dgm:linClrLst meth="repeat">
      <a:srgbClr val="B2C1DB">
        <a:tint val="60000"/>
      </a:srgbClr>
    </dgm:linClrLst>
    <dgm:effectClrLst/>
    <dgm:txLinClrLst/>
    <dgm:txFillClrLst/>
    <dgm:txEffectClrLst/>
  </dgm:styleLbl>
  <dgm:styleLbl name="callout">
    <dgm:fillClrLst meth="repeat">
      <a:srgbClr val="4F81BD"/>
    </dgm:fillClrLst>
    <dgm:linClrLst meth="repeat">
      <a:srgbClr val="C2CDE1">
        <a:tint val="50000"/>
      </a:srgbClr>
    </dgm:linClrLst>
    <dgm:effectClrLst/>
    <dgm:txLinClrLst/>
    <dgm:txFillClrLst meth="repeat">
      <a:srgbClr val="000000"/>
    </dgm:txFillClrLst>
    <dgm:txEffectClrLst/>
  </dgm:styleLbl>
  <dgm:styleLbl name="conFgAcc1">
    <dgm:fillClrLst meth="repeat">
      <a:srgbClr val="FFFFFF">
        <a:alpha val="90000"/>
      </a:srgbClr>
    </dgm:fillClrLst>
    <dgm:linClrLst meth="repeat">
      <a:srgbClr val="4F81BD"/>
    </dgm:linClrLst>
    <dgm:effectClrLst/>
    <dgm:txLinClrLst/>
    <dgm:txFillClrLst meth="repeat">
      <a:srgbClr val="000000"/>
    </dgm:txFillClrLst>
    <dgm:txEffectClrLst/>
  </dgm:styleLbl>
  <dgm:styleLbl name="dkBgShp">
    <dgm:fillClrLst meth="repeat">
      <a:srgbClr val="4774AB">
        <a:shade val="80000"/>
      </a:srgbClr>
    </dgm:fillClrLst>
    <dgm:linClrLst meth="repeat">
      <a:srgbClr val="4F81BD"/>
    </dgm:linClrLst>
    <dgm:effectClrLst/>
    <dgm:txLinClrLst/>
    <dgm:txFillClrLst meth="repeat">
      <a:srgbClr val="FFFFFF"/>
    </dgm:txFillClrLst>
    <dgm:txEffectClrLst/>
  </dgm:styleLbl>
  <dgm:styleLbl name="fgAcc0">
    <dgm:fillClrLst meth="repeat">
      <a:srgbClr val="FFFFFF">
        <a:alpha val="90000"/>
      </a:srgbClr>
    </dgm:fillClrLst>
    <dgm:linClrLst meth="repeat">
      <a:srgbClr val="4F81BD"/>
    </dgm:linClrLst>
    <dgm:effectClrLst/>
    <dgm:txLinClrLst/>
    <dgm:txFillClrLst meth="repeat">
      <a:srgbClr val="000000"/>
    </dgm:txFillClrLst>
    <dgm:txEffectClrLst/>
  </dgm:styleLbl>
  <dgm:styleLbl name="fgAcc1">
    <dgm:fillClrLst meth="repeat">
      <a:srgbClr val="FFFFFF">
        <a:alpha val="90000"/>
      </a:srgbClr>
    </dgm:fillClrLst>
    <dgm:linClrLst meth="repeat">
      <a:srgbClr val="4F81BD"/>
    </dgm:linClrLst>
    <dgm:effectClrLst/>
    <dgm:txLinClrLst/>
    <dgm:txFillClrLst meth="repeat">
      <a:srgbClr val="000000"/>
    </dgm:txFillClrLst>
    <dgm:txEffectClrLst/>
  </dgm:styleLbl>
  <dgm:styleLbl name="fgAcc2">
    <dgm:fillClrLst meth="repeat">
      <a:srgbClr val="FFFFFF">
        <a:alpha val="90000"/>
      </a:srgbClr>
    </dgm:fillClrLst>
    <dgm:linClrLst meth="repeat">
      <a:srgbClr val="4F81BD"/>
    </dgm:linClrLst>
    <dgm:effectClrLst/>
    <dgm:txLinClrLst/>
    <dgm:txFillClrLst meth="repeat">
      <a:srgbClr val="000000"/>
    </dgm:txFillClrLst>
    <dgm:txEffectClrLst/>
  </dgm:styleLbl>
  <dgm:styleLbl name="fgAcc3">
    <dgm:fillClrLst meth="repeat">
      <a:srgbClr val="FFFFFF">
        <a:alpha val="90000"/>
      </a:srgbClr>
    </dgm:fillClrLst>
    <dgm:linClrLst meth="repeat">
      <a:srgbClr val="4F81BD"/>
    </dgm:linClrLst>
    <dgm:effectClrLst/>
    <dgm:txLinClrLst/>
    <dgm:txFillClrLst meth="repeat">
      <a:srgbClr val="000000"/>
    </dgm:txFillClrLst>
    <dgm:txEffectClrLst/>
  </dgm:styleLbl>
  <dgm:styleLbl name="fgAcc4">
    <dgm:fillClrLst meth="repeat">
      <a:srgbClr val="FFFFFF">
        <a:alpha val="90000"/>
      </a:srgbClr>
    </dgm:fillClrLst>
    <dgm:linClrLst meth="repeat">
      <a:srgbClr val="4F81BD"/>
    </dgm:linClrLst>
    <dgm:effectClrLst/>
    <dgm:txLinClrLst/>
    <dgm:txFillClrLst meth="repeat">
      <a:srgbClr val="000000"/>
    </dgm:txFillClrLst>
    <dgm:txEffectClrLst/>
  </dgm:styleLbl>
  <dgm:styleLbl name="fgAccFollowNode1">
    <dgm:fillClrLst meth="repeat">
      <a:srgbClr val="D0D8E8">
        <a:alpha val="90000"/>
        <a:tint val="40000"/>
      </a:srgbClr>
    </dgm:fillClrLst>
    <dgm:linClrLst meth="repeat">
      <a:srgbClr val="D0D8E8">
        <a:alpha val="90000"/>
        <a:tint val="40000"/>
      </a:srgbClr>
    </dgm:linClrLst>
    <dgm:effectClrLst/>
    <dgm:txLinClrLst/>
    <dgm:txFillClrLst meth="repeat">
      <a:srgbClr val="000000"/>
    </dgm:txFillClrLst>
    <dgm:txEffectClrLst/>
  </dgm:styleLbl>
  <dgm:styleLbl name="fgImgPlace1">
    <dgm:fillClrLst meth="repeat">
      <a:srgbClr val="C2CDE1">
        <a:tint val="50000"/>
      </a:srgbClr>
    </dgm:fillClrLst>
    <dgm:linClrLst meth="repeat">
      <a:srgbClr val="FFFFFF"/>
    </dgm:linClrLst>
    <dgm:effectClrLst/>
    <dgm:txLinClrLst/>
    <dgm:txFillClrLst meth="repeat">
      <a:srgbClr val="FFFFFF"/>
    </dgm:txFillClrLst>
    <dgm:txEffectClrLst/>
  </dgm:styleLbl>
  <dgm:styleLbl name="fgShp">
    <dgm:fillClrLst meth="repeat">
      <a:srgbClr val="B2C1DB">
        <a:tint val="60000"/>
      </a:srgbClr>
    </dgm:fillClrLst>
    <dgm:linClrLst meth="repeat">
      <a:srgbClr val="FFFFFF"/>
    </dgm:linClrLst>
    <dgm:effectClrLst/>
    <dgm:txLinClrLst/>
    <dgm:txFillClrLst meth="repeat">
      <a:srgbClr val="000000"/>
    </dgm:txFillClrLst>
    <dgm:txEffectClrLst/>
  </dgm:styleLbl>
  <dgm:styleLbl name="fgSibTrans2D1">
    <dgm:fillClrLst meth="repeat">
      <a:srgbClr val="B2C1DB">
        <a:tint val="60000"/>
      </a:srgbClr>
    </dgm:fillClrLst>
    <dgm:linClrLst meth="repeat">
      <a:srgbClr val="B2C1DB">
        <a:tint val="60000"/>
      </a:srgbClr>
    </dgm:linClrLst>
    <dgm:effectClrLst/>
    <dgm:txLinClrLst/>
    <dgm:txFillClrLst/>
    <dgm:txEffectClrLst/>
  </dgm:styleLbl>
  <dgm:styleLbl name="lnNode1">
    <dgm:fillClrLst meth="repeat">
      <a:srgbClr val="4F81BD"/>
    </dgm:fillClrLst>
    <dgm:linClrLst meth="repeat">
      <a:srgbClr val="FFFFFF"/>
    </dgm:linClrLst>
    <dgm:effectClrLst/>
    <dgm:txLinClrLst/>
    <dgm:txFillClrLst/>
    <dgm:txEffectClrLst/>
  </dgm:styleLbl>
  <dgm:styleLbl name="node0">
    <dgm:fillClrLst meth="repeat">
      <a:srgbClr val="4F81BD"/>
    </dgm:fillClrLst>
    <dgm:linClrLst meth="repeat">
      <a:srgbClr val="FFFFFF"/>
    </dgm:linClrLst>
    <dgm:effectClrLst/>
    <dgm:txLinClrLst/>
    <dgm:txFillClrLst/>
    <dgm:txEffectClrLst/>
  </dgm:styleLbl>
  <dgm:styleLbl name="node1">
    <dgm:fillClrLst meth="repeat">
      <a:srgbClr val="4F81BD"/>
    </dgm:fillClrLst>
    <dgm:linClrLst meth="repeat">
      <a:srgbClr val="FFFFFF"/>
    </dgm:linClrLst>
    <dgm:effectClrLst/>
    <dgm:txLinClrLst/>
    <dgm:txFillClrLst/>
    <dgm:txEffectClrLst/>
  </dgm:styleLbl>
  <dgm:styleLbl name="node2">
    <dgm:fillClrLst meth="repeat">
      <a:srgbClr val="4F81BD"/>
    </dgm:fillClrLst>
    <dgm:linClrLst meth="repeat">
      <a:srgbClr val="FFFFFF"/>
    </dgm:linClrLst>
    <dgm:effectClrLst/>
    <dgm:txLinClrLst/>
    <dgm:txFillClrLst/>
    <dgm:txEffectClrLst/>
  </dgm:styleLbl>
  <dgm:styleLbl name="node3">
    <dgm:fillClrLst meth="repeat">
      <a:srgbClr val="4F81BD"/>
    </dgm:fillClrLst>
    <dgm:linClrLst meth="repeat">
      <a:srgbClr val="FFFFFF"/>
    </dgm:linClrLst>
    <dgm:effectClrLst/>
    <dgm:txLinClrLst/>
    <dgm:txFillClrLst/>
    <dgm:txEffectClrLst/>
  </dgm:styleLbl>
  <dgm:styleLbl name="node4">
    <dgm:fillClrLst meth="repeat">
      <a:srgbClr val="4F81BD"/>
    </dgm:fillClrLst>
    <dgm:linClrLst meth="repeat">
      <a:srgbClr val="FFFFFF"/>
    </dgm:linClrLst>
    <dgm:effectClrLst/>
    <dgm:txLinClrLst/>
    <dgm:txFillClrLst/>
    <dgm:txEffectClrLst/>
  </dgm:styleLbl>
  <dgm:styleLbl name="parChTrans1D1">
    <dgm:fillClrLst meth="repeat">
      <a:srgbClr val="4F81BD"/>
    </dgm:fillClrLst>
    <dgm:linClrLst meth="repeat">
      <a:srgbClr val="3D6696">
        <a:shade val="60000"/>
      </a:srgbClr>
    </dgm:linClrLst>
    <dgm:effectClrLst/>
    <dgm:txLinClrLst/>
    <dgm:txFillClrLst meth="repeat">
      <a:srgbClr val="000000"/>
    </dgm:txFillClrLst>
    <dgm:txEffectClrLst/>
  </dgm:styleLbl>
  <dgm:styleLbl name="parChTrans1D2">
    <dgm:fillClrLst meth="repeat">
      <a:srgbClr val="4F81BD"/>
    </dgm:fillClrLst>
    <dgm:linClrLst meth="repeat">
      <a:srgbClr val="3D6696">
        <a:shade val="60000"/>
      </a:srgbClr>
    </dgm:linClrLst>
    <dgm:effectClrLst/>
    <dgm:txLinClrLst/>
    <dgm:txFillClrLst meth="repeat">
      <a:srgbClr val="000000"/>
    </dgm:txFillClrLst>
    <dgm:txEffectClrLst/>
  </dgm:styleLbl>
  <dgm:styleLbl name="parChTrans1D3">
    <dgm:fillClrLst meth="repeat">
      <a:srgbClr val="4F81BD"/>
    </dgm:fillClrLst>
    <dgm:linClrLst meth="repeat">
      <a:srgbClr val="4774AB">
        <a:shade val="80000"/>
      </a:srgbClr>
    </dgm:linClrLst>
    <dgm:effectClrLst/>
    <dgm:txLinClrLst/>
    <dgm:txFillClrLst meth="repeat">
      <a:srgbClr val="000000"/>
    </dgm:txFillClrLst>
    <dgm:txEffectClrLst/>
  </dgm:styleLbl>
  <dgm:styleLbl name="parChTrans1D4">
    <dgm:fillClrLst meth="repeat">
      <a:srgbClr val="4F81BD"/>
    </dgm:fillClrLst>
    <dgm:linClrLst meth="repeat">
      <a:srgbClr val="4774AB">
        <a:shade val="80000"/>
      </a:srgbClr>
    </dgm:linClrLst>
    <dgm:effectClrLst/>
    <dgm:txLinClrLst/>
    <dgm:txFillClrLst meth="repeat">
      <a:srgbClr val="000000"/>
    </dgm:txFillClrLst>
    <dgm:txEffectClrLst/>
  </dgm:styleLbl>
  <dgm:styleLbl name="parChTrans2D1">
    <dgm:fillClrLst meth="repeat">
      <a:srgbClr val="B2C1DB">
        <a:tint val="60000"/>
      </a:srgbClr>
    </dgm:fillClrLst>
    <dgm:linClrLst meth="repeat">
      <a:srgbClr val="B2C1DB">
        <a:tint val="60000"/>
      </a:srgbClr>
    </dgm:linClrLst>
    <dgm:effectClrLst/>
    <dgm:txLinClrLst/>
    <dgm:txFillClrLst meth="repeat">
      <a:srgbClr val="FFFFFF"/>
    </dgm:txFillClrLst>
    <dgm:txEffectClrLst/>
  </dgm:styleLbl>
  <dgm:styleLbl name="parChTrans2D2">
    <dgm:fillClrLst meth="repeat">
      <a:srgbClr val="4F81BD"/>
    </dgm:fillClrLst>
    <dgm:linClrLst meth="repeat">
      <a:srgbClr val="4F81BD"/>
    </dgm:linClrLst>
    <dgm:effectClrLst/>
    <dgm:txLinClrLst/>
    <dgm:txFillClrLst meth="repeat">
      <a:srgbClr val="FFFFFF"/>
    </dgm:txFillClrLst>
    <dgm:txEffectClrLst/>
  </dgm:styleLbl>
  <dgm:styleLbl name="parChTrans2D3">
    <dgm:fillClrLst meth="repeat">
      <a:srgbClr val="4F81BD"/>
    </dgm:fillClrLst>
    <dgm:linClrLst meth="repeat">
      <a:srgbClr val="4F81BD"/>
    </dgm:linClrLst>
    <dgm:effectClrLst/>
    <dgm:txLinClrLst/>
    <dgm:txFillClrLst meth="repeat">
      <a:srgbClr val="FFFFFF"/>
    </dgm:txFillClrLst>
    <dgm:txEffectClrLst/>
  </dgm:styleLbl>
  <dgm:styleLbl name="parChTrans2D4">
    <dgm:fillClrLst meth="repeat">
      <a:srgbClr val="4F81BD"/>
    </dgm:fillClrLst>
    <dgm:linClrLst meth="repeat">
      <a:srgbClr val="4F81BD"/>
    </dgm:linClrLst>
    <dgm:effectClrLst/>
    <dgm:txLinClrLst/>
    <dgm:txFillClrLst meth="repeat">
      <a:srgbClr val="FFFFFF"/>
    </dgm:txFillClrLst>
    <dgm:txEffectClrLst/>
  </dgm:styleLbl>
  <dgm:styleLbl name="revTx">
    <dgm:fillClrLst meth="repeat">
      <a:srgbClr val="FFFFFF">
        <a:alpha val="0"/>
      </a:srgbClr>
    </dgm:fillClrLst>
    <dgm:linClrLst meth="repeat">
      <a:srgbClr val="000000">
        <a:alpha val="0"/>
      </a:srgbClr>
    </dgm:linClrLst>
    <dgm:effectClrLst/>
    <dgm:txLinClrLst/>
    <dgm:txFillClrLst meth="repeat">
      <a:srgbClr val="000000"/>
    </dgm:txFillClrLst>
    <dgm:txEffectClrLst/>
  </dgm:styleLbl>
  <dgm:styleLbl name="sibTrans1D1">
    <dgm:fillClrLst meth="repeat">
      <a:srgbClr val="4F81BD"/>
    </dgm:fillClrLst>
    <dgm:linClrLst meth="repeat">
      <a:srgbClr val="4F81BD"/>
    </dgm:linClrLst>
    <dgm:effectClrLst/>
    <dgm:txLinClrLst/>
    <dgm:txFillClrLst meth="repeat">
      <a:srgbClr val="000000"/>
    </dgm:txFillClrLst>
    <dgm:txEffectClrLst/>
  </dgm:styleLbl>
  <dgm:styleLbl name="sibTrans2D1">
    <dgm:fillClrLst meth="repeat">
      <a:srgbClr val="B2C1DB">
        <a:tint val="60000"/>
      </a:srgbClr>
    </dgm:fillClrLst>
    <dgm:linClrLst meth="repeat">
      <a:srgbClr val="B2C1DB">
        <a:tint val="60000"/>
      </a:srgbClr>
    </dgm:linClrLst>
    <dgm:effectClrLst/>
    <dgm:txLinClrLst/>
    <dgm:txFillClrLst/>
    <dgm:txEffectClrLst/>
  </dgm:styleLbl>
  <dgm:styleLbl name="solidAlignAcc1">
    <dgm:fillClrLst meth="repeat">
      <a:srgbClr val="FFFFFF"/>
    </dgm:fillClrLst>
    <dgm:linClrLst meth="repeat">
      <a:srgbClr val="4F81BD"/>
    </dgm:linClrLst>
    <dgm:effectClrLst/>
    <dgm:txLinClrLst/>
    <dgm:txFillClrLst meth="repeat">
      <a:srgbClr val="000000"/>
    </dgm:txFillClrLst>
    <dgm:txEffectClrLst/>
  </dgm:styleLbl>
  <dgm:styleLbl name="solidBgAcc1">
    <dgm:fillClrLst meth="repeat">
      <a:srgbClr val="FFFFFF"/>
    </dgm:fillClrLst>
    <dgm:linClrLst meth="repeat">
      <a:srgbClr val="4F81BD"/>
    </dgm:linClrLst>
    <dgm:effectClrLst/>
    <dgm:txLinClrLst/>
    <dgm:txFillClrLst meth="repeat">
      <a:srgbClr val="000000"/>
    </dgm:txFillClrLst>
    <dgm:txEffectClrLst/>
  </dgm:styleLbl>
  <dgm:styleLbl name="solidFgAcc1">
    <dgm:fillClrLst meth="repeat">
      <a:srgbClr val="FFFFFF"/>
    </dgm:fillClrLst>
    <dgm:linClrLst meth="repeat">
      <a:srgbClr val="4F81BD"/>
    </dgm:linClrLst>
    <dgm:effectClrLst/>
    <dgm:txLinClrLst/>
    <dgm:txFillClrLst meth="repeat">
      <a:srgbClr val="000000"/>
    </dgm:txFillClrLst>
    <dgm:txEffectClrLst/>
  </dgm:styleLbl>
  <dgm:styleLbl name="trAlignAcc1">
    <dgm:fillClrLst meth="repeat">
      <a:srgbClr val="FFFFFF">
        <a:alpha val="40000"/>
      </a:srgbClr>
    </dgm:fillClrLst>
    <dgm:linClrLst meth="repeat">
      <a:srgbClr val="4F81BD"/>
    </dgm:linClrLst>
    <dgm:effectClrLst/>
    <dgm:txLinClrLst/>
    <dgm:txFillClrLst meth="repeat">
      <a:srgbClr val="000000"/>
    </dgm:txFillClrLst>
    <dgm:txEffectClrLst/>
  </dgm:styleLbl>
  <dgm:styleLbl name="trBgShp">
    <dgm:fillClrLst meth="repeat">
      <a:srgbClr val="C2CDE1">
        <a:tint val="50000"/>
        <a:alpha val="40000"/>
      </a:srgbClr>
    </dgm:fillClrLst>
    <dgm:linClrLst meth="repeat">
      <a:srgbClr val="4F81BD"/>
    </dgm:linClrLst>
    <dgm:effectClrLst/>
    <dgm:txLinClrLst/>
    <dgm:txFillClrLst meth="repeat">
      <a:srgbClr val="FFFFFF"/>
    </dgm:txFillClrLst>
    <dgm:txEffectClrLst/>
  </dgm:styleLbl>
  <dgm:styleLbl name="vennNode1">
    <dgm:fillClrLst meth="repeat">
      <a:srgbClr val="4F81BD">
        <a:alpha val="50000"/>
      </a:srgbClr>
    </dgm:fillClrLst>
    <dgm:linClrLst meth="repeat">
      <a:srgbClr val="FFFFFF"/>
    </dgm:linClrLst>
    <dgm:effectClrLst/>
    <dgm:txLinClrLst/>
    <dgm:txFillClrLst/>
    <dgm:txEffectClrLst/>
  </dgm:styleLbl>
</dgm:colorsDef>
</file>

<file path=word/diagrams/data1.xml><?xml version="1.0" encoding="utf-8"?>
<dgm:dataModel xmlns:dgm="http://schemas.openxmlformats.org/drawingml/2006/diagram" xmlns:a="http://schemas.openxmlformats.org/drawingml/2006/main">
  <dgm:ptLst>
    <dgm:pt modelId="{05A12E61-D0BE-4A37-BD44-78771E6444B9}" type="doc">
      <dgm:prSet loTypeId="urn:microsoft.com/office/officeart/2005/8/layout/process1" loCatId="process" qsTypeId="urn:microsoft.com/office/officeart/2005/8/quickstyle/simple3#1" qsCatId="simple" csTypeId="urn:microsoft.com/office/officeart/2005/8/colors/accent1_2#1" csCatId="accent1" phldr="1"/>
      <dgm:spPr/>
    </dgm:pt>
    <dgm:pt modelId="{701964FE-40CA-4095-B91E-46B391172599}">
      <dgm:prSet phldrT="[文本]"/>
      <dgm:spPr>
        <a:xfrm>
          <a:off x="2015" y="7244"/>
          <a:ext cx="881386" cy="776721"/>
        </a:xfrm>
        <a:prstGeom prst="roundRect">
          <a:avLst>
            <a:gd name="adj" fmla="val 10000"/>
          </a:avLst>
        </a:prstGeom>
        <a:gradFill rotWithShape="0">
          <a:gsLst>
            <a:gs pos="0">
              <a:srgbClr val="4F81BD">
                <a:hueOff val="0"/>
                <a:satOff val="0"/>
                <a:lumOff val="0"/>
                <a:alphaOff val="0"/>
                <a:tint val="50000"/>
                <a:satMod val="300000"/>
              </a:srgbClr>
            </a:gs>
            <a:gs pos="35000">
              <a:srgbClr val="4F81BD">
                <a:hueOff val="0"/>
                <a:satOff val="0"/>
                <a:lumOff val="0"/>
                <a:alphaOff val="0"/>
                <a:tint val="37000"/>
                <a:satMod val="300000"/>
              </a:srgbClr>
            </a:gs>
            <a:gs pos="100000">
              <a:srgbClr val="4F81BD">
                <a:hueOff val="0"/>
                <a:satOff val="0"/>
                <a:lumOff val="0"/>
                <a:alphaOff val="0"/>
                <a:tint val="15000"/>
                <a:satMod val="350000"/>
              </a:srgb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gm:spPr>
      <dgm:t>
        <a:bodyPr/>
        <a:p>
          <a:pPr>
            <a:buNone/>
          </a:pPr>
          <a:r>
            <a:rPr lang="zh-CN" altLang="en-US" dirty="0">
              <a:solidFill>
                <a:sysClr val="windowText" lastClr="000000"/>
              </a:solidFill>
              <a:latin typeface="Calibri" panose="020F0502020204030204"/>
              <a:ea typeface="宋体" panose="02010600030101010101" charset="-122"/>
              <a:cs typeface="+mn-cs"/>
            </a:rPr>
            <a:t>进站</a:t>
          </a:r>
        </a:p>
      </dgm:t>
    </dgm:pt>
    <dgm:pt modelId="{859B5159-819E-4088-B656-93711B384E9F}" cxnId="{627EFA71-0A97-409F-A160-42A1181316F8}" type="parTrans">
      <dgm:prSet/>
      <dgm:spPr/>
      <dgm:t>
        <a:bodyPr/>
        <a:p>
          <a:endParaRPr lang="zh-CN" altLang="en-US"/>
        </a:p>
      </dgm:t>
    </dgm:pt>
    <dgm:pt modelId="{6AFE35CE-FE6A-4F5C-A519-D7B82839A627}" cxnId="{627EFA71-0A97-409F-A160-42A1181316F8}" type="sibTrans">
      <dgm:prSet/>
      <dgm:spPr>
        <a:xfrm>
          <a:off x="971540" y="286313"/>
          <a:ext cx="186853" cy="218583"/>
        </a:xfrm>
        <a:prstGeom prst="rightArrow">
          <a:avLst>
            <a:gd name="adj1" fmla="val 60000"/>
            <a:gd name="adj2" fmla="val 50000"/>
          </a:avLst>
        </a:prstGeom>
        <a:gradFill rotWithShape="0">
          <a:gsLst>
            <a:gs pos="0">
              <a:srgbClr val="4F81BD">
                <a:tint val="60000"/>
                <a:hueOff val="0"/>
                <a:satOff val="0"/>
                <a:lumOff val="0"/>
                <a:alphaOff val="0"/>
                <a:tint val="50000"/>
                <a:satMod val="300000"/>
              </a:srgbClr>
            </a:gs>
            <a:gs pos="35000">
              <a:srgbClr val="4F81BD">
                <a:tint val="60000"/>
                <a:hueOff val="0"/>
                <a:satOff val="0"/>
                <a:lumOff val="0"/>
                <a:alphaOff val="0"/>
                <a:tint val="37000"/>
                <a:satMod val="300000"/>
              </a:srgbClr>
            </a:gs>
            <a:gs pos="100000">
              <a:srgbClr val="4F81BD">
                <a:tint val="60000"/>
                <a:hueOff val="0"/>
                <a:satOff val="0"/>
                <a:lumOff val="0"/>
                <a:alphaOff val="0"/>
                <a:tint val="15000"/>
                <a:satMod val="350000"/>
              </a:srgbClr>
            </a:gs>
          </a:gsLst>
          <a:lin ang="16200000" scaled="1"/>
        </a:gradFill>
        <a:ln>
          <a:noFill/>
        </a:ln>
        <a:effectLst>
          <a:outerShdw blurRad="40000" dist="20000" dir="5400000" rotWithShape="0">
            <a:srgbClr val="000000">
              <a:alpha val="38000"/>
            </a:srgbClr>
          </a:outerShdw>
        </a:effectLst>
      </dgm:spPr>
      <dgm:t>
        <a:bodyPr/>
        <a:p>
          <a:pPr>
            <a:buNone/>
          </a:pPr>
          <a:endParaRPr lang="zh-CN" altLang="en-US">
            <a:solidFill>
              <a:sysClr val="windowText" lastClr="000000"/>
            </a:solidFill>
            <a:latin typeface="Calibri" panose="020F0502020204030204"/>
            <a:ea typeface="宋体" panose="02010600030101010101" charset="-122"/>
            <a:cs typeface="+mn-cs"/>
          </a:endParaRPr>
        </a:p>
      </dgm:t>
    </dgm:pt>
    <dgm:pt modelId="{C556961C-8785-4386-BFB2-E7A3C8F89531}">
      <dgm:prSet phldrT="[文本]"/>
      <dgm:spPr>
        <a:xfrm>
          <a:off x="1235956" y="7244"/>
          <a:ext cx="881386" cy="776721"/>
        </a:xfrm>
        <a:prstGeom prst="roundRect">
          <a:avLst>
            <a:gd name="adj" fmla="val 10000"/>
          </a:avLst>
        </a:prstGeom>
        <a:gradFill rotWithShape="0">
          <a:gsLst>
            <a:gs pos="0">
              <a:srgbClr val="4F81BD">
                <a:hueOff val="0"/>
                <a:satOff val="0"/>
                <a:lumOff val="0"/>
                <a:alphaOff val="0"/>
                <a:tint val="50000"/>
                <a:satMod val="300000"/>
              </a:srgbClr>
            </a:gs>
            <a:gs pos="35000">
              <a:srgbClr val="4F81BD">
                <a:hueOff val="0"/>
                <a:satOff val="0"/>
                <a:lumOff val="0"/>
                <a:alphaOff val="0"/>
                <a:tint val="37000"/>
                <a:satMod val="300000"/>
              </a:srgbClr>
            </a:gs>
            <a:gs pos="100000">
              <a:srgbClr val="4F81BD">
                <a:hueOff val="0"/>
                <a:satOff val="0"/>
                <a:lumOff val="0"/>
                <a:alphaOff val="0"/>
                <a:tint val="15000"/>
                <a:satMod val="350000"/>
              </a:srgb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gm:spPr>
      <dgm:t>
        <a:bodyPr/>
        <a:p>
          <a:pPr>
            <a:buNone/>
          </a:pPr>
          <a:r>
            <a:rPr lang="zh-CN" altLang="en-US" dirty="0">
              <a:solidFill>
                <a:sysClr val="windowText" lastClr="000000"/>
              </a:solidFill>
              <a:latin typeface="Calibri" panose="020F0502020204030204"/>
              <a:ea typeface="宋体" panose="02010600030101010101" charset="-122"/>
              <a:cs typeface="+mn-cs"/>
            </a:rPr>
            <a:t>根据红绿灯选择卸料泊位</a:t>
          </a:r>
        </a:p>
      </dgm:t>
    </dgm:pt>
    <dgm:pt modelId="{B748A5AA-3174-45BB-A2DB-A75360A8C662}" cxnId="{54ACFE8A-7CD8-4674-B8F1-03F91F1925B1}" type="parTrans">
      <dgm:prSet/>
      <dgm:spPr/>
      <dgm:t>
        <a:bodyPr/>
        <a:p>
          <a:endParaRPr lang="zh-CN" altLang="en-US"/>
        </a:p>
      </dgm:t>
    </dgm:pt>
    <dgm:pt modelId="{7D263CF1-D1D4-4C35-BA99-08C118B17BB3}" cxnId="{54ACFE8A-7CD8-4674-B8F1-03F91F1925B1}" type="sibTrans">
      <dgm:prSet/>
      <dgm:spPr>
        <a:xfrm>
          <a:off x="2205481" y="286313"/>
          <a:ext cx="186853" cy="218583"/>
        </a:xfrm>
        <a:prstGeom prst="rightArrow">
          <a:avLst>
            <a:gd name="adj1" fmla="val 60000"/>
            <a:gd name="adj2" fmla="val 50000"/>
          </a:avLst>
        </a:prstGeom>
        <a:gradFill rotWithShape="0">
          <a:gsLst>
            <a:gs pos="0">
              <a:srgbClr val="4F81BD">
                <a:tint val="60000"/>
                <a:hueOff val="0"/>
                <a:satOff val="0"/>
                <a:lumOff val="0"/>
                <a:alphaOff val="0"/>
                <a:tint val="50000"/>
                <a:satMod val="300000"/>
              </a:srgbClr>
            </a:gs>
            <a:gs pos="35000">
              <a:srgbClr val="4F81BD">
                <a:tint val="60000"/>
                <a:hueOff val="0"/>
                <a:satOff val="0"/>
                <a:lumOff val="0"/>
                <a:alphaOff val="0"/>
                <a:tint val="37000"/>
                <a:satMod val="300000"/>
              </a:srgbClr>
            </a:gs>
            <a:gs pos="100000">
              <a:srgbClr val="4F81BD">
                <a:tint val="60000"/>
                <a:hueOff val="0"/>
                <a:satOff val="0"/>
                <a:lumOff val="0"/>
                <a:alphaOff val="0"/>
                <a:tint val="15000"/>
                <a:satMod val="350000"/>
              </a:srgbClr>
            </a:gs>
          </a:gsLst>
          <a:lin ang="16200000" scaled="1"/>
        </a:gradFill>
        <a:ln>
          <a:noFill/>
        </a:ln>
        <a:effectLst>
          <a:outerShdw blurRad="40000" dist="20000" dir="5400000" rotWithShape="0">
            <a:srgbClr val="000000">
              <a:alpha val="38000"/>
            </a:srgbClr>
          </a:outerShdw>
        </a:effectLst>
      </dgm:spPr>
      <dgm:t>
        <a:bodyPr/>
        <a:p>
          <a:pPr>
            <a:buNone/>
          </a:pPr>
          <a:endParaRPr lang="zh-CN" altLang="en-US">
            <a:solidFill>
              <a:sysClr val="windowText" lastClr="000000"/>
            </a:solidFill>
            <a:latin typeface="Calibri" panose="020F0502020204030204"/>
            <a:ea typeface="宋体" panose="02010600030101010101" charset="-122"/>
            <a:cs typeface="+mn-cs"/>
          </a:endParaRPr>
        </a:p>
      </dgm:t>
    </dgm:pt>
    <dgm:pt modelId="{82CA1526-A8D7-4DE4-9D0E-8230D88A3A69}">
      <dgm:prSet phldrT="[文本]"/>
      <dgm:spPr>
        <a:xfrm>
          <a:off x="2469897" y="7244"/>
          <a:ext cx="881386" cy="776721"/>
        </a:xfrm>
        <a:prstGeom prst="roundRect">
          <a:avLst>
            <a:gd name="adj" fmla="val 10000"/>
          </a:avLst>
        </a:prstGeom>
        <a:gradFill rotWithShape="0">
          <a:gsLst>
            <a:gs pos="0">
              <a:srgbClr val="4F81BD">
                <a:hueOff val="0"/>
                <a:satOff val="0"/>
                <a:lumOff val="0"/>
                <a:alphaOff val="0"/>
                <a:tint val="50000"/>
                <a:satMod val="300000"/>
              </a:srgbClr>
            </a:gs>
            <a:gs pos="35000">
              <a:srgbClr val="4F81BD">
                <a:hueOff val="0"/>
                <a:satOff val="0"/>
                <a:lumOff val="0"/>
                <a:alphaOff val="0"/>
                <a:tint val="37000"/>
                <a:satMod val="300000"/>
              </a:srgbClr>
            </a:gs>
            <a:gs pos="100000">
              <a:srgbClr val="4F81BD">
                <a:hueOff val="0"/>
                <a:satOff val="0"/>
                <a:lumOff val="0"/>
                <a:alphaOff val="0"/>
                <a:tint val="15000"/>
                <a:satMod val="350000"/>
              </a:srgb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gm:spPr>
      <dgm:t>
        <a:bodyPr/>
        <a:p>
          <a:pPr>
            <a:buNone/>
          </a:pPr>
          <a:r>
            <a:rPr lang="zh-CN" altLang="en-US" dirty="0">
              <a:solidFill>
                <a:sysClr val="windowText" lastClr="000000"/>
              </a:solidFill>
              <a:latin typeface="Calibri" panose="020F0502020204030204"/>
              <a:ea typeface="宋体" panose="02010600030101010101" charset="-122"/>
              <a:cs typeface="+mn-cs"/>
            </a:rPr>
            <a:t>卸料</a:t>
          </a:r>
        </a:p>
      </dgm:t>
    </dgm:pt>
    <dgm:pt modelId="{2ADAABCB-0D29-404C-82A7-A7D98950BD50}" cxnId="{82621167-26C3-429C-B554-E6FF70FEE6BC}" type="parTrans">
      <dgm:prSet/>
      <dgm:spPr/>
      <dgm:t>
        <a:bodyPr/>
        <a:p>
          <a:endParaRPr lang="zh-CN" altLang="en-US"/>
        </a:p>
      </dgm:t>
    </dgm:pt>
    <dgm:pt modelId="{8EF84727-9A56-47A4-BD08-FB553CF612B3}" cxnId="{82621167-26C3-429C-B554-E6FF70FEE6BC}" type="sibTrans">
      <dgm:prSet/>
      <dgm:spPr>
        <a:xfrm>
          <a:off x="3439422" y="286313"/>
          <a:ext cx="186853" cy="218583"/>
        </a:xfrm>
        <a:prstGeom prst="rightArrow">
          <a:avLst>
            <a:gd name="adj1" fmla="val 60000"/>
            <a:gd name="adj2" fmla="val 50000"/>
          </a:avLst>
        </a:prstGeom>
        <a:gradFill rotWithShape="0">
          <a:gsLst>
            <a:gs pos="0">
              <a:srgbClr val="4F81BD">
                <a:tint val="60000"/>
                <a:hueOff val="0"/>
                <a:satOff val="0"/>
                <a:lumOff val="0"/>
                <a:alphaOff val="0"/>
                <a:tint val="50000"/>
                <a:satMod val="300000"/>
              </a:srgbClr>
            </a:gs>
            <a:gs pos="35000">
              <a:srgbClr val="4F81BD">
                <a:tint val="60000"/>
                <a:hueOff val="0"/>
                <a:satOff val="0"/>
                <a:lumOff val="0"/>
                <a:alphaOff val="0"/>
                <a:tint val="37000"/>
                <a:satMod val="300000"/>
              </a:srgbClr>
            </a:gs>
            <a:gs pos="100000">
              <a:srgbClr val="4F81BD">
                <a:tint val="60000"/>
                <a:hueOff val="0"/>
                <a:satOff val="0"/>
                <a:lumOff val="0"/>
                <a:alphaOff val="0"/>
                <a:tint val="15000"/>
                <a:satMod val="350000"/>
              </a:srgbClr>
            </a:gs>
          </a:gsLst>
          <a:lin ang="16200000" scaled="1"/>
        </a:gradFill>
        <a:ln>
          <a:noFill/>
        </a:ln>
        <a:effectLst>
          <a:outerShdw blurRad="40000" dist="20000" dir="5400000" rotWithShape="0">
            <a:srgbClr val="000000">
              <a:alpha val="38000"/>
            </a:srgbClr>
          </a:outerShdw>
        </a:effectLst>
      </dgm:spPr>
      <dgm:t>
        <a:bodyPr/>
        <a:p>
          <a:pPr>
            <a:buNone/>
          </a:pPr>
          <a:endParaRPr lang="zh-CN" altLang="en-US">
            <a:solidFill>
              <a:sysClr val="windowText" lastClr="000000"/>
            </a:solidFill>
            <a:latin typeface="Calibri" panose="020F0502020204030204"/>
            <a:ea typeface="宋体" panose="02010600030101010101" charset="-122"/>
            <a:cs typeface="+mn-cs"/>
          </a:endParaRPr>
        </a:p>
      </dgm:t>
    </dgm:pt>
    <dgm:pt modelId="{AC9F2098-AF6E-4E62-8409-37A2800ACAA6}">
      <dgm:prSet/>
      <dgm:spPr>
        <a:xfrm>
          <a:off x="3703837" y="7244"/>
          <a:ext cx="881386" cy="776721"/>
        </a:xfrm>
        <a:prstGeom prst="roundRect">
          <a:avLst>
            <a:gd name="adj" fmla="val 10000"/>
          </a:avLst>
        </a:prstGeom>
        <a:gradFill rotWithShape="0">
          <a:gsLst>
            <a:gs pos="0">
              <a:srgbClr val="4F81BD">
                <a:hueOff val="0"/>
                <a:satOff val="0"/>
                <a:lumOff val="0"/>
                <a:alphaOff val="0"/>
                <a:tint val="50000"/>
                <a:satMod val="300000"/>
              </a:srgbClr>
            </a:gs>
            <a:gs pos="35000">
              <a:srgbClr val="4F81BD">
                <a:hueOff val="0"/>
                <a:satOff val="0"/>
                <a:lumOff val="0"/>
                <a:alphaOff val="0"/>
                <a:tint val="37000"/>
                <a:satMod val="300000"/>
              </a:srgbClr>
            </a:gs>
            <a:gs pos="100000">
              <a:srgbClr val="4F81BD">
                <a:hueOff val="0"/>
                <a:satOff val="0"/>
                <a:lumOff val="0"/>
                <a:alphaOff val="0"/>
                <a:tint val="15000"/>
                <a:satMod val="350000"/>
              </a:srgb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gm:spPr>
      <dgm:t>
        <a:bodyPr/>
        <a:p>
          <a:pPr>
            <a:buNone/>
          </a:pPr>
          <a:r>
            <a:rPr lang="zh-CN" altLang="en-US" dirty="0">
              <a:solidFill>
                <a:sysClr val="windowText" lastClr="000000"/>
              </a:solidFill>
              <a:latin typeface="Calibri" panose="020F0502020204030204"/>
              <a:ea typeface="宋体" panose="02010600030101010101" charset="-122"/>
              <a:cs typeface="+mn-cs"/>
            </a:rPr>
            <a:t>驶离中转站</a:t>
          </a:r>
        </a:p>
      </dgm:t>
    </dgm:pt>
    <dgm:pt modelId="{211887A4-6DD1-493D-A55E-813FA7263D15}" cxnId="{0ADDFA8F-2E67-4C1C-A746-49D149FAC143}" type="parTrans">
      <dgm:prSet/>
      <dgm:spPr/>
      <dgm:t>
        <a:bodyPr/>
        <a:p>
          <a:endParaRPr lang="zh-CN" altLang="en-US"/>
        </a:p>
      </dgm:t>
    </dgm:pt>
    <dgm:pt modelId="{D911816A-AAEE-448A-B242-B8F8FC98166C}" cxnId="{0ADDFA8F-2E67-4C1C-A746-49D149FAC143}" type="sibTrans">
      <dgm:prSet/>
      <dgm:spPr/>
      <dgm:t>
        <a:bodyPr/>
        <a:p>
          <a:endParaRPr lang="zh-CN" altLang="en-US"/>
        </a:p>
      </dgm:t>
    </dgm:pt>
    <dgm:pt modelId="{5B591B99-292C-41E2-BD39-5E9BE1AFEDCC}" type="pres">
      <dgm:prSet presAssocID="{05A12E61-D0BE-4A37-BD44-78771E6444B9}" presName="Name0" presStyleCnt="0">
        <dgm:presLayoutVars>
          <dgm:dir/>
          <dgm:resizeHandles val="exact"/>
        </dgm:presLayoutVars>
      </dgm:prSet>
      <dgm:spPr/>
    </dgm:pt>
    <dgm:pt modelId="{8D5092E7-586E-4B28-922D-FF725D8618C4}" type="pres">
      <dgm:prSet presAssocID="{701964FE-40CA-4095-B91E-46B391172599}" presName="node" presStyleLbl="node1" presStyleIdx="0" presStyleCnt="4">
        <dgm:presLayoutVars>
          <dgm:bulletEnabled val="1"/>
        </dgm:presLayoutVars>
      </dgm:prSet>
      <dgm:spPr>
        <a:prstGeom prst="roundRect">
          <a:avLst>
            <a:gd name="adj" fmla="val 10000"/>
          </a:avLst>
        </a:prstGeom>
      </dgm:spPr>
      <dgm:t>
        <a:bodyPr/>
        <a:p>
          <a:endParaRPr lang="zh-CN" altLang="en-US"/>
        </a:p>
      </dgm:t>
    </dgm:pt>
    <dgm:pt modelId="{48906C36-5671-40E9-A43B-FBFA92B1619F}" type="pres">
      <dgm:prSet presAssocID="{6AFE35CE-FE6A-4F5C-A519-D7B82839A627}" presName="sibTrans" presStyleLbl="sibTrans2D1" presStyleIdx="0" presStyleCnt="3"/>
      <dgm:spPr>
        <a:prstGeom prst="rightArrow">
          <a:avLst>
            <a:gd name="adj1" fmla="val 60000"/>
            <a:gd name="adj2" fmla="val 50000"/>
          </a:avLst>
        </a:prstGeom>
      </dgm:spPr>
      <dgm:t>
        <a:bodyPr/>
        <a:p>
          <a:endParaRPr lang="zh-CN" altLang="en-US"/>
        </a:p>
      </dgm:t>
    </dgm:pt>
    <dgm:pt modelId="{EBC89F88-43C4-4F58-9FD8-E899634757DB}" type="pres">
      <dgm:prSet presAssocID="{6AFE35CE-FE6A-4F5C-A519-D7B82839A627}" presName="connectorText" presStyleLbl="sibTrans2D1" presStyleIdx="0" presStyleCnt="3"/>
      <dgm:spPr/>
      <dgm:t>
        <a:bodyPr/>
        <a:p>
          <a:endParaRPr lang="zh-CN" altLang="en-US"/>
        </a:p>
      </dgm:t>
    </dgm:pt>
    <dgm:pt modelId="{533B64DB-E6B7-483E-A056-3122FF523DB8}" type="pres">
      <dgm:prSet presAssocID="{C556961C-8785-4386-BFB2-E7A3C8F89531}" presName="node" presStyleLbl="node1" presStyleIdx="1" presStyleCnt="4">
        <dgm:presLayoutVars>
          <dgm:bulletEnabled val="1"/>
        </dgm:presLayoutVars>
      </dgm:prSet>
      <dgm:spPr>
        <a:prstGeom prst="roundRect">
          <a:avLst>
            <a:gd name="adj" fmla="val 10000"/>
          </a:avLst>
        </a:prstGeom>
      </dgm:spPr>
      <dgm:t>
        <a:bodyPr/>
        <a:p>
          <a:endParaRPr lang="zh-CN" altLang="en-US"/>
        </a:p>
      </dgm:t>
    </dgm:pt>
    <dgm:pt modelId="{1988EA26-9646-4D84-A77A-561906046F8A}" type="pres">
      <dgm:prSet presAssocID="{7D263CF1-D1D4-4C35-BA99-08C118B17BB3}" presName="sibTrans" presStyleLbl="sibTrans2D1" presStyleIdx="1" presStyleCnt="3"/>
      <dgm:spPr>
        <a:prstGeom prst="rightArrow">
          <a:avLst>
            <a:gd name="adj1" fmla="val 60000"/>
            <a:gd name="adj2" fmla="val 50000"/>
          </a:avLst>
        </a:prstGeom>
      </dgm:spPr>
      <dgm:t>
        <a:bodyPr/>
        <a:p>
          <a:endParaRPr lang="zh-CN" altLang="en-US"/>
        </a:p>
      </dgm:t>
    </dgm:pt>
    <dgm:pt modelId="{8AD975BF-45CC-442A-A72E-367369AB6D3A}" type="pres">
      <dgm:prSet presAssocID="{7D263CF1-D1D4-4C35-BA99-08C118B17BB3}" presName="connectorText" presStyleLbl="sibTrans2D1" presStyleIdx="1" presStyleCnt="3"/>
      <dgm:spPr/>
      <dgm:t>
        <a:bodyPr/>
        <a:p>
          <a:endParaRPr lang="zh-CN" altLang="en-US"/>
        </a:p>
      </dgm:t>
    </dgm:pt>
    <dgm:pt modelId="{67509894-7AA3-4D57-A5EC-E2F29E6166D2}" type="pres">
      <dgm:prSet presAssocID="{82CA1526-A8D7-4DE4-9D0E-8230D88A3A69}" presName="node" presStyleLbl="node1" presStyleIdx="2" presStyleCnt="4">
        <dgm:presLayoutVars>
          <dgm:bulletEnabled val="1"/>
        </dgm:presLayoutVars>
      </dgm:prSet>
      <dgm:spPr>
        <a:prstGeom prst="roundRect">
          <a:avLst>
            <a:gd name="adj" fmla="val 10000"/>
          </a:avLst>
        </a:prstGeom>
      </dgm:spPr>
      <dgm:t>
        <a:bodyPr/>
        <a:p>
          <a:endParaRPr lang="zh-CN" altLang="en-US"/>
        </a:p>
      </dgm:t>
    </dgm:pt>
    <dgm:pt modelId="{427D71C0-7003-4BAA-BFA6-96215B06DB02}" type="pres">
      <dgm:prSet presAssocID="{8EF84727-9A56-47A4-BD08-FB553CF612B3}" presName="sibTrans" presStyleLbl="sibTrans2D1" presStyleIdx="2" presStyleCnt="3"/>
      <dgm:spPr>
        <a:prstGeom prst="rightArrow">
          <a:avLst>
            <a:gd name="adj1" fmla="val 60000"/>
            <a:gd name="adj2" fmla="val 50000"/>
          </a:avLst>
        </a:prstGeom>
      </dgm:spPr>
      <dgm:t>
        <a:bodyPr/>
        <a:p>
          <a:endParaRPr lang="zh-CN" altLang="en-US"/>
        </a:p>
      </dgm:t>
    </dgm:pt>
    <dgm:pt modelId="{E48B77A0-60D7-4498-96FA-9AB4C7B241F6}" type="pres">
      <dgm:prSet presAssocID="{8EF84727-9A56-47A4-BD08-FB553CF612B3}" presName="connectorText" presStyleLbl="sibTrans2D1" presStyleIdx="2" presStyleCnt="3"/>
      <dgm:spPr/>
      <dgm:t>
        <a:bodyPr/>
        <a:p>
          <a:endParaRPr lang="zh-CN" altLang="en-US"/>
        </a:p>
      </dgm:t>
    </dgm:pt>
    <dgm:pt modelId="{C52845F8-72B5-4701-8D26-3012115DD673}" type="pres">
      <dgm:prSet presAssocID="{AC9F2098-AF6E-4E62-8409-37A2800ACAA6}" presName="node" presStyleLbl="node1" presStyleIdx="3" presStyleCnt="4">
        <dgm:presLayoutVars>
          <dgm:bulletEnabled val="1"/>
        </dgm:presLayoutVars>
      </dgm:prSet>
      <dgm:spPr>
        <a:prstGeom prst="roundRect">
          <a:avLst>
            <a:gd name="adj" fmla="val 10000"/>
          </a:avLst>
        </a:prstGeom>
      </dgm:spPr>
      <dgm:t>
        <a:bodyPr/>
        <a:p>
          <a:endParaRPr lang="zh-CN" altLang="en-US"/>
        </a:p>
      </dgm:t>
    </dgm:pt>
  </dgm:ptLst>
  <dgm:cxnLst>
    <dgm:cxn modelId="{284A4A57-D80E-4342-ABB1-6BBA64F38E29}" type="presOf" srcId="{6AFE35CE-FE6A-4F5C-A519-D7B82839A627}" destId="{EBC89F88-43C4-4F58-9FD8-E899634757DB}" srcOrd="1" destOrd="0" presId="urn:microsoft.com/office/officeart/2005/8/layout/process1"/>
    <dgm:cxn modelId="{21842720-34C0-4043-996C-B4B5E4068CFB}" type="presOf" srcId="{6AFE35CE-FE6A-4F5C-A519-D7B82839A627}" destId="{48906C36-5671-40E9-A43B-FBFA92B1619F}" srcOrd="0" destOrd="0" presId="urn:microsoft.com/office/officeart/2005/8/layout/process1"/>
    <dgm:cxn modelId="{584A6C20-3865-49BC-9D74-9D2C5339C3AF}" type="presOf" srcId="{8EF84727-9A56-47A4-BD08-FB553CF612B3}" destId="{E48B77A0-60D7-4498-96FA-9AB4C7B241F6}" srcOrd="1" destOrd="0" presId="urn:microsoft.com/office/officeart/2005/8/layout/process1"/>
    <dgm:cxn modelId="{83B4442E-48D5-4750-9BCE-9BEC3FFA82E1}" type="presOf" srcId="{82CA1526-A8D7-4DE4-9D0E-8230D88A3A69}" destId="{67509894-7AA3-4D57-A5EC-E2F29E6166D2}" srcOrd="0" destOrd="0" presId="urn:microsoft.com/office/officeart/2005/8/layout/process1"/>
    <dgm:cxn modelId="{45B8B513-1793-4AD6-9771-DB7B0F60715C}" type="presOf" srcId="{C556961C-8785-4386-BFB2-E7A3C8F89531}" destId="{533B64DB-E6B7-483E-A056-3122FF523DB8}" srcOrd="0" destOrd="0" presId="urn:microsoft.com/office/officeart/2005/8/layout/process1"/>
    <dgm:cxn modelId="{0ADDFA8F-2E67-4C1C-A746-49D149FAC143}" srcId="{05A12E61-D0BE-4A37-BD44-78771E6444B9}" destId="{AC9F2098-AF6E-4E62-8409-37A2800ACAA6}" srcOrd="3" destOrd="0" parTransId="{211887A4-6DD1-493D-A55E-813FA7263D15}" sibTransId="{D911816A-AAEE-448A-B242-B8F8FC98166C}"/>
    <dgm:cxn modelId="{15F6F21F-3E34-41A5-BE53-D64FEFF943A4}" type="presOf" srcId="{AC9F2098-AF6E-4E62-8409-37A2800ACAA6}" destId="{C52845F8-72B5-4701-8D26-3012115DD673}" srcOrd="0" destOrd="0" presId="urn:microsoft.com/office/officeart/2005/8/layout/process1"/>
    <dgm:cxn modelId="{627EFA71-0A97-409F-A160-42A1181316F8}" srcId="{05A12E61-D0BE-4A37-BD44-78771E6444B9}" destId="{701964FE-40CA-4095-B91E-46B391172599}" srcOrd="0" destOrd="0" parTransId="{859B5159-819E-4088-B656-93711B384E9F}" sibTransId="{6AFE35CE-FE6A-4F5C-A519-D7B82839A627}"/>
    <dgm:cxn modelId="{DAD73BA3-122A-49FF-AF36-06EC060E7D21}" type="presOf" srcId="{7D263CF1-D1D4-4C35-BA99-08C118B17BB3}" destId="{1988EA26-9646-4D84-A77A-561906046F8A}" srcOrd="0" destOrd="0" presId="urn:microsoft.com/office/officeart/2005/8/layout/process1"/>
    <dgm:cxn modelId="{82621167-26C3-429C-B554-E6FF70FEE6BC}" srcId="{05A12E61-D0BE-4A37-BD44-78771E6444B9}" destId="{82CA1526-A8D7-4DE4-9D0E-8230D88A3A69}" srcOrd="2" destOrd="0" parTransId="{2ADAABCB-0D29-404C-82A7-A7D98950BD50}" sibTransId="{8EF84727-9A56-47A4-BD08-FB553CF612B3}"/>
    <dgm:cxn modelId="{16B1DF1D-C3A3-4A53-BF4E-C8E853350DE2}" type="presOf" srcId="{05A12E61-D0BE-4A37-BD44-78771E6444B9}" destId="{5B591B99-292C-41E2-BD39-5E9BE1AFEDCC}" srcOrd="0" destOrd="0" presId="urn:microsoft.com/office/officeart/2005/8/layout/process1"/>
    <dgm:cxn modelId="{54ACFE8A-7CD8-4674-B8F1-03F91F1925B1}" srcId="{05A12E61-D0BE-4A37-BD44-78771E6444B9}" destId="{C556961C-8785-4386-BFB2-E7A3C8F89531}" srcOrd="1" destOrd="0" parTransId="{B748A5AA-3174-45BB-A2DB-A75360A8C662}" sibTransId="{7D263CF1-D1D4-4C35-BA99-08C118B17BB3}"/>
    <dgm:cxn modelId="{BC05CD24-31F9-45FC-9760-FD623F459984}" type="presOf" srcId="{7D263CF1-D1D4-4C35-BA99-08C118B17BB3}" destId="{8AD975BF-45CC-442A-A72E-367369AB6D3A}" srcOrd="1" destOrd="0" presId="urn:microsoft.com/office/officeart/2005/8/layout/process1"/>
    <dgm:cxn modelId="{7014C076-7B1B-4F4F-A0C1-58047E22F40A}" type="presOf" srcId="{701964FE-40CA-4095-B91E-46B391172599}" destId="{8D5092E7-586E-4B28-922D-FF725D8618C4}" srcOrd="0" destOrd="0" presId="urn:microsoft.com/office/officeart/2005/8/layout/process1"/>
    <dgm:cxn modelId="{27B1024D-8D3E-43F8-96F5-57035433D0EE}" type="presOf" srcId="{8EF84727-9A56-47A4-BD08-FB553CF612B3}" destId="{427D71C0-7003-4BAA-BFA6-96215B06DB02}" srcOrd="0" destOrd="0" presId="urn:microsoft.com/office/officeart/2005/8/layout/process1"/>
    <dgm:cxn modelId="{DFDFDDE6-F6F4-4C06-B409-40FD7513044E}" type="presParOf" srcId="{5B591B99-292C-41E2-BD39-5E9BE1AFEDCC}" destId="{8D5092E7-586E-4B28-922D-FF725D8618C4}" srcOrd="0" destOrd="0" presId="urn:microsoft.com/office/officeart/2005/8/layout/process1"/>
    <dgm:cxn modelId="{08BD1E59-E51C-4197-B7E9-53592E00586D}" type="presParOf" srcId="{5B591B99-292C-41E2-BD39-5E9BE1AFEDCC}" destId="{48906C36-5671-40E9-A43B-FBFA92B1619F}" srcOrd="1" destOrd="0" presId="urn:microsoft.com/office/officeart/2005/8/layout/process1"/>
    <dgm:cxn modelId="{E64843A7-8466-43F2-8022-E44F0344D63F}" type="presParOf" srcId="{48906C36-5671-40E9-A43B-FBFA92B1619F}" destId="{EBC89F88-43C4-4F58-9FD8-E899634757DB}" srcOrd="0" destOrd="0" presId="urn:microsoft.com/office/officeart/2005/8/layout/process1"/>
    <dgm:cxn modelId="{D3AB87B9-C78D-461D-BE10-0606F8768D4F}" type="presParOf" srcId="{5B591B99-292C-41E2-BD39-5E9BE1AFEDCC}" destId="{533B64DB-E6B7-483E-A056-3122FF523DB8}" srcOrd="2" destOrd="0" presId="urn:microsoft.com/office/officeart/2005/8/layout/process1"/>
    <dgm:cxn modelId="{4990897D-8037-4803-A34C-9FC9FDC6C64E}" type="presParOf" srcId="{5B591B99-292C-41E2-BD39-5E9BE1AFEDCC}" destId="{1988EA26-9646-4D84-A77A-561906046F8A}" srcOrd="3" destOrd="0" presId="urn:microsoft.com/office/officeart/2005/8/layout/process1"/>
    <dgm:cxn modelId="{B01B48C6-22BA-4F10-A78D-944ADFC08095}" type="presParOf" srcId="{1988EA26-9646-4D84-A77A-561906046F8A}" destId="{8AD975BF-45CC-442A-A72E-367369AB6D3A}" srcOrd="0" destOrd="0" presId="urn:microsoft.com/office/officeart/2005/8/layout/process1"/>
    <dgm:cxn modelId="{BAB7CB2D-127A-4BDD-80FD-57EB855E7492}" type="presParOf" srcId="{5B591B99-292C-41E2-BD39-5E9BE1AFEDCC}" destId="{67509894-7AA3-4D57-A5EC-E2F29E6166D2}" srcOrd="4" destOrd="0" presId="urn:microsoft.com/office/officeart/2005/8/layout/process1"/>
    <dgm:cxn modelId="{71499230-F664-4E44-B2EC-282854D683A6}" type="presParOf" srcId="{5B591B99-292C-41E2-BD39-5E9BE1AFEDCC}" destId="{427D71C0-7003-4BAA-BFA6-96215B06DB02}" srcOrd="5" destOrd="0" presId="urn:microsoft.com/office/officeart/2005/8/layout/process1"/>
    <dgm:cxn modelId="{4F86F4FF-E047-4341-9D96-B523874F22B5}" type="presParOf" srcId="{427D71C0-7003-4BAA-BFA6-96215B06DB02}" destId="{E48B77A0-60D7-4498-96FA-9AB4C7B241F6}" srcOrd="0" destOrd="0" presId="urn:microsoft.com/office/officeart/2005/8/layout/process1"/>
    <dgm:cxn modelId="{F57D9309-7DBB-4687-A34E-DEBA292F8C82}" type="presParOf" srcId="{5B591B99-292C-41E2-BD39-5E9BE1AFEDCC}" destId="{C52845F8-72B5-4701-8D26-3012115DD673}" srcOrd="6" destOrd="0" presId="urn:microsoft.com/office/officeart/2005/8/layout/process1"/>
  </dgm:cxnLst>
  <dgm:bg/>
  <dgm:whole/>
  <dgm:extLst>
    <a:ext uri="http://schemas.microsoft.com/office/drawing/2008/diagram">
      <dsp:dataModelExt xmlns:dsp="http://schemas.microsoft.com/office/drawing/2008/diagram" relId="rId25"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xmlns:r="http://schemas.openxmlformats.org/officeDocument/2006/relationships">
  <dsp:spTree>
    <dsp:nvGrpSpPr>
      <dsp:cNvPr id="2" name="组合 1"/>
      <dsp:cNvGrpSpPr/>
    </dsp:nvGrpSpPr>
    <dsp:grpSpPr>
      <a:xfrm>
        <a:off x="0" y="0"/>
        <a:ext cx="4535170" cy="775335"/>
        <a:chOff x="0" y="0"/>
        <a:chExt cx="4535170" cy="775335"/>
      </a:xfrm>
    </dsp:grpSpPr>
    <dsp:sp modelId="{8D5092E7-586E-4B28-922D-FF725D8618C4}">
      <dsp:nvSpPr>
        <dsp:cNvPr id="3" name="圆角矩形 2"/>
        <dsp:cNvSpPr/>
      </dsp:nvSpPr>
      <dsp:spPr bwMode="white">
        <a:xfrm>
          <a:off x="0" y="19050"/>
          <a:ext cx="872148" cy="737235"/>
        </a:xfrm>
        <a:prstGeom prst="roundRect">
          <a:avLst>
            <a:gd name="adj" fmla="val 10000"/>
          </a:avLst>
        </a:prstGeom>
        <a:gradFill rotWithShape="0">
          <a:gsLst>
            <a:gs pos="0">
              <a:srgbClr val="4F81BD">
                <a:hueOff val="0"/>
                <a:satOff val="0"/>
                <a:lumOff val="0"/>
                <a:alphaOff val="0"/>
                <a:tint val="50000"/>
                <a:satMod val="300000"/>
              </a:srgbClr>
            </a:gs>
            <a:gs pos="35000">
              <a:srgbClr val="4F81BD">
                <a:hueOff val="0"/>
                <a:satOff val="0"/>
                <a:lumOff val="0"/>
                <a:alphaOff val="0"/>
                <a:tint val="37000"/>
                <a:satMod val="300000"/>
              </a:srgbClr>
            </a:gs>
            <a:gs pos="100000">
              <a:srgbClr val="4F81BD">
                <a:hueOff val="0"/>
                <a:satOff val="0"/>
                <a:lumOff val="0"/>
                <a:alphaOff val="0"/>
                <a:tint val="15000"/>
                <a:satMod val="350000"/>
              </a:srgb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rgbClr val="FFFFFF"/>
        </a:lnRef>
        <a:fillRef idx="2">
          <a:srgbClr val="4F81BD"/>
        </a:fillRef>
        <a:effectRef idx="1">
          <a:scrgbClr r="0" g="0" b="0"/>
        </a:effectRef>
        <a:fontRef idx="minor">
          <a:srgbClr val="000000"/>
        </a:fontRef>
      </dsp:style>
      <dsp:txBody>
        <a:bodyPr lIns="49530" tIns="49530" rIns="49530" bIns="49530" anchor="ctr"/>
        <a:lstStyle>
          <a:lvl1pPr algn="ctr">
            <a:defRPr sz="1300"/>
          </a:lvl1pPr>
          <a:lvl2pPr marL="57150" indent="-57150" algn="ctr">
            <a:defRPr sz="1000"/>
          </a:lvl2pPr>
          <a:lvl3pPr marL="114300" indent="-57150" algn="ctr">
            <a:defRPr sz="1000"/>
          </a:lvl3pPr>
          <a:lvl4pPr marL="171450" indent="-57150" algn="ctr">
            <a:defRPr sz="1000"/>
          </a:lvl4pPr>
          <a:lvl5pPr marL="228600" indent="-57150" algn="ctr">
            <a:defRPr sz="1000"/>
          </a:lvl5pPr>
          <a:lvl6pPr marL="285750" indent="-57150" algn="ctr">
            <a:defRPr sz="1000"/>
          </a:lvl6pPr>
          <a:lvl7pPr marL="342900" indent="-57150" algn="ctr">
            <a:defRPr sz="1000"/>
          </a:lvl7pPr>
          <a:lvl8pPr marL="400050" indent="-57150" algn="ctr">
            <a:defRPr sz="1000"/>
          </a:lvl8pPr>
          <a:lvl9pPr marL="457200" indent="-57150" algn="ctr">
            <a:defRPr sz="1000"/>
          </a:lvl9pPr>
        </a:lstStyle>
        <a:p>
          <a:pPr lvl="0">
            <a:lnSpc>
              <a:spcPct val="100000"/>
            </a:lnSpc>
            <a:spcBef>
              <a:spcPct val="0"/>
            </a:spcBef>
            <a:spcAft>
              <a:spcPct val="35000"/>
            </a:spcAft>
            <a:buNone/>
          </a:pPr>
          <a:r>
            <a:rPr lang="zh-CN" altLang="en-US" dirty="0">
              <a:solidFill>
                <a:sysClr val="windowText" lastClr="000000"/>
              </a:solidFill>
              <a:latin typeface="Calibri" panose="020F0502020204030204"/>
              <a:ea typeface="宋体" panose="02010600030101010101" charset="-122"/>
              <a:cs typeface="+mn-cs"/>
            </a:rPr>
            <a:t>进站</a:t>
          </a:r>
        </a:p>
      </dsp:txBody>
      <dsp:txXfrm>
        <a:off x="0" y="19050"/>
        <a:ext cx="872148" cy="737235"/>
      </dsp:txXfrm>
    </dsp:sp>
    <dsp:sp modelId="{48906C36-5671-40E9-A43B-FBFA92B1619F}">
      <dsp:nvSpPr>
        <dsp:cNvPr id="4" name="右箭头 3"/>
        <dsp:cNvSpPr/>
      </dsp:nvSpPr>
      <dsp:spPr bwMode="white">
        <a:xfrm>
          <a:off x="954130" y="279521"/>
          <a:ext cx="184895" cy="216293"/>
        </a:xfrm>
        <a:prstGeom prst="rightArrow">
          <a:avLst>
            <a:gd name="adj1" fmla="val 60000"/>
            <a:gd name="adj2" fmla="val 50000"/>
          </a:avLst>
        </a:prstGeom>
        <a:gradFill rotWithShape="0">
          <a:gsLst>
            <a:gs pos="0">
              <a:srgbClr val="4F81BD">
                <a:tint val="60000"/>
                <a:hueOff val="0"/>
                <a:satOff val="0"/>
                <a:lumOff val="0"/>
                <a:alphaOff val="0"/>
                <a:tint val="50000"/>
                <a:satMod val="300000"/>
              </a:srgbClr>
            </a:gs>
            <a:gs pos="35000">
              <a:srgbClr val="4F81BD">
                <a:tint val="60000"/>
                <a:hueOff val="0"/>
                <a:satOff val="0"/>
                <a:lumOff val="0"/>
                <a:alphaOff val="0"/>
                <a:tint val="37000"/>
                <a:satMod val="300000"/>
              </a:srgbClr>
            </a:gs>
            <a:gs pos="100000">
              <a:srgbClr val="4F81BD">
                <a:tint val="60000"/>
                <a:hueOff val="0"/>
                <a:satOff val="0"/>
                <a:lumOff val="0"/>
                <a:alphaOff val="0"/>
                <a:tint val="15000"/>
                <a:satMod val="350000"/>
              </a:srgbClr>
            </a:gs>
          </a:gsLst>
          <a:lin ang="16200000" scaled="1"/>
        </a:gradFill>
        <a:ln>
          <a:noFill/>
        </a:ln>
        <a:effectLst>
          <a:outerShdw blurRad="40000" dist="20000" dir="5400000" rotWithShape="0">
            <a:srgbClr val="000000">
              <a:alpha val="38000"/>
            </a:srgbClr>
          </a:outerShdw>
        </a:effectLst>
      </dsp:spPr>
      <dsp:style>
        <a:lnRef idx="0">
          <a:srgbClr val="B2C1DB">
            <a:tint val="60000"/>
          </a:srgbClr>
        </a:lnRef>
        <a:fillRef idx="2">
          <a:srgbClr val="B2C1DB">
            <a:tint val="60000"/>
          </a:srgbClr>
        </a:fillRef>
        <a:effectRef idx="1">
          <a:scrgbClr r="0" g="0" b="0"/>
        </a:effectRef>
        <a:fontRef idx="minor">
          <a:srgbClr val="000000"/>
        </a:fontRef>
      </dsp:style>
      <dsp:txBody>
        <a:bodyPr lIns="0" tIns="0" rIns="0" bIns="0" anchor="ctr"/>
        <a:lstStyle>
          <a:lvl1pPr algn="ctr">
            <a:defRPr sz="800"/>
          </a:lvl1pPr>
          <a:lvl2pPr marL="57150" indent="-57150" algn="ctr">
            <a:defRPr sz="600"/>
          </a:lvl2pPr>
          <a:lvl3pPr marL="114300" indent="-57150" algn="ctr">
            <a:defRPr sz="600"/>
          </a:lvl3pPr>
          <a:lvl4pPr marL="171450" indent="-57150" algn="ctr">
            <a:defRPr sz="600"/>
          </a:lvl4pPr>
          <a:lvl5pPr marL="228600" indent="-57150" algn="ctr">
            <a:defRPr sz="600"/>
          </a:lvl5pPr>
          <a:lvl6pPr marL="285750" indent="-57150" algn="ctr">
            <a:defRPr sz="600"/>
          </a:lvl6pPr>
          <a:lvl7pPr marL="342900" indent="-57150" algn="ctr">
            <a:defRPr sz="600"/>
          </a:lvl7pPr>
          <a:lvl8pPr marL="400050" indent="-57150" algn="ctr">
            <a:defRPr sz="600"/>
          </a:lvl8pPr>
          <a:lvl9pPr marL="457200" indent="-57150" algn="ctr">
            <a:defRPr sz="600"/>
          </a:lvl9pPr>
        </a:lstStyle>
        <a:p>
          <a:pPr lvl="0">
            <a:lnSpc>
              <a:spcPct val="100000"/>
            </a:lnSpc>
            <a:spcBef>
              <a:spcPct val="0"/>
            </a:spcBef>
            <a:spcAft>
              <a:spcPct val="35000"/>
            </a:spcAft>
            <a:buNone/>
          </a:pPr>
          <a:endParaRPr lang="zh-CN" altLang="en-US">
            <a:solidFill>
              <a:sysClr val="windowText" lastClr="000000"/>
            </a:solidFill>
            <a:latin typeface="Calibri" panose="020F0502020204030204"/>
            <a:ea typeface="宋体" panose="02010600030101010101" charset="-122"/>
            <a:cs typeface="+mn-cs"/>
          </a:endParaRPr>
        </a:p>
      </dsp:txBody>
      <dsp:txXfrm>
        <a:off x="954130" y="279521"/>
        <a:ext cx="184895" cy="216293"/>
      </dsp:txXfrm>
    </dsp:sp>
    <dsp:sp modelId="{533B64DB-E6B7-483E-A056-3122FF523DB8}">
      <dsp:nvSpPr>
        <dsp:cNvPr id="5" name="圆角矩形 4"/>
        <dsp:cNvSpPr/>
      </dsp:nvSpPr>
      <dsp:spPr bwMode="white">
        <a:xfrm>
          <a:off x="1221007" y="19050"/>
          <a:ext cx="872148" cy="737235"/>
        </a:xfrm>
        <a:prstGeom prst="roundRect">
          <a:avLst>
            <a:gd name="adj" fmla="val 10000"/>
          </a:avLst>
        </a:prstGeom>
        <a:gradFill rotWithShape="0">
          <a:gsLst>
            <a:gs pos="0">
              <a:srgbClr val="4F81BD">
                <a:hueOff val="0"/>
                <a:satOff val="0"/>
                <a:lumOff val="0"/>
                <a:alphaOff val="0"/>
                <a:tint val="50000"/>
                <a:satMod val="300000"/>
              </a:srgbClr>
            </a:gs>
            <a:gs pos="35000">
              <a:srgbClr val="4F81BD">
                <a:hueOff val="0"/>
                <a:satOff val="0"/>
                <a:lumOff val="0"/>
                <a:alphaOff val="0"/>
                <a:tint val="37000"/>
                <a:satMod val="300000"/>
              </a:srgbClr>
            </a:gs>
            <a:gs pos="100000">
              <a:srgbClr val="4F81BD">
                <a:hueOff val="0"/>
                <a:satOff val="0"/>
                <a:lumOff val="0"/>
                <a:alphaOff val="0"/>
                <a:tint val="15000"/>
                <a:satMod val="350000"/>
              </a:srgb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rgbClr val="FFFFFF"/>
        </a:lnRef>
        <a:fillRef idx="2">
          <a:srgbClr val="4F81BD"/>
        </a:fillRef>
        <a:effectRef idx="1">
          <a:scrgbClr r="0" g="0" b="0"/>
        </a:effectRef>
        <a:fontRef idx="minor">
          <a:srgbClr val="000000"/>
        </a:fontRef>
      </dsp:style>
      <dsp:txBody>
        <a:bodyPr lIns="49530" tIns="49530" rIns="49530" bIns="49530" anchor="ctr"/>
        <a:lstStyle>
          <a:lvl1pPr algn="ctr">
            <a:defRPr sz="1300"/>
          </a:lvl1pPr>
          <a:lvl2pPr marL="57150" indent="-57150" algn="ctr">
            <a:defRPr sz="1000"/>
          </a:lvl2pPr>
          <a:lvl3pPr marL="114300" indent="-57150" algn="ctr">
            <a:defRPr sz="1000"/>
          </a:lvl3pPr>
          <a:lvl4pPr marL="171450" indent="-57150" algn="ctr">
            <a:defRPr sz="1000"/>
          </a:lvl4pPr>
          <a:lvl5pPr marL="228600" indent="-57150" algn="ctr">
            <a:defRPr sz="1000"/>
          </a:lvl5pPr>
          <a:lvl6pPr marL="285750" indent="-57150" algn="ctr">
            <a:defRPr sz="1000"/>
          </a:lvl6pPr>
          <a:lvl7pPr marL="342900" indent="-57150" algn="ctr">
            <a:defRPr sz="1000"/>
          </a:lvl7pPr>
          <a:lvl8pPr marL="400050" indent="-57150" algn="ctr">
            <a:defRPr sz="1000"/>
          </a:lvl8pPr>
          <a:lvl9pPr marL="457200" indent="-57150" algn="ctr">
            <a:defRPr sz="1000"/>
          </a:lvl9pPr>
        </a:lstStyle>
        <a:p>
          <a:pPr lvl="0">
            <a:lnSpc>
              <a:spcPct val="100000"/>
            </a:lnSpc>
            <a:spcBef>
              <a:spcPct val="0"/>
            </a:spcBef>
            <a:spcAft>
              <a:spcPct val="35000"/>
            </a:spcAft>
            <a:buNone/>
          </a:pPr>
          <a:r>
            <a:rPr lang="zh-CN" altLang="en-US" dirty="0">
              <a:solidFill>
                <a:sysClr val="windowText" lastClr="000000"/>
              </a:solidFill>
              <a:latin typeface="Calibri" panose="020F0502020204030204"/>
              <a:ea typeface="宋体" panose="02010600030101010101" charset="-122"/>
              <a:cs typeface="+mn-cs"/>
            </a:rPr>
            <a:t>根据红绿灯选择卸料泊位</a:t>
          </a:r>
        </a:p>
      </dsp:txBody>
      <dsp:txXfrm>
        <a:off x="1221007" y="19050"/>
        <a:ext cx="872148" cy="737235"/>
      </dsp:txXfrm>
    </dsp:sp>
    <dsp:sp modelId="{1988EA26-9646-4D84-A77A-561906046F8A}">
      <dsp:nvSpPr>
        <dsp:cNvPr id="6" name="右箭头 5"/>
        <dsp:cNvSpPr/>
      </dsp:nvSpPr>
      <dsp:spPr bwMode="white">
        <a:xfrm>
          <a:off x="2175137" y="279521"/>
          <a:ext cx="184895" cy="216293"/>
        </a:xfrm>
        <a:prstGeom prst="rightArrow">
          <a:avLst>
            <a:gd name="adj1" fmla="val 60000"/>
            <a:gd name="adj2" fmla="val 50000"/>
          </a:avLst>
        </a:prstGeom>
        <a:gradFill rotWithShape="0">
          <a:gsLst>
            <a:gs pos="0">
              <a:srgbClr val="4F81BD">
                <a:tint val="60000"/>
                <a:hueOff val="0"/>
                <a:satOff val="0"/>
                <a:lumOff val="0"/>
                <a:alphaOff val="0"/>
                <a:tint val="50000"/>
                <a:satMod val="300000"/>
              </a:srgbClr>
            </a:gs>
            <a:gs pos="35000">
              <a:srgbClr val="4F81BD">
                <a:tint val="60000"/>
                <a:hueOff val="0"/>
                <a:satOff val="0"/>
                <a:lumOff val="0"/>
                <a:alphaOff val="0"/>
                <a:tint val="37000"/>
                <a:satMod val="300000"/>
              </a:srgbClr>
            </a:gs>
            <a:gs pos="100000">
              <a:srgbClr val="4F81BD">
                <a:tint val="60000"/>
                <a:hueOff val="0"/>
                <a:satOff val="0"/>
                <a:lumOff val="0"/>
                <a:alphaOff val="0"/>
                <a:tint val="15000"/>
                <a:satMod val="350000"/>
              </a:srgbClr>
            </a:gs>
          </a:gsLst>
          <a:lin ang="16200000" scaled="1"/>
        </a:gradFill>
        <a:ln>
          <a:noFill/>
        </a:ln>
        <a:effectLst>
          <a:outerShdw blurRad="40000" dist="20000" dir="5400000" rotWithShape="0">
            <a:srgbClr val="000000">
              <a:alpha val="38000"/>
            </a:srgbClr>
          </a:outerShdw>
        </a:effectLst>
      </dsp:spPr>
      <dsp:style>
        <a:lnRef idx="0">
          <a:srgbClr val="B2C1DB">
            <a:tint val="60000"/>
          </a:srgbClr>
        </a:lnRef>
        <a:fillRef idx="2">
          <a:srgbClr val="B2C1DB">
            <a:tint val="60000"/>
          </a:srgbClr>
        </a:fillRef>
        <a:effectRef idx="1">
          <a:scrgbClr r="0" g="0" b="0"/>
        </a:effectRef>
        <a:fontRef idx="minor">
          <a:srgbClr val="000000"/>
        </a:fontRef>
      </dsp:style>
      <dsp:txBody>
        <a:bodyPr lIns="0" tIns="0" rIns="0" bIns="0" anchor="ctr"/>
        <a:lstStyle>
          <a:lvl1pPr algn="ctr">
            <a:defRPr sz="800"/>
          </a:lvl1pPr>
          <a:lvl2pPr marL="57150" indent="-57150" algn="ctr">
            <a:defRPr sz="600"/>
          </a:lvl2pPr>
          <a:lvl3pPr marL="114300" indent="-57150" algn="ctr">
            <a:defRPr sz="600"/>
          </a:lvl3pPr>
          <a:lvl4pPr marL="171450" indent="-57150" algn="ctr">
            <a:defRPr sz="600"/>
          </a:lvl4pPr>
          <a:lvl5pPr marL="228600" indent="-57150" algn="ctr">
            <a:defRPr sz="600"/>
          </a:lvl5pPr>
          <a:lvl6pPr marL="285750" indent="-57150" algn="ctr">
            <a:defRPr sz="600"/>
          </a:lvl6pPr>
          <a:lvl7pPr marL="342900" indent="-57150" algn="ctr">
            <a:defRPr sz="600"/>
          </a:lvl7pPr>
          <a:lvl8pPr marL="400050" indent="-57150" algn="ctr">
            <a:defRPr sz="600"/>
          </a:lvl8pPr>
          <a:lvl9pPr marL="457200" indent="-57150" algn="ctr">
            <a:defRPr sz="600"/>
          </a:lvl9pPr>
        </a:lstStyle>
        <a:p>
          <a:pPr lvl="0">
            <a:lnSpc>
              <a:spcPct val="100000"/>
            </a:lnSpc>
            <a:spcBef>
              <a:spcPct val="0"/>
            </a:spcBef>
            <a:spcAft>
              <a:spcPct val="35000"/>
            </a:spcAft>
            <a:buNone/>
          </a:pPr>
          <a:endParaRPr lang="zh-CN" altLang="en-US">
            <a:solidFill>
              <a:sysClr val="windowText" lastClr="000000"/>
            </a:solidFill>
            <a:latin typeface="Calibri" panose="020F0502020204030204"/>
            <a:ea typeface="宋体" panose="02010600030101010101" charset="-122"/>
            <a:cs typeface="+mn-cs"/>
          </a:endParaRPr>
        </a:p>
      </dsp:txBody>
      <dsp:txXfrm>
        <a:off x="2175137" y="279521"/>
        <a:ext cx="184895" cy="216293"/>
      </dsp:txXfrm>
    </dsp:sp>
    <dsp:sp modelId="{67509894-7AA3-4D57-A5EC-E2F29E6166D2}">
      <dsp:nvSpPr>
        <dsp:cNvPr id="7" name="圆角矩形 6"/>
        <dsp:cNvSpPr/>
      </dsp:nvSpPr>
      <dsp:spPr bwMode="white">
        <a:xfrm>
          <a:off x="2442015" y="19050"/>
          <a:ext cx="872148" cy="737235"/>
        </a:xfrm>
        <a:prstGeom prst="roundRect">
          <a:avLst>
            <a:gd name="adj" fmla="val 10000"/>
          </a:avLst>
        </a:prstGeom>
        <a:gradFill rotWithShape="0">
          <a:gsLst>
            <a:gs pos="0">
              <a:srgbClr val="4F81BD">
                <a:hueOff val="0"/>
                <a:satOff val="0"/>
                <a:lumOff val="0"/>
                <a:alphaOff val="0"/>
                <a:tint val="50000"/>
                <a:satMod val="300000"/>
              </a:srgbClr>
            </a:gs>
            <a:gs pos="35000">
              <a:srgbClr val="4F81BD">
                <a:hueOff val="0"/>
                <a:satOff val="0"/>
                <a:lumOff val="0"/>
                <a:alphaOff val="0"/>
                <a:tint val="37000"/>
                <a:satMod val="300000"/>
              </a:srgbClr>
            </a:gs>
            <a:gs pos="100000">
              <a:srgbClr val="4F81BD">
                <a:hueOff val="0"/>
                <a:satOff val="0"/>
                <a:lumOff val="0"/>
                <a:alphaOff val="0"/>
                <a:tint val="15000"/>
                <a:satMod val="350000"/>
              </a:srgb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rgbClr val="FFFFFF"/>
        </a:lnRef>
        <a:fillRef idx="2">
          <a:srgbClr val="4F81BD"/>
        </a:fillRef>
        <a:effectRef idx="1">
          <a:scrgbClr r="0" g="0" b="0"/>
        </a:effectRef>
        <a:fontRef idx="minor">
          <a:srgbClr val="000000"/>
        </a:fontRef>
      </dsp:style>
      <dsp:txBody>
        <a:bodyPr lIns="49530" tIns="49530" rIns="49530" bIns="49530" anchor="ctr"/>
        <a:lstStyle>
          <a:lvl1pPr algn="ctr">
            <a:defRPr sz="1300"/>
          </a:lvl1pPr>
          <a:lvl2pPr marL="57150" indent="-57150" algn="ctr">
            <a:defRPr sz="1000"/>
          </a:lvl2pPr>
          <a:lvl3pPr marL="114300" indent="-57150" algn="ctr">
            <a:defRPr sz="1000"/>
          </a:lvl3pPr>
          <a:lvl4pPr marL="171450" indent="-57150" algn="ctr">
            <a:defRPr sz="1000"/>
          </a:lvl4pPr>
          <a:lvl5pPr marL="228600" indent="-57150" algn="ctr">
            <a:defRPr sz="1000"/>
          </a:lvl5pPr>
          <a:lvl6pPr marL="285750" indent="-57150" algn="ctr">
            <a:defRPr sz="1000"/>
          </a:lvl6pPr>
          <a:lvl7pPr marL="342900" indent="-57150" algn="ctr">
            <a:defRPr sz="1000"/>
          </a:lvl7pPr>
          <a:lvl8pPr marL="400050" indent="-57150" algn="ctr">
            <a:defRPr sz="1000"/>
          </a:lvl8pPr>
          <a:lvl9pPr marL="457200" indent="-57150" algn="ctr">
            <a:defRPr sz="1000"/>
          </a:lvl9pPr>
        </a:lstStyle>
        <a:p>
          <a:pPr lvl="0">
            <a:lnSpc>
              <a:spcPct val="100000"/>
            </a:lnSpc>
            <a:spcBef>
              <a:spcPct val="0"/>
            </a:spcBef>
            <a:spcAft>
              <a:spcPct val="35000"/>
            </a:spcAft>
            <a:buNone/>
          </a:pPr>
          <a:r>
            <a:rPr lang="zh-CN" altLang="en-US" dirty="0">
              <a:solidFill>
                <a:sysClr val="windowText" lastClr="000000"/>
              </a:solidFill>
              <a:latin typeface="Calibri" panose="020F0502020204030204"/>
              <a:ea typeface="宋体" panose="02010600030101010101" charset="-122"/>
              <a:cs typeface="+mn-cs"/>
            </a:rPr>
            <a:t>卸料</a:t>
          </a:r>
        </a:p>
      </dsp:txBody>
      <dsp:txXfrm>
        <a:off x="2442015" y="19050"/>
        <a:ext cx="872148" cy="737235"/>
      </dsp:txXfrm>
    </dsp:sp>
    <dsp:sp modelId="{427D71C0-7003-4BAA-BFA6-96215B06DB02}">
      <dsp:nvSpPr>
        <dsp:cNvPr id="8" name="右箭头 7"/>
        <dsp:cNvSpPr/>
      </dsp:nvSpPr>
      <dsp:spPr bwMode="white">
        <a:xfrm>
          <a:off x="3396145" y="279521"/>
          <a:ext cx="184895" cy="216293"/>
        </a:xfrm>
        <a:prstGeom prst="rightArrow">
          <a:avLst>
            <a:gd name="adj1" fmla="val 60000"/>
            <a:gd name="adj2" fmla="val 50000"/>
          </a:avLst>
        </a:prstGeom>
        <a:gradFill rotWithShape="0">
          <a:gsLst>
            <a:gs pos="0">
              <a:srgbClr val="4F81BD">
                <a:tint val="60000"/>
                <a:hueOff val="0"/>
                <a:satOff val="0"/>
                <a:lumOff val="0"/>
                <a:alphaOff val="0"/>
                <a:tint val="50000"/>
                <a:satMod val="300000"/>
              </a:srgbClr>
            </a:gs>
            <a:gs pos="35000">
              <a:srgbClr val="4F81BD">
                <a:tint val="60000"/>
                <a:hueOff val="0"/>
                <a:satOff val="0"/>
                <a:lumOff val="0"/>
                <a:alphaOff val="0"/>
                <a:tint val="37000"/>
                <a:satMod val="300000"/>
              </a:srgbClr>
            </a:gs>
            <a:gs pos="100000">
              <a:srgbClr val="4F81BD">
                <a:tint val="60000"/>
                <a:hueOff val="0"/>
                <a:satOff val="0"/>
                <a:lumOff val="0"/>
                <a:alphaOff val="0"/>
                <a:tint val="15000"/>
                <a:satMod val="350000"/>
              </a:srgbClr>
            </a:gs>
          </a:gsLst>
          <a:lin ang="16200000" scaled="1"/>
        </a:gradFill>
        <a:ln>
          <a:noFill/>
        </a:ln>
        <a:effectLst>
          <a:outerShdw blurRad="40000" dist="20000" dir="5400000" rotWithShape="0">
            <a:srgbClr val="000000">
              <a:alpha val="38000"/>
            </a:srgbClr>
          </a:outerShdw>
        </a:effectLst>
      </dsp:spPr>
      <dsp:style>
        <a:lnRef idx="0">
          <a:srgbClr val="B2C1DB">
            <a:tint val="60000"/>
          </a:srgbClr>
        </a:lnRef>
        <a:fillRef idx="2">
          <a:srgbClr val="B2C1DB">
            <a:tint val="60000"/>
          </a:srgbClr>
        </a:fillRef>
        <a:effectRef idx="1">
          <a:scrgbClr r="0" g="0" b="0"/>
        </a:effectRef>
        <a:fontRef idx="minor">
          <a:srgbClr val="000000"/>
        </a:fontRef>
      </dsp:style>
      <dsp:txBody>
        <a:bodyPr lIns="0" tIns="0" rIns="0" bIns="0" anchor="ctr"/>
        <a:lstStyle>
          <a:lvl1pPr algn="ctr">
            <a:defRPr sz="800"/>
          </a:lvl1pPr>
          <a:lvl2pPr marL="57150" indent="-57150" algn="ctr">
            <a:defRPr sz="600"/>
          </a:lvl2pPr>
          <a:lvl3pPr marL="114300" indent="-57150" algn="ctr">
            <a:defRPr sz="600"/>
          </a:lvl3pPr>
          <a:lvl4pPr marL="171450" indent="-57150" algn="ctr">
            <a:defRPr sz="600"/>
          </a:lvl4pPr>
          <a:lvl5pPr marL="228600" indent="-57150" algn="ctr">
            <a:defRPr sz="600"/>
          </a:lvl5pPr>
          <a:lvl6pPr marL="285750" indent="-57150" algn="ctr">
            <a:defRPr sz="600"/>
          </a:lvl6pPr>
          <a:lvl7pPr marL="342900" indent="-57150" algn="ctr">
            <a:defRPr sz="600"/>
          </a:lvl7pPr>
          <a:lvl8pPr marL="400050" indent="-57150" algn="ctr">
            <a:defRPr sz="600"/>
          </a:lvl8pPr>
          <a:lvl9pPr marL="457200" indent="-57150" algn="ctr">
            <a:defRPr sz="600"/>
          </a:lvl9pPr>
        </a:lstStyle>
        <a:p>
          <a:pPr lvl="0">
            <a:lnSpc>
              <a:spcPct val="100000"/>
            </a:lnSpc>
            <a:spcBef>
              <a:spcPct val="0"/>
            </a:spcBef>
            <a:spcAft>
              <a:spcPct val="35000"/>
            </a:spcAft>
            <a:buNone/>
          </a:pPr>
          <a:endParaRPr lang="zh-CN" altLang="en-US">
            <a:solidFill>
              <a:sysClr val="windowText" lastClr="000000"/>
            </a:solidFill>
            <a:latin typeface="Calibri" panose="020F0502020204030204"/>
            <a:ea typeface="宋体" panose="02010600030101010101" charset="-122"/>
            <a:cs typeface="+mn-cs"/>
          </a:endParaRPr>
        </a:p>
      </dsp:txBody>
      <dsp:txXfrm>
        <a:off x="3396145" y="279521"/>
        <a:ext cx="184895" cy="216293"/>
      </dsp:txXfrm>
    </dsp:sp>
    <dsp:sp modelId="{C52845F8-72B5-4701-8D26-3012115DD673}">
      <dsp:nvSpPr>
        <dsp:cNvPr id="9" name="圆角矩形 8"/>
        <dsp:cNvSpPr/>
      </dsp:nvSpPr>
      <dsp:spPr bwMode="white">
        <a:xfrm>
          <a:off x="3663022" y="19050"/>
          <a:ext cx="872148" cy="737235"/>
        </a:xfrm>
        <a:prstGeom prst="roundRect">
          <a:avLst>
            <a:gd name="adj" fmla="val 10000"/>
          </a:avLst>
        </a:prstGeom>
        <a:gradFill rotWithShape="0">
          <a:gsLst>
            <a:gs pos="0">
              <a:srgbClr val="4F81BD">
                <a:hueOff val="0"/>
                <a:satOff val="0"/>
                <a:lumOff val="0"/>
                <a:alphaOff val="0"/>
                <a:tint val="50000"/>
                <a:satMod val="300000"/>
              </a:srgbClr>
            </a:gs>
            <a:gs pos="35000">
              <a:srgbClr val="4F81BD">
                <a:hueOff val="0"/>
                <a:satOff val="0"/>
                <a:lumOff val="0"/>
                <a:alphaOff val="0"/>
                <a:tint val="37000"/>
                <a:satMod val="300000"/>
              </a:srgbClr>
            </a:gs>
            <a:gs pos="100000">
              <a:srgbClr val="4F81BD">
                <a:hueOff val="0"/>
                <a:satOff val="0"/>
                <a:lumOff val="0"/>
                <a:alphaOff val="0"/>
                <a:tint val="15000"/>
                <a:satMod val="350000"/>
              </a:srgb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rgbClr val="FFFFFF"/>
        </a:lnRef>
        <a:fillRef idx="2">
          <a:srgbClr val="4F81BD"/>
        </a:fillRef>
        <a:effectRef idx="1">
          <a:scrgbClr r="0" g="0" b="0"/>
        </a:effectRef>
        <a:fontRef idx="minor">
          <a:srgbClr val="000000"/>
        </a:fontRef>
      </dsp:style>
      <dsp:txBody>
        <a:bodyPr lIns="49530" tIns="49530" rIns="49530" bIns="49530" anchor="ctr"/>
        <a:lstStyle>
          <a:lvl1pPr algn="ctr">
            <a:defRPr sz="1300"/>
          </a:lvl1pPr>
          <a:lvl2pPr marL="57150" indent="-57150" algn="ctr">
            <a:defRPr sz="1000"/>
          </a:lvl2pPr>
          <a:lvl3pPr marL="114300" indent="-57150" algn="ctr">
            <a:defRPr sz="1000"/>
          </a:lvl3pPr>
          <a:lvl4pPr marL="171450" indent="-57150" algn="ctr">
            <a:defRPr sz="1000"/>
          </a:lvl4pPr>
          <a:lvl5pPr marL="228600" indent="-57150" algn="ctr">
            <a:defRPr sz="1000"/>
          </a:lvl5pPr>
          <a:lvl6pPr marL="285750" indent="-57150" algn="ctr">
            <a:defRPr sz="1000"/>
          </a:lvl6pPr>
          <a:lvl7pPr marL="342900" indent="-57150" algn="ctr">
            <a:defRPr sz="1000"/>
          </a:lvl7pPr>
          <a:lvl8pPr marL="400050" indent="-57150" algn="ctr">
            <a:defRPr sz="1000"/>
          </a:lvl8pPr>
          <a:lvl9pPr marL="457200" indent="-57150" algn="ctr">
            <a:defRPr sz="1000"/>
          </a:lvl9pPr>
        </a:lstStyle>
        <a:p>
          <a:pPr lvl="0">
            <a:lnSpc>
              <a:spcPct val="100000"/>
            </a:lnSpc>
            <a:spcBef>
              <a:spcPct val="0"/>
            </a:spcBef>
            <a:spcAft>
              <a:spcPct val="35000"/>
            </a:spcAft>
            <a:buNone/>
          </a:pPr>
          <a:r>
            <a:rPr lang="zh-CN" altLang="en-US" dirty="0">
              <a:solidFill>
                <a:sysClr val="windowText" lastClr="000000"/>
              </a:solidFill>
              <a:latin typeface="Calibri" panose="020F0502020204030204"/>
              <a:ea typeface="宋体" panose="02010600030101010101" charset="-122"/>
              <a:cs typeface="+mn-cs"/>
            </a:rPr>
            <a:t>驶离中转站</a:t>
          </a:r>
        </a:p>
      </dsp:txBody>
      <dsp:txXfrm>
        <a:off x="3663022" y="19050"/>
        <a:ext cx="872148" cy="737235"/>
      </dsp:txXfrm>
    </dsp:sp>
  </dsp:spTree>
</dsp:drawing>
</file>

<file path=word/diagrams/layout1.xml><?xml version="1.0" encoding="utf-8"?>
<dgm:layoutDef xmlns:dgm="http://schemas.openxmlformats.org/drawingml/2006/diagram" xmlns:a="http://schemas.openxmlformats.org/drawingml/2006/main" uniqueId="urn:microsoft.com/office/officeart/2005/8/layout/process1">
  <dgm:title val=""/>
  <dgm:desc val=""/>
  <dgm:catLst>
    <dgm:cat type="process" pri="1000"/>
    <dgm:cat type="convert" pri="15000"/>
  </dgm:catLst>
  <dgm:sampData useDef="1">
    <dgm:dataModel>
      <dgm:ptLst/>
      <dgm:bg/>
      <dgm:whole/>
    </dgm:dataModel>
  </dgm:sampData>
  <dgm:styleData>
    <dgm:dataModel>
      <dgm:ptLst>
        <dgm:pt modelId="0" type="doc">
          <dgm:prSet qsTypeId="urn:microsoft.com/office/officeart/2005/8/quickstyle/simple5"/>
        </dgm:pt>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Name0">
    <dgm:varLst>
      <dgm:dir/>
      <dgm:resizeHandles val="exact"/>
    </dgm:varLst>
    <dgm:choose name="Name1">
      <dgm:if name="Name2" func="var" arg="dir" op="equ" val="norm">
        <dgm:alg type="lin"/>
      </dgm:if>
      <dgm:else name="Name3">
        <dgm:alg type="lin">
          <dgm:param type="linDir" val="fromR"/>
        </dgm:alg>
      </dgm:else>
    </dgm:choose>
    <dgm:shape xmlns:r="http://schemas.openxmlformats.org/officeDocument/2006/relationships" r:blip="">
      <dgm:adjLst/>
    </dgm:shape>
    <dgm:presOf/>
    <dgm:constrLst>
      <dgm:constr type="w" for="ch" ptType="node" refType="w"/>
      <dgm:constr type="h" for="ch" ptType="node" op="equ"/>
      <dgm:constr type="primFontSz" for="ch" ptType="node" op="equ" val="65"/>
      <dgm:constr type="w" for="ch" ptType="sibTrans" refType="w" refFor="ch" refPtType="node" op="equ" fact="0.4"/>
      <dgm:constr type="h" for="ch" ptType="sibTrans" op="equ"/>
      <dgm:constr type="primFontSz" for="des" forName="connectorText" op="equ" val="55"/>
      <dgm:constr type="primFontSz" for="des" forName="connectorText" refType="primFontSz" refFor="ch" refPtType="node" op="lte" fact="0.8"/>
    </dgm:constrLst>
    <dgm:ruleLst/>
    <dgm:forEach name="nodesForEach" axis="ch" ptType="node">
      <dgm:layoutNode name="node">
        <dgm:varLst>
          <dgm:bulletEnabled val="1"/>
        </dgm:varLst>
        <dgm:alg type="tx"/>
        <dgm:shape xmlns:r="http://schemas.openxmlformats.org/officeDocument/2006/relationships" type="roundRect" r:blip="">
          <dgm:adjLst>
            <dgm:adj idx="1" val="0.1"/>
          </dgm:adjLst>
        </dgm:shape>
        <dgm:presOf axis="desOrSelf" ptType="node"/>
        <dgm:constrLst>
          <dgm:constr type="h" refType="w" fact="0.6"/>
          <dgm:constr type="tMarg" refType="primFontSz" fact="0.3"/>
          <dgm:constr type="bMarg" refType="primFontSz" fact="0.3"/>
          <dgm:constr type="lMarg" refType="primFontSz" fact="0.3"/>
          <dgm:constr type="rMarg" refType="primFontSz" fact="0.3"/>
        </dgm:constrLst>
        <dgm:ruleLst>
          <dgm:rule type="primFontSz" val="18" fact="NaN" max="NaN"/>
          <dgm:rule type="h" val="NaN" fact="1.5" max="NaN"/>
          <dgm:rule type="primFontSz" val="5" fact="NaN" max="NaN"/>
          <dgm:rule type="h" val="INF" fact="NaN" max="NaN"/>
        </dgm:ruleLst>
      </dgm:layoutNode>
      <dgm:forEach name="sibTransForEach" axis="followSib" ptType="sibTrans" cnt="1">
        <dgm:layoutNode name="sibTrans">
          <dgm:alg type="conn">
            <dgm:param type="begPts" val="auto"/>
            <dgm:param type="endPts" val="auto"/>
          </dgm:alg>
          <dgm:shape xmlns:r="http://schemas.openxmlformats.org/officeDocument/2006/relationships" type="conn" r:blip="">
            <dgm:adjLst/>
          </dgm:shape>
          <dgm:presOf axis="self"/>
          <dgm:constrLst>
            <dgm:constr type="h" refType="w" fact="0.62"/>
            <dgm:constr type="connDist"/>
            <dgm:constr type="begPad" refType="connDist" fact="0.25"/>
            <dgm:constr type="endPad" refType="connDist" fact="0.22"/>
          </dgm:constrLst>
          <dgm:ruleLst/>
          <dgm:layoutNode name="connectorText">
            <dgm:alg type="tx">
              <dgm:param type="autoTxRot" val="grav"/>
            </dgm:alg>
            <dgm:shape xmlns:r="http://schemas.openxmlformats.org/officeDocument/2006/relationships" type="conn" r:blip="" hideGeom="1">
              <dgm:adjLst/>
            </dgm:shape>
            <dgm:presOf axis="self"/>
            <dgm:constrLst>
              <dgm:constr type="lMarg"/>
              <dgm:constr type="rMarg"/>
              <dgm:constr type="tMarg"/>
              <dgm:constr type="bMarg"/>
            </dgm:constrLst>
            <dgm:ruleLst>
              <dgm:rule type="primFontSz" val="5" fact="NaN" max="NaN"/>
            </dgm:ruleLst>
          </dgm:layoutNode>
        </dgm:layoutNode>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3#1">
  <dgm:title val=""/>
  <dgm:desc val=""/>
  <dgm:catLst>
    <dgm:cat type="simple" pri="10300"/>
  </dgm:catLst>
  <dgm:scene3d>
    <a:camera prst="orthographicFront"/>
    <a:lightRig rig="threePt" dir="t"/>
  </dgm:scene3d>
  <dgm:styleLbl name="alignAcc1">
    <dgm:scene3d>
      <a:camera prst="orthographicFront"/>
      <a:lightRig rig="threePt" dir="t"/>
    </dgm:scene3d>
    <dgm:txPr/>
    <dgm:style>
      <a:lnRef idx="1">
        <a:scrgbClr r="0" g="0" b="0"/>
      </a:lnRef>
      <a:fillRef idx="1">
        <a:scrgbClr r="0" g="0" b="0"/>
      </a:fillRef>
      <a:effectRef idx="0">
        <a:scrgbClr r="0" g="0" b="0"/>
      </a:effectRef>
      <a:fontRef idx="minor"/>
    </dgm:style>
  </dgm:styleLbl>
  <dgm:styleLbl name="alignAccFollowNode1">
    <dgm:scene3d>
      <a:camera prst="orthographicFront"/>
      <a:lightRig rig="threePt" dir="t"/>
    </dgm:scene3d>
    <dgm:txPr/>
    <dgm:style>
      <a:lnRef idx="1">
        <a:scrgbClr r="0" g="0" b="0"/>
      </a:lnRef>
      <a:fillRef idx="1">
        <a:scrgbClr r="0" g="0" b="0"/>
      </a:fillRef>
      <a:effectRef idx="0">
        <a:scrgbClr r="0" g="0" b="0"/>
      </a:effectRef>
      <a:fontRef idx="minor"/>
    </dgm:style>
  </dgm:styleLbl>
  <dgm:styleLbl name="alignImgPlace1">
    <dgm:scene3d>
      <a:camera prst="orthographicFront"/>
      <a:lightRig rig="threePt" dir="t"/>
    </dgm:scene3d>
    <dgm:txPr/>
    <dgm:style>
      <a:lnRef idx="1">
        <a:scrgbClr r="0" g="0" b="0"/>
      </a:lnRef>
      <a:fillRef idx="1">
        <a:scrgbClr r="0" g="0" b="0"/>
      </a:fillRef>
      <a:effectRef idx="1">
        <a:scrgbClr r="0" g="0" b="0"/>
      </a:effectRef>
      <a:fontRef idx="minor"/>
    </dgm:style>
  </dgm:styleLbl>
  <dgm:styleLbl name="alignNode1">
    <dgm:scene3d>
      <a:camera prst="orthographicFront"/>
      <a:lightRig rig="threePt" dir="t"/>
    </dgm:scene3d>
    <dgm:txPr/>
    <dgm:style>
      <a:lnRef idx="1">
        <a:scrgbClr r="0" g="0" b="0"/>
      </a:lnRef>
      <a:fillRef idx="2">
        <a:scrgbClr r="0" g="0" b="0"/>
      </a:fillRef>
      <a:effectRef idx="1">
        <a:scrgbClr r="0" g="0" b="0"/>
      </a:effectRef>
      <a:fontRef idx="minor">
        <a:srgbClr val="000000"/>
      </a:fontRef>
    </dgm:style>
  </dgm:styleLbl>
  <dgm:styleLbl name="asst0">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rgbClr val="000000"/>
      </a:fontRef>
    </dgm:style>
  </dgm:styleLbl>
  <dgm:styleLbl name="asst1">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rgbClr val="000000"/>
      </a:fontRef>
    </dgm:style>
  </dgm:styleLbl>
  <dgm:styleLbl name="asst2">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rgbClr val="000000"/>
      </a:fontRef>
    </dgm:style>
  </dgm:styleLbl>
  <dgm:styleLbl name="asst3">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rgbClr val="000000"/>
      </a:fontRef>
    </dgm:style>
  </dgm:styleLbl>
  <dgm:styleLbl name="asst4">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rgbClr val="000000"/>
      </a:fontRef>
    </dgm:style>
  </dgm:styleLbl>
  <dgm:styleLbl name="bgAcc1">
    <dgm:scene3d>
      <a:camera prst="orthographicFront"/>
      <a:lightRig rig="threePt" dir="t"/>
    </dgm:scene3d>
    <dgm:txPr/>
    <dgm:style>
      <a:lnRef idx="1">
        <a:scrgbClr r="0" g="0" b="0"/>
      </a:lnRef>
      <a:fillRef idx="1">
        <a:scrgbClr r="0" g="0" b="0"/>
      </a:fillRef>
      <a:effectRef idx="0">
        <a:scrgbClr r="0" g="0" b="0"/>
      </a:effectRef>
      <a:fontRef idx="minor"/>
    </dgm:style>
  </dgm:styleLbl>
  <dgm:styleLbl name="bgAccFollowNode1">
    <dgm:scene3d>
      <a:camera prst="orthographicFront"/>
      <a:lightRig rig="threePt" dir="t"/>
    </dgm:scene3d>
    <dgm:txPr/>
    <dgm:style>
      <a:lnRef idx="1">
        <a:scrgbClr r="0" g="0" b="0"/>
      </a:lnRef>
      <a:fillRef idx="1">
        <a:scrgbClr r="0" g="0" b="0"/>
      </a:fillRef>
      <a:effectRef idx="0">
        <a:scrgbClr r="0" g="0" b="0"/>
      </a:effectRef>
      <a:fontRef idx="minor"/>
    </dgm:style>
  </dgm:styleLbl>
  <dgm:styleLbl name="bgImgPlace1">
    <dgm:scene3d>
      <a:camera prst="orthographicFront"/>
      <a:lightRig rig="threePt" dir="t"/>
    </dgm:scene3d>
    <dgm:txPr/>
    <dgm:style>
      <a:lnRef idx="1">
        <a:scrgbClr r="0" g="0" b="0"/>
      </a:lnRef>
      <a:fillRef idx="1">
        <a:scrgbClr r="0" g="0" b="0"/>
      </a:fillRef>
      <a:effectRef idx="1">
        <a:scrgbClr r="0" g="0" b="0"/>
      </a:effectRef>
      <a:fontRef idx="minor"/>
    </dgm:style>
  </dgm:styleLbl>
  <dgm:styleLbl name="bgShp">
    <dgm:scene3d>
      <a:camera prst="orthographicFront"/>
      <a:lightRig rig="threePt" dir="t"/>
    </dgm:scene3d>
    <dgm:txPr/>
    <dgm:style>
      <a:lnRef idx="0">
        <a:scrgbClr r="0" g="0" b="0"/>
      </a:lnRef>
      <a:fillRef idx="1">
        <a:scrgbClr r="0" g="0" b="0"/>
      </a:fillRef>
      <a:effectRef idx="1">
        <a:scrgbClr r="0" g="0" b="0"/>
      </a:effectRef>
      <a:fontRef idx="minor"/>
    </dgm:style>
  </dgm:styleLbl>
  <dgm:styleLbl name="bgSibTrans2D1">
    <dgm:scene3d>
      <a:camera prst="orthographicFront"/>
      <a:lightRig rig="threePt" dir="t"/>
    </dgm:scene3d>
    <dgm:txPr/>
    <dgm:style>
      <a:lnRef idx="0">
        <a:scrgbClr r="0" g="0" b="0"/>
      </a:lnRef>
      <a:fillRef idx="2">
        <a:scrgbClr r="0" g="0" b="0"/>
      </a:fillRef>
      <a:effectRef idx="1">
        <a:scrgbClr r="0" g="0" b="0"/>
      </a:effectRef>
      <a:fontRef idx="minor">
        <a:srgbClr val="000000"/>
      </a:fontRef>
    </dgm:style>
  </dgm:styleLbl>
  <dgm:styleLbl name="callout">
    <dgm:scene3d>
      <a:camera prst="orthographicFront"/>
      <a:lightRig rig="threePt" dir="t"/>
    </dgm:scene3d>
    <dgm:txPr/>
    <dgm:style>
      <a:lnRef idx="1">
        <a:scrgbClr r="0" g="0" b="0"/>
      </a:lnRef>
      <a:fillRef idx="2">
        <a:scrgbClr r="0" g="0" b="0"/>
      </a:fillRef>
      <a:effectRef idx="1">
        <a:scrgbClr r="0" g="0" b="0"/>
      </a:effectRef>
      <a:fontRef idx="minor"/>
    </dgm:style>
  </dgm:styleLbl>
  <dgm:styleLbl name="conFgAcc1">
    <dgm:scene3d>
      <a:camera prst="orthographicFront"/>
      <a:lightRig rig="threePt" dir="t"/>
    </dgm:scene3d>
    <dgm:txPr/>
    <dgm:style>
      <a:lnRef idx="1">
        <a:scrgbClr r="0" g="0" b="0"/>
      </a:lnRef>
      <a:fillRef idx="1">
        <a:scrgbClr r="0" g="0" b="0"/>
      </a:fillRef>
      <a:effectRef idx="0">
        <a:scrgbClr r="0" g="0" b="0"/>
      </a:effectRef>
      <a:fontRef idx="minor"/>
    </dgm:style>
  </dgm:styleLbl>
  <dgm:styleLbl name="dkBgShp">
    <dgm:scene3d>
      <a:camera prst="orthographicFront"/>
      <a:lightRig rig="threePt" dir="t"/>
    </dgm:scene3d>
    <dgm:txPr/>
    <dgm:style>
      <a:lnRef idx="0">
        <a:scrgbClr r="0" g="0" b="0"/>
      </a:lnRef>
      <a:fillRef idx="1">
        <a:scrgbClr r="0" g="0" b="0"/>
      </a:fillRef>
      <a:effectRef idx="1">
        <a:scrgbClr r="0" g="0" b="0"/>
      </a:effectRef>
      <a:fontRef idx="minor"/>
    </dgm:style>
  </dgm:styleLbl>
  <dgm:styleLbl name="fgAcc0">
    <dgm:scene3d>
      <a:camera prst="orthographicFront"/>
      <a:lightRig rig="threePt" dir="t"/>
    </dgm:scene3d>
    <dgm:txPr/>
    <dgm:style>
      <a:lnRef idx="1">
        <a:scrgbClr r="0" g="0" b="0"/>
      </a:lnRef>
      <a:fillRef idx="1">
        <a:scrgbClr r="0" g="0" b="0"/>
      </a:fillRef>
      <a:effectRef idx="0">
        <a:scrgbClr r="0" g="0" b="0"/>
      </a:effectRef>
      <a:fontRef idx="minor"/>
    </dgm:style>
  </dgm:styleLbl>
  <dgm:styleLbl name="fgAcc1">
    <dgm:scene3d>
      <a:camera prst="orthographicFront"/>
      <a:lightRig rig="threePt" dir="t"/>
    </dgm:scene3d>
    <dgm:txPr/>
    <dgm:style>
      <a:lnRef idx="1">
        <a:scrgbClr r="0" g="0" b="0"/>
      </a:lnRef>
      <a:fillRef idx="1">
        <a:scrgbClr r="0" g="0" b="0"/>
      </a:fillRef>
      <a:effectRef idx="0">
        <a:scrgbClr r="0" g="0" b="0"/>
      </a:effectRef>
      <a:fontRef idx="minor"/>
    </dgm:style>
  </dgm:styleLbl>
  <dgm:styleLbl name="fgAcc2">
    <dgm:scene3d>
      <a:camera prst="orthographicFront"/>
      <a:lightRig rig="threePt" dir="t"/>
    </dgm:scene3d>
    <dgm:txPr/>
    <dgm:style>
      <a:lnRef idx="1">
        <a:scrgbClr r="0" g="0" b="0"/>
      </a:lnRef>
      <a:fillRef idx="1">
        <a:scrgbClr r="0" g="0" b="0"/>
      </a:fillRef>
      <a:effectRef idx="0">
        <a:scrgbClr r="0" g="0" b="0"/>
      </a:effectRef>
      <a:fontRef idx="minor"/>
    </dgm:style>
  </dgm:styleLbl>
  <dgm:styleLbl name="fgAcc3">
    <dgm:scene3d>
      <a:camera prst="orthographicFront"/>
      <a:lightRig rig="threePt" dir="t"/>
    </dgm:scene3d>
    <dgm:txPr/>
    <dgm:style>
      <a:lnRef idx="1">
        <a:scrgbClr r="0" g="0" b="0"/>
      </a:lnRef>
      <a:fillRef idx="1">
        <a:scrgbClr r="0" g="0" b="0"/>
      </a:fillRef>
      <a:effectRef idx="0">
        <a:scrgbClr r="0" g="0" b="0"/>
      </a:effectRef>
      <a:fontRef idx="minor"/>
    </dgm:style>
  </dgm:styleLbl>
  <dgm:styleLbl name="fgAcc4">
    <dgm:scene3d>
      <a:camera prst="orthographicFront"/>
      <a:lightRig rig="threePt" dir="t"/>
    </dgm:scene3d>
    <dgm:txPr/>
    <dgm:style>
      <a:lnRef idx="1">
        <a:scrgbClr r="0" g="0" b="0"/>
      </a:lnRef>
      <a:fillRef idx="1">
        <a:scrgbClr r="0" g="0" b="0"/>
      </a:fillRef>
      <a:effectRef idx="0">
        <a:scrgbClr r="0" g="0" b="0"/>
      </a:effectRef>
      <a:fontRef idx="minor"/>
    </dgm:style>
  </dgm:styleLbl>
  <dgm:styleLbl name="fgAccFollowNode1">
    <dgm:scene3d>
      <a:camera prst="orthographicFront"/>
      <a:lightRig rig="threePt" dir="t"/>
    </dgm:scene3d>
    <dgm:txPr/>
    <dgm:style>
      <a:lnRef idx="1">
        <a:scrgbClr r="0" g="0" b="0"/>
      </a:lnRef>
      <a:fillRef idx="1">
        <a:scrgbClr r="0" g="0" b="0"/>
      </a:fillRef>
      <a:effectRef idx="0">
        <a:scrgbClr r="0" g="0" b="0"/>
      </a:effectRef>
      <a:fontRef idx="minor"/>
    </dgm:style>
  </dgm:styleLbl>
  <dgm:styleLbl name="fgImgPlace1">
    <dgm:scene3d>
      <a:camera prst="orthographicFront"/>
      <a:lightRig rig="threePt" dir="t"/>
    </dgm:scene3d>
    <dgm:txPr/>
    <dgm:style>
      <a:lnRef idx="1">
        <a:scrgbClr r="0" g="0" b="0"/>
      </a:lnRef>
      <a:fillRef idx="1">
        <a:scrgbClr r="0" g="0" b="0"/>
      </a:fillRef>
      <a:effectRef idx="1">
        <a:scrgbClr r="0" g="0" b="0"/>
      </a:effectRef>
      <a:fontRef idx="minor"/>
    </dgm:style>
  </dgm:styleLbl>
  <dgm:styleLbl name="fgShp">
    <dgm:scene3d>
      <a:camera prst="orthographicFront"/>
      <a:lightRig rig="flat" dir="t"/>
    </dgm:scene3d>
    <dgm:sp3d prstMaterial="dkEdge">
      <a:bevelT w="8200" h="38100"/>
    </dgm:sp3d>
    <dgm:txPr/>
    <dgm:style>
      <a:lnRef idx="1">
        <a:scrgbClr r="0" g="0" b="0"/>
      </a:lnRef>
      <a:fillRef idx="2">
        <a:scrgbClr r="0" g="0" b="0"/>
      </a:fillRef>
      <a:effectRef idx="1">
        <a:scrgbClr r="0" g="0" b="0"/>
      </a:effectRef>
      <a:fontRef idx="minor"/>
    </dgm:style>
  </dgm:styleLbl>
  <dgm:styleLbl name="fgSibTrans2D1">
    <dgm:scene3d>
      <a:camera prst="orthographicFront"/>
      <a:lightRig rig="threePt" dir="t"/>
    </dgm:scene3d>
    <dgm:txPr/>
    <dgm:style>
      <a:lnRef idx="0">
        <a:scrgbClr r="0" g="0" b="0"/>
      </a:lnRef>
      <a:fillRef idx="2">
        <a:scrgbClr r="0" g="0" b="0"/>
      </a:fillRef>
      <a:effectRef idx="1">
        <a:scrgbClr r="0" g="0" b="0"/>
      </a:effectRef>
      <a:fontRef idx="minor">
        <a:srgbClr val="000000"/>
      </a:fontRef>
    </dgm:style>
  </dgm:styleLbl>
  <dgm:styleLbl name="lnNode1">
    <dgm:scene3d>
      <a:camera prst="orthographicFront"/>
      <a:lightRig rig="flat" dir="t"/>
    </dgm:scene3d>
    <dgm:sp3d prstMaterial="dkEdge">
      <a:bevelT w="8200" h="38100"/>
    </dgm:sp3d>
    <dgm:txPr/>
    <dgm:style>
      <a:lnRef idx="1">
        <a:scrgbClr r="0" g="0" b="0"/>
      </a:lnRef>
      <a:fillRef idx="2">
        <a:scrgbClr r="0" g="0" b="0"/>
      </a:fillRef>
      <a:effectRef idx="0">
        <a:scrgbClr r="0" g="0" b="0"/>
      </a:effectRef>
      <a:fontRef idx="minor">
        <a:srgbClr val="000000"/>
      </a:fontRef>
    </dgm:style>
  </dgm:styleLbl>
  <dgm:styleLbl name="node0">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rgbClr val="000000"/>
      </a:fontRef>
    </dgm:style>
  </dgm:styleLbl>
  <dgm:styleLbl name="node1">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rgbClr val="000000"/>
      </a:fontRef>
    </dgm:style>
  </dgm:styleLbl>
  <dgm:styleLbl name="node2">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rgbClr val="000000"/>
      </a:fontRef>
    </dgm:style>
  </dgm:styleLbl>
  <dgm:styleLbl name="node3">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rgbClr val="000000"/>
      </a:fontRef>
    </dgm:style>
  </dgm:styleLbl>
  <dgm:styleLbl name="node4">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rgbClr val="000000"/>
      </a:fontRef>
    </dgm:style>
  </dgm:styleLbl>
  <dgm:styleLbl name="parChTrans1D1">
    <dgm:scene3d>
      <a:camera prst="orthographicFront"/>
      <a:lightRig rig="threePt" dir="t"/>
    </dgm:scene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txPr/>
    <dgm:style>
      <a:lnRef idx="2">
        <a:scrgbClr r="0" g="0" b="0"/>
      </a:lnRef>
      <a:fillRef idx="0">
        <a:scrgbClr r="0" g="0" b="0"/>
      </a:fillRef>
      <a:effectRef idx="0">
        <a:scrgbClr r="0" g="0" b="0"/>
      </a:effectRef>
      <a:fontRef idx="minor"/>
    </dgm:style>
  </dgm:styleLbl>
  <dgm:styleLbl name="parChTrans2D1">
    <dgm:scene3d>
      <a:camera prst="orthographicFront"/>
      <a:lightRig rig="threePt" dir="t"/>
    </dgm:scene3d>
    <dgm:txPr/>
    <dgm:style>
      <a:lnRef idx="1">
        <a:scrgbClr r="0" g="0" b="0"/>
      </a:lnRef>
      <a:fillRef idx="2">
        <a:scrgbClr r="0" g="0" b="0"/>
      </a:fillRef>
      <a:effectRef idx="1">
        <a:scrgbClr r="0" g="0" b="0"/>
      </a:effectRef>
      <a:fontRef idx="minor">
        <a:srgbClr val="000000"/>
      </a:fontRef>
    </dgm:style>
  </dgm:styleLbl>
  <dgm:styleLbl name="parChTrans2D2">
    <dgm:scene3d>
      <a:camera prst="orthographicFront"/>
      <a:lightRig rig="threePt" dir="t"/>
    </dgm:scene3d>
    <dgm:txPr/>
    <dgm:style>
      <a:lnRef idx="1">
        <a:scrgbClr r="0" g="0" b="0"/>
      </a:lnRef>
      <a:fillRef idx="2">
        <a:scrgbClr r="0" g="0" b="0"/>
      </a:fillRef>
      <a:effectRef idx="1">
        <a:scrgbClr r="0" g="0" b="0"/>
      </a:effectRef>
      <a:fontRef idx="minor">
        <a:srgbClr val="000000"/>
      </a:fontRef>
    </dgm:style>
  </dgm:styleLbl>
  <dgm:styleLbl name="parChTrans2D3">
    <dgm:scene3d>
      <a:camera prst="orthographicFront"/>
      <a:lightRig rig="threePt" dir="t"/>
    </dgm:scene3d>
    <dgm:txPr/>
    <dgm:style>
      <a:lnRef idx="1">
        <a:scrgbClr r="0" g="0" b="0"/>
      </a:lnRef>
      <a:fillRef idx="2">
        <a:scrgbClr r="0" g="0" b="0"/>
      </a:fillRef>
      <a:effectRef idx="1">
        <a:scrgbClr r="0" g="0" b="0"/>
      </a:effectRef>
      <a:fontRef idx="minor">
        <a:srgbClr val="000000"/>
      </a:fontRef>
    </dgm:style>
  </dgm:styleLbl>
  <dgm:styleLbl name="parChTrans2D4">
    <dgm:scene3d>
      <a:camera prst="orthographicFront"/>
      <a:lightRig rig="threePt" dir="t"/>
    </dgm:scene3d>
    <dgm:txPr/>
    <dgm:style>
      <a:lnRef idx="1">
        <a:scrgbClr r="0" g="0" b="0"/>
      </a:lnRef>
      <a:fillRef idx="2">
        <a:scrgbClr r="0" g="0" b="0"/>
      </a:fillRef>
      <a:effectRef idx="1">
        <a:scrgbClr r="0" g="0" b="0"/>
      </a:effectRef>
      <a:fontRef idx="minor">
        <a:srgbClr val="000000"/>
      </a:fontRef>
    </dgm:style>
  </dgm:styleLbl>
  <dgm:styleLbl name="revTx">
    <dgm:scene3d>
      <a:camera prst="orthographicFront"/>
      <a:lightRig rig="threePt" dir="t"/>
    </dgm:scene3d>
    <dgm:txPr/>
    <dgm:style>
      <a:lnRef idx="0">
        <a:scrgbClr r="0" g="0" b="0"/>
      </a:lnRef>
      <a:fillRef idx="0">
        <a:scrgbClr r="0" g="0" b="0"/>
      </a:fillRef>
      <a:effectRef idx="0">
        <a:scrgbClr r="0" g="0" b="0"/>
      </a:effectRef>
      <a:fontRef idx="minor"/>
    </dgm:style>
  </dgm:styleLbl>
  <dgm:styleLbl name="sibTrans1D1">
    <dgm:scene3d>
      <a:camera prst="orthographicFront"/>
      <a:lightRig rig="threePt" dir="t"/>
    </dgm:scene3d>
    <dgm:txPr/>
    <dgm:style>
      <a:lnRef idx="1">
        <a:scrgbClr r="0" g="0" b="0"/>
      </a:lnRef>
      <a:fillRef idx="0">
        <a:scrgbClr r="0" g="0" b="0"/>
      </a:fillRef>
      <a:effectRef idx="0">
        <a:scrgbClr r="0" g="0" b="0"/>
      </a:effectRef>
      <a:fontRef idx="minor"/>
    </dgm:style>
  </dgm:styleLbl>
  <dgm:styleLbl name="sibTrans2D1">
    <dgm:scene3d>
      <a:camera prst="orthographicFront"/>
      <a:lightRig rig="threePt" dir="t"/>
    </dgm:scene3d>
    <dgm:txPr/>
    <dgm:style>
      <a:lnRef idx="0">
        <a:scrgbClr r="0" g="0" b="0"/>
      </a:lnRef>
      <a:fillRef idx="2">
        <a:scrgbClr r="0" g="0" b="0"/>
      </a:fillRef>
      <a:effectRef idx="1">
        <a:scrgbClr r="0" g="0" b="0"/>
      </a:effectRef>
      <a:fontRef idx="minor">
        <a:srgbClr val="000000"/>
      </a:fontRef>
    </dgm:style>
  </dgm:styleLbl>
  <dgm:styleLbl name="solidAlignAcc1">
    <dgm:scene3d>
      <a:camera prst="orthographicFront"/>
      <a:lightRig rig="threePt" dir="t"/>
    </dgm:scene3d>
    <dgm:txPr/>
    <dgm:style>
      <a:lnRef idx="1">
        <a:scrgbClr r="0" g="0" b="0"/>
      </a:lnRef>
      <a:fillRef idx="1">
        <a:scrgbClr r="0" g="0" b="0"/>
      </a:fillRef>
      <a:effectRef idx="0">
        <a:scrgbClr r="0" g="0" b="0"/>
      </a:effectRef>
      <a:fontRef idx="minor"/>
    </dgm:style>
  </dgm:styleLbl>
  <dgm:styleLbl name="solidBgAcc1">
    <dgm:scene3d>
      <a:camera prst="orthographicFront"/>
      <a:lightRig rig="threePt" dir="t"/>
    </dgm:scene3d>
    <dgm:txPr/>
    <dgm:style>
      <a:lnRef idx="1">
        <a:scrgbClr r="0" g="0" b="0"/>
      </a:lnRef>
      <a:fillRef idx="1">
        <a:scrgbClr r="0" g="0" b="0"/>
      </a:fillRef>
      <a:effectRef idx="0">
        <a:scrgbClr r="0" g="0" b="0"/>
      </a:effectRef>
      <a:fontRef idx="minor"/>
    </dgm:style>
  </dgm:styleLbl>
  <dgm:styleLbl name="solidFgAcc1">
    <dgm:scene3d>
      <a:camera prst="orthographicFront"/>
      <a:lightRig rig="threePt" dir="t"/>
    </dgm:scene3d>
    <dgm:txPr/>
    <dgm:style>
      <a:lnRef idx="1">
        <a:scrgbClr r="0" g="0" b="0"/>
      </a:lnRef>
      <a:fillRef idx="2">
        <a:scrgbClr r="0" g="0" b="0"/>
      </a:fillRef>
      <a:effectRef idx="0">
        <a:scrgbClr r="0" g="0" b="0"/>
      </a:effectRef>
      <a:fontRef idx="minor"/>
    </dgm:style>
  </dgm:styleLbl>
  <dgm:styleLbl name="trAlignAcc1">
    <dgm:scene3d>
      <a:camera prst="orthographicFront"/>
      <a:lightRig rig="threePt" dir="t"/>
    </dgm:scene3d>
    <dgm:txPr/>
    <dgm:style>
      <a:lnRef idx="1">
        <a:scrgbClr r="0" g="0" b="0"/>
      </a:lnRef>
      <a:fillRef idx="1">
        <a:scrgbClr r="0" g="0" b="0"/>
      </a:fillRef>
      <a:effectRef idx="0">
        <a:scrgbClr r="0" g="0" b="0"/>
      </a:effectRef>
      <a:fontRef idx="minor"/>
    </dgm:style>
  </dgm:styleLbl>
  <dgm:styleLbl name="trBgShp">
    <dgm:scene3d>
      <a:camera prst="orthographicFront"/>
      <a:lightRig rig="threePt" dir="t"/>
    </dgm:scene3d>
    <dgm:txPr/>
    <dgm:style>
      <a:lnRef idx="0">
        <a:scrgbClr r="0" g="0" b="0"/>
      </a:lnRef>
      <a:fillRef idx="1">
        <a:scrgbClr r="0" g="0" b="0"/>
      </a:fillRef>
      <a:effectRef idx="0">
        <a:scrgbClr r="0" g="0" b="0"/>
      </a:effectRef>
      <a:fontRef idx="minor"/>
    </dgm:style>
  </dgm:styleLbl>
  <dgm:styleLbl name="vennNode1">
    <dgm:scene3d>
      <a:camera prst="orthographicFront"/>
      <a:lightRig rig="flat" dir="t"/>
    </dgm:scene3d>
    <dgm:sp3d prstMaterial="dkEdge">
      <a:bevelT w="8200" h="38100"/>
    </dgm:sp3d>
    <dgm:txPr/>
    <dgm:style>
      <a:lnRef idx="0">
        <a:scrgbClr r="0" g="0" b="0"/>
      </a:lnRef>
      <a:fillRef idx="2">
        <a:scrgbClr r="0" g="0" b="0"/>
      </a:fillRef>
      <a:effectRef idx="0">
        <a:scrgbClr r="0" g="0" b="0"/>
      </a:effectRef>
      <a:fontRef idx="minor">
        <a:srgbClr val="000000"/>
      </a:fontRef>
    </dgm:style>
  </dgm:styleLbl>
</dgm:styleDef>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Version="6" SelectedStyle="\APASixthEditionOfficeOnline.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65451F6C-1554-4A06-8D68-A75B291BF15D}">
  <ds:schemaRefs/>
</ds:datastoreItem>
</file>

<file path=docProps/app.xml><?xml version="1.0" encoding="utf-8"?>
<Properties xmlns="http://schemas.openxmlformats.org/officeDocument/2006/extended-properties" xmlns:vt="http://schemas.openxmlformats.org/officeDocument/2006/docPropsVTypes">
  <Template>Normal.dotm</Template>
  <Pages>128</Pages>
  <Words>54080</Words>
  <Characters>61694</Characters>
  <Lines>132</Lines>
  <Paragraphs>37</Paragraphs>
  <TotalTime>1</TotalTime>
  <ScaleCrop>false</ScaleCrop>
  <LinksUpToDate>false</LinksUpToDate>
  <CharactersWithSpaces>62222</CharactersWithSpaces>
  <Application>WPS Office_12.1.0.25225_F1E327BC-269C-435d-A152-05C5408002CA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2023-02-16T14:06:00Z</dcterms:created>
  <dc:creator>邓品</dc:creator>
  <cp:lastModifiedBy>隔壁小王</cp:lastModifiedBy>
  <dcterms:modified xsi:type="dcterms:W3CDTF">2026-05-12T03:08:30Z</dcterms:modified>
  <cp:revision>3</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2052-12.1.0.25225</vt:lpwstr>
  </property>
  <property fmtid="{D5CDD505-2E9C-101B-9397-08002B2CF9AE}" pid="3" name="ICV">
    <vt:lpwstr>5AF3221DF3B4B387CC91026AC82724D8_43</vt:lpwstr>
  </property>
  <property fmtid="{D5CDD505-2E9C-101B-9397-08002B2CF9AE}" pid="4" name="KSOTemplateDocerSaveRecord">
    <vt:lpwstr>eyJoZGlkIjoiODU5OTNlNjJkZDU1NDE0MjZiMjFiYTAwNDVjNTZlNGUiLCJ1c2VySWQiOiI2MDYyMDEwODQifQ==</vt:lpwstr>
  </property>
</Properties>
</file>